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DD31" w14:textId="2DD8D8CC" w:rsidR="0040300B" w:rsidRDefault="00BB2D44">
      <w:r>
        <w:t xml:space="preserve"> </w:t>
      </w:r>
    </w:p>
    <w:p w14:paraId="7B66DD32" w14:textId="77777777" w:rsidR="0040300B" w:rsidRDefault="0040300B"/>
    <w:tbl>
      <w:tblPr>
        <w:tblW w:w="4892" w:type="pct"/>
        <w:jc w:val="center"/>
        <w:tblCellMar>
          <w:top w:w="15" w:type="dxa"/>
          <w:left w:w="15" w:type="dxa"/>
          <w:bottom w:w="15" w:type="dxa"/>
          <w:right w:w="15" w:type="dxa"/>
        </w:tblCellMar>
        <w:tblLook w:val="04A0" w:firstRow="1" w:lastRow="0" w:firstColumn="1" w:lastColumn="0" w:noHBand="0" w:noVBand="1"/>
      </w:tblPr>
      <w:tblGrid>
        <w:gridCol w:w="67"/>
        <w:gridCol w:w="1489"/>
        <w:gridCol w:w="36"/>
        <w:gridCol w:w="67"/>
        <w:gridCol w:w="1489"/>
        <w:gridCol w:w="36"/>
        <w:gridCol w:w="67"/>
        <w:gridCol w:w="1681"/>
        <w:gridCol w:w="36"/>
        <w:gridCol w:w="68"/>
        <w:gridCol w:w="1490"/>
        <w:gridCol w:w="36"/>
        <w:gridCol w:w="68"/>
        <w:gridCol w:w="1490"/>
        <w:gridCol w:w="36"/>
      </w:tblGrid>
      <w:tr w:rsidR="0040300B" w14:paraId="7B66DD42" w14:textId="77777777">
        <w:trPr>
          <w:jc w:val="center"/>
        </w:trPr>
        <w:tc>
          <w:tcPr>
            <w:tcW w:w="50" w:type="pct"/>
            <w:shd w:val="clear" w:color="auto" w:fill="auto"/>
          </w:tcPr>
          <w:p w14:paraId="7B66DD33" w14:textId="77777777" w:rsidR="0040300B" w:rsidRDefault="0040300B">
            <w:pPr>
              <w:rPr>
                <w:rFonts w:ascii="宋体"/>
              </w:rPr>
            </w:pPr>
          </w:p>
        </w:tc>
        <w:tc>
          <w:tcPr>
            <w:tcW w:w="921" w:type="pct"/>
            <w:shd w:val="clear" w:color="auto" w:fill="auto"/>
          </w:tcPr>
          <w:p w14:paraId="7B66DD34" w14:textId="77777777" w:rsidR="0040300B" w:rsidRDefault="0040300B">
            <w:pPr>
              <w:rPr>
                <w:rFonts w:ascii="宋体"/>
              </w:rPr>
            </w:pPr>
          </w:p>
        </w:tc>
        <w:tc>
          <w:tcPr>
            <w:tcW w:w="5" w:type="pct"/>
            <w:shd w:val="clear" w:color="auto" w:fill="auto"/>
          </w:tcPr>
          <w:p w14:paraId="7B66DD35" w14:textId="77777777" w:rsidR="0040300B" w:rsidRDefault="0040300B">
            <w:pPr>
              <w:rPr>
                <w:rFonts w:ascii="宋体"/>
              </w:rPr>
            </w:pPr>
          </w:p>
        </w:tc>
        <w:tc>
          <w:tcPr>
            <w:tcW w:w="50" w:type="pct"/>
            <w:shd w:val="clear" w:color="auto" w:fill="auto"/>
          </w:tcPr>
          <w:p w14:paraId="7B66DD36" w14:textId="77777777" w:rsidR="0040300B" w:rsidRDefault="0040300B">
            <w:pPr>
              <w:rPr>
                <w:rFonts w:ascii="宋体"/>
              </w:rPr>
            </w:pPr>
          </w:p>
        </w:tc>
        <w:tc>
          <w:tcPr>
            <w:tcW w:w="921" w:type="pct"/>
            <w:shd w:val="clear" w:color="auto" w:fill="auto"/>
          </w:tcPr>
          <w:p w14:paraId="7B66DD37" w14:textId="77777777" w:rsidR="0040300B" w:rsidRDefault="0040300B">
            <w:pPr>
              <w:rPr>
                <w:rFonts w:ascii="宋体"/>
              </w:rPr>
            </w:pPr>
          </w:p>
        </w:tc>
        <w:tc>
          <w:tcPr>
            <w:tcW w:w="5" w:type="pct"/>
            <w:shd w:val="clear" w:color="auto" w:fill="auto"/>
          </w:tcPr>
          <w:p w14:paraId="7B66DD38" w14:textId="77777777" w:rsidR="0040300B" w:rsidRDefault="0040300B">
            <w:pPr>
              <w:rPr>
                <w:rFonts w:ascii="宋体"/>
              </w:rPr>
            </w:pPr>
          </w:p>
        </w:tc>
        <w:tc>
          <w:tcPr>
            <w:tcW w:w="50" w:type="pct"/>
            <w:shd w:val="clear" w:color="auto" w:fill="auto"/>
          </w:tcPr>
          <w:p w14:paraId="7B66DD39" w14:textId="77777777" w:rsidR="0040300B" w:rsidRDefault="0040300B">
            <w:pPr>
              <w:rPr>
                <w:rFonts w:ascii="宋体"/>
              </w:rPr>
            </w:pPr>
          </w:p>
        </w:tc>
        <w:tc>
          <w:tcPr>
            <w:tcW w:w="1038" w:type="pct"/>
            <w:shd w:val="clear" w:color="auto" w:fill="auto"/>
          </w:tcPr>
          <w:p w14:paraId="7B66DD3A" w14:textId="77777777" w:rsidR="0040300B" w:rsidRDefault="0040300B">
            <w:pPr>
              <w:rPr>
                <w:rFonts w:ascii="宋体"/>
              </w:rPr>
            </w:pPr>
          </w:p>
        </w:tc>
        <w:tc>
          <w:tcPr>
            <w:tcW w:w="5" w:type="pct"/>
            <w:shd w:val="clear" w:color="auto" w:fill="auto"/>
          </w:tcPr>
          <w:p w14:paraId="7B66DD3B" w14:textId="77777777" w:rsidR="0040300B" w:rsidRDefault="0040300B">
            <w:pPr>
              <w:rPr>
                <w:rFonts w:ascii="宋体"/>
              </w:rPr>
            </w:pPr>
          </w:p>
        </w:tc>
        <w:tc>
          <w:tcPr>
            <w:tcW w:w="50" w:type="pct"/>
            <w:shd w:val="clear" w:color="auto" w:fill="auto"/>
          </w:tcPr>
          <w:p w14:paraId="7B66DD3C" w14:textId="77777777" w:rsidR="0040300B" w:rsidRDefault="0040300B">
            <w:pPr>
              <w:rPr>
                <w:rFonts w:ascii="宋体"/>
              </w:rPr>
            </w:pPr>
          </w:p>
        </w:tc>
        <w:tc>
          <w:tcPr>
            <w:tcW w:w="921" w:type="pct"/>
            <w:shd w:val="clear" w:color="auto" w:fill="auto"/>
          </w:tcPr>
          <w:p w14:paraId="7B66DD3D" w14:textId="77777777" w:rsidR="0040300B" w:rsidRDefault="0040300B">
            <w:pPr>
              <w:rPr>
                <w:rFonts w:ascii="宋体"/>
              </w:rPr>
            </w:pPr>
          </w:p>
        </w:tc>
        <w:tc>
          <w:tcPr>
            <w:tcW w:w="5" w:type="pct"/>
            <w:shd w:val="clear" w:color="auto" w:fill="auto"/>
          </w:tcPr>
          <w:p w14:paraId="7B66DD3E" w14:textId="77777777" w:rsidR="0040300B" w:rsidRDefault="0040300B">
            <w:pPr>
              <w:rPr>
                <w:rFonts w:ascii="宋体"/>
              </w:rPr>
            </w:pPr>
          </w:p>
        </w:tc>
        <w:tc>
          <w:tcPr>
            <w:tcW w:w="50" w:type="pct"/>
            <w:shd w:val="clear" w:color="auto" w:fill="auto"/>
          </w:tcPr>
          <w:p w14:paraId="7B66DD3F" w14:textId="77777777" w:rsidR="0040300B" w:rsidRDefault="0040300B">
            <w:pPr>
              <w:rPr>
                <w:rFonts w:ascii="宋体"/>
              </w:rPr>
            </w:pPr>
          </w:p>
        </w:tc>
        <w:tc>
          <w:tcPr>
            <w:tcW w:w="921" w:type="pct"/>
            <w:shd w:val="clear" w:color="auto" w:fill="auto"/>
          </w:tcPr>
          <w:p w14:paraId="7B66DD40" w14:textId="77777777" w:rsidR="0040300B" w:rsidRDefault="0040300B">
            <w:pPr>
              <w:rPr>
                <w:rFonts w:ascii="宋体"/>
              </w:rPr>
            </w:pPr>
          </w:p>
        </w:tc>
        <w:tc>
          <w:tcPr>
            <w:tcW w:w="5" w:type="pct"/>
            <w:shd w:val="clear" w:color="auto" w:fill="auto"/>
          </w:tcPr>
          <w:p w14:paraId="7B66DD41" w14:textId="77777777" w:rsidR="0040300B" w:rsidRDefault="0040300B">
            <w:pPr>
              <w:rPr>
                <w:rFonts w:ascii="宋体"/>
              </w:rPr>
            </w:pPr>
          </w:p>
        </w:tc>
      </w:tr>
      <w:tr w:rsidR="0040300B" w14:paraId="7B66DD48"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B66DD43"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B66DD44"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B66DD45"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B66DD46"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7B66DD47" w14:textId="77777777" w:rsidR="0040300B" w:rsidRDefault="0040300B">
            <w:pPr>
              <w:rPr>
                <w:rFonts w:ascii="宋体"/>
              </w:rPr>
            </w:pPr>
          </w:p>
        </w:tc>
      </w:tr>
    </w:tbl>
    <w:p w14:paraId="7B66DD49" w14:textId="77777777" w:rsidR="0040300B" w:rsidRDefault="00BB2D44">
      <w:pPr>
        <w:jc w:val="center"/>
      </w:pPr>
      <w:r>
        <w:rPr>
          <w:rFonts w:ascii="Times New Roman" w:eastAsia="宋体" w:hAnsi="Times New Roman"/>
          <w:b/>
          <w:bCs/>
          <w:color w:val="000000"/>
          <w:sz w:val="28"/>
          <w:szCs w:val="28"/>
        </w:rPr>
        <w:t>UNITED STATES SECURITIES AND EXCHANGE COMMISSION</w:t>
      </w:r>
    </w:p>
    <w:p w14:paraId="7B66DD4A" w14:textId="77777777" w:rsidR="0040300B" w:rsidRDefault="00BB2D44">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7B66DD4B" w14:textId="77777777" w:rsidR="0040300B" w:rsidRDefault="00BB2D44">
      <w:pPr>
        <w:jc w:val="center"/>
      </w:pPr>
      <w:r>
        <w:rPr>
          <w:rFonts w:ascii="Times New Roman" w:eastAsia="宋体" w:hAnsi="Times New Roman"/>
          <w:color w:val="000000"/>
          <w:sz w:val="14"/>
          <w:szCs w:val="14"/>
        </w:rPr>
        <w:t>_____________________________________</w:t>
      </w:r>
    </w:p>
    <w:p w14:paraId="7B66DD4C" w14:textId="77777777" w:rsidR="0040300B" w:rsidRDefault="00BB2D44">
      <w:pPr>
        <w:jc w:val="center"/>
      </w:pPr>
      <w:r>
        <w:rPr>
          <w:rFonts w:ascii="Times New Roman" w:eastAsia="宋体" w:hAnsi="Times New Roman"/>
          <w:b/>
          <w:bCs/>
          <w:color w:val="000000"/>
          <w:sz w:val="28"/>
          <w:szCs w:val="28"/>
        </w:rPr>
        <w:t xml:space="preserve">FORM 10-Q </w:t>
      </w:r>
    </w:p>
    <w:p w14:paraId="7B66DD4D" w14:textId="77777777" w:rsidR="0040300B" w:rsidRDefault="00BB2D44">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40300B" w14:paraId="7B66DD54" w14:textId="77777777">
        <w:tc>
          <w:tcPr>
            <w:tcW w:w="50" w:type="pct"/>
            <w:shd w:val="clear" w:color="auto" w:fill="auto"/>
          </w:tcPr>
          <w:p w14:paraId="7B66DD4E" w14:textId="77777777" w:rsidR="0040300B" w:rsidRDefault="0040300B">
            <w:pPr>
              <w:rPr>
                <w:rFonts w:ascii="宋体"/>
              </w:rPr>
            </w:pPr>
          </w:p>
        </w:tc>
        <w:tc>
          <w:tcPr>
            <w:tcW w:w="225" w:type="pct"/>
            <w:shd w:val="clear" w:color="auto" w:fill="auto"/>
          </w:tcPr>
          <w:p w14:paraId="7B66DD4F" w14:textId="77777777" w:rsidR="0040300B" w:rsidRDefault="0040300B">
            <w:pPr>
              <w:rPr>
                <w:rFonts w:ascii="宋体"/>
              </w:rPr>
            </w:pPr>
          </w:p>
        </w:tc>
        <w:tc>
          <w:tcPr>
            <w:tcW w:w="5" w:type="pct"/>
            <w:shd w:val="clear" w:color="auto" w:fill="auto"/>
          </w:tcPr>
          <w:p w14:paraId="7B66DD50" w14:textId="77777777" w:rsidR="0040300B" w:rsidRDefault="0040300B">
            <w:pPr>
              <w:rPr>
                <w:rFonts w:ascii="宋体"/>
              </w:rPr>
            </w:pPr>
          </w:p>
        </w:tc>
        <w:tc>
          <w:tcPr>
            <w:tcW w:w="50" w:type="pct"/>
            <w:shd w:val="clear" w:color="auto" w:fill="auto"/>
          </w:tcPr>
          <w:p w14:paraId="7B66DD51" w14:textId="77777777" w:rsidR="0040300B" w:rsidRDefault="0040300B">
            <w:pPr>
              <w:rPr>
                <w:rFonts w:ascii="宋体"/>
              </w:rPr>
            </w:pPr>
          </w:p>
        </w:tc>
        <w:tc>
          <w:tcPr>
            <w:tcW w:w="4664" w:type="pct"/>
            <w:shd w:val="clear" w:color="auto" w:fill="auto"/>
          </w:tcPr>
          <w:p w14:paraId="7B66DD52" w14:textId="77777777" w:rsidR="0040300B" w:rsidRDefault="0040300B">
            <w:pPr>
              <w:rPr>
                <w:rFonts w:ascii="宋体"/>
              </w:rPr>
            </w:pPr>
          </w:p>
        </w:tc>
        <w:tc>
          <w:tcPr>
            <w:tcW w:w="5" w:type="pct"/>
            <w:shd w:val="clear" w:color="auto" w:fill="auto"/>
          </w:tcPr>
          <w:p w14:paraId="7B66DD53" w14:textId="77777777" w:rsidR="0040300B" w:rsidRDefault="0040300B">
            <w:pPr>
              <w:rPr>
                <w:rFonts w:ascii="宋体"/>
              </w:rPr>
            </w:pPr>
          </w:p>
        </w:tc>
      </w:tr>
      <w:tr w:rsidR="0040300B" w14:paraId="7B66DD57" w14:textId="77777777">
        <w:tc>
          <w:tcPr>
            <w:tcW w:w="0" w:type="auto"/>
            <w:gridSpan w:val="3"/>
            <w:shd w:val="clear" w:color="auto" w:fill="auto"/>
            <w:tcMar>
              <w:top w:w="40" w:type="dxa"/>
              <w:left w:w="20" w:type="dxa"/>
              <w:bottom w:w="40" w:type="dxa"/>
              <w:right w:w="20" w:type="dxa"/>
            </w:tcMar>
          </w:tcPr>
          <w:p w14:paraId="7B66DD55" w14:textId="77777777" w:rsidR="0040300B" w:rsidRDefault="00BB2D44">
            <w:pPr>
              <w:textAlignment w:val="top"/>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tcPr>
          <w:p w14:paraId="7B66DD56" w14:textId="77777777" w:rsidR="0040300B" w:rsidRDefault="00BB2D44">
            <w:pPr>
              <w:textAlignment w:val="top"/>
            </w:pPr>
            <w:r>
              <w:rPr>
                <w:rFonts w:ascii="Times New Roman" w:eastAsia="宋体" w:hAnsi="Times New Roman"/>
                <w:b/>
                <w:bCs/>
                <w:color w:val="000000"/>
                <w:sz w:val="22"/>
                <w:szCs w:val="22"/>
              </w:rPr>
              <w:t xml:space="preserve">QUARTERLY REPORT PURSUANT TO SECTION 13 OR 15(d) OF THE SECURITIES EXCHANGE ACT OF </w:t>
            </w:r>
            <w:r>
              <w:rPr>
                <w:rFonts w:ascii="Times New Roman" w:eastAsia="宋体" w:hAnsi="Times New Roman"/>
                <w:b/>
                <w:bCs/>
                <w:color w:val="000000"/>
                <w:sz w:val="22"/>
                <w:szCs w:val="22"/>
              </w:rPr>
              <w:t>1934</w:t>
            </w:r>
          </w:p>
        </w:tc>
      </w:tr>
    </w:tbl>
    <w:p w14:paraId="7B66DD58" w14:textId="77777777" w:rsidR="0040300B" w:rsidRDefault="00BB2D44">
      <w:pPr>
        <w:spacing w:before="100"/>
        <w:jc w:val="center"/>
      </w:pPr>
      <w:r>
        <w:rPr>
          <w:rFonts w:ascii="Times New Roman" w:eastAsia="宋体" w:hAnsi="Times New Roman"/>
          <w:color w:val="000000"/>
          <w:sz w:val="20"/>
          <w:szCs w:val="20"/>
        </w:rPr>
        <w:t xml:space="preserve">For the quarterly period ended May 1, 2021 </w:t>
      </w:r>
    </w:p>
    <w:p w14:paraId="7B66DD59" w14:textId="77777777" w:rsidR="0040300B" w:rsidRDefault="00BB2D44">
      <w:pPr>
        <w:spacing w:before="60"/>
        <w:jc w:val="center"/>
      </w:pPr>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40300B" w14:paraId="7B66DD60" w14:textId="77777777">
        <w:tc>
          <w:tcPr>
            <w:tcW w:w="50" w:type="pct"/>
            <w:shd w:val="clear" w:color="auto" w:fill="auto"/>
          </w:tcPr>
          <w:p w14:paraId="7B66DD5A" w14:textId="77777777" w:rsidR="0040300B" w:rsidRDefault="0040300B">
            <w:pPr>
              <w:rPr>
                <w:rFonts w:ascii="宋体"/>
              </w:rPr>
            </w:pPr>
          </w:p>
        </w:tc>
        <w:tc>
          <w:tcPr>
            <w:tcW w:w="225" w:type="pct"/>
            <w:shd w:val="clear" w:color="auto" w:fill="auto"/>
          </w:tcPr>
          <w:p w14:paraId="7B66DD5B" w14:textId="77777777" w:rsidR="0040300B" w:rsidRDefault="0040300B">
            <w:pPr>
              <w:rPr>
                <w:rFonts w:ascii="宋体"/>
              </w:rPr>
            </w:pPr>
          </w:p>
        </w:tc>
        <w:tc>
          <w:tcPr>
            <w:tcW w:w="5" w:type="pct"/>
            <w:shd w:val="clear" w:color="auto" w:fill="auto"/>
          </w:tcPr>
          <w:p w14:paraId="7B66DD5C" w14:textId="77777777" w:rsidR="0040300B" w:rsidRDefault="0040300B">
            <w:pPr>
              <w:rPr>
                <w:rFonts w:ascii="宋体"/>
              </w:rPr>
            </w:pPr>
          </w:p>
        </w:tc>
        <w:tc>
          <w:tcPr>
            <w:tcW w:w="50" w:type="pct"/>
            <w:shd w:val="clear" w:color="auto" w:fill="auto"/>
          </w:tcPr>
          <w:p w14:paraId="7B66DD5D" w14:textId="77777777" w:rsidR="0040300B" w:rsidRDefault="0040300B">
            <w:pPr>
              <w:rPr>
                <w:rFonts w:ascii="宋体"/>
              </w:rPr>
            </w:pPr>
          </w:p>
        </w:tc>
        <w:tc>
          <w:tcPr>
            <w:tcW w:w="4664" w:type="pct"/>
            <w:shd w:val="clear" w:color="auto" w:fill="auto"/>
          </w:tcPr>
          <w:p w14:paraId="7B66DD5E" w14:textId="77777777" w:rsidR="0040300B" w:rsidRDefault="0040300B">
            <w:pPr>
              <w:rPr>
                <w:rFonts w:ascii="宋体"/>
              </w:rPr>
            </w:pPr>
          </w:p>
        </w:tc>
        <w:tc>
          <w:tcPr>
            <w:tcW w:w="5" w:type="pct"/>
            <w:shd w:val="clear" w:color="auto" w:fill="auto"/>
          </w:tcPr>
          <w:p w14:paraId="7B66DD5F" w14:textId="77777777" w:rsidR="0040300B" w:rsidRDefault="0040300B">
            <w:pPr>
              <w:rPr>
                <w:rFonts w:ascii="宋体"/>
              </w:rPr>
            </w:pPr>
          </w:p>
        </w:tc>
      </w:tr>
      <w:tr w:rsidR="0040300B" w14:paraId="7B66DD63" w14:textId="77777777">
        <w:tc>
          <w:tcPr>
            <w:tcW w:w="0" w:type="auto"/>
            <w:gridSpan w:val="3"/>
            <w:shd w:val="clear" w:color="auto" w:fill="auto"/>
            <w:tcMar>
              <w:top w:w="40" w:type="dxa"/>
              <w:left w:w="20" w:type="dxa"/>
              <w:bottom w:w="40" w:type="dxa"/>
              <w:right w:w="20" w:type="dxa"/>
            </w:tcMar>
          </w:tcPr>
          <w:p w14:paraId="7B66DD61" w14:textId="77777777" w:rsidR="0040300B" w:rsidRDefault="00BB2D44">
            <w:pPr>
              <w:textAlignment w:val="top"/>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tcPr>
          <w:p w14:paraId="7B66DD62" w14:textId="77777777" w:rsidR="0040300B" w:rsidRDefault="00BB2D44">
            <w:pPr>
              <w:textAlignment w:val="top"/>
            </w:pPr>
            <w:r>
              <w:rPr>
                <w:rFonts w:ascii="Times New Roman" w:eastAsia="宋体" w:hAnsi="Times New Roman"/>
                <w:b/>
                <w:bCs/>
                <w:color w:val="000000"/>
                <w:sz w:val="22"/>
                <w:szCs w:val="22"/>
              </w:rPr>
              <w:t>TRANSITION REPORT PURSUANT TO SECTION 13 OR 15(d) OF THE SECURITIES EXCHANGE ACT OF 1934</w:t>
            </w:r>
          </w:p>
        </w:tc>
      </w:tr>
    </w:tbl>
    <w:p w14:paraId="7B66DD64" w14:textId="77777777" w:rsidR="0040300B" w:rsidRDefault="00BB2D44">
      <w:r>
        <w:rPr>
          <w:rFonts w:ascii="Times New Roman" w:eastAsia="宋体" w:hAnsi="Times New Roman"/>
          <w:b/>
          <w:bCs/>
          <w:color w:val="000000"/>
          <w:sz w:val="22"/>
          <w:szCs w:val="22"/>
        </w:rPr>
        <w:t>          </w:t>
      </w:r>
    </w:p>
    <w:p w14:paraId="7B66DD65" w14:textId="77777777" w:rsidR="0040300B" w:rsidRDefault="00BB2D44">
      <w:pPr>
        <w:spacing w:before="100"/>
        <w:jc w:val="center"/>
      </w:pPr>
      <w:r>
        <w:rPr>
          <w:rFonts w:ascii="Times New Roman" w:eastAsia="宋体" w:hAnsi="Times New Roman"/>
          <w:color w:val="000000"/>
          <w:sz w:val="20"/>
          <w:szCs w:val="20"/>
        </w:rPr>
        <w:t xml:space="preserve">For the transition period from </w:t>
      </w:r>
      <w:r>
        <w:rPr>
          <w:rFonts w:ascii="Times New Roman" w:eastAsia="宋体" w:hAnsi="Times New Roman"/>
          <w:color w:val="000000"/>
          <w:sz w:val="20"/>
          <w:szCs w:val="20"/>
          <w:u w:val="single"/>
        </w:rPr>
        <w:t>            </w:t>
      </w:r>
      <w:r>
        <w:rPr>
          <w:rFonts w:ascii="Times New Roman" w:eastAsia="宋体" w:hAnsi="Times New Roman"/>
          <w:color w:val="000000"/>
          <w:sz w:val="20"/>
          <w:szCs w:val="20"/>
        </w:rPr>
        <w:t xml:space="preserve"> to </w:t>
      </w:r>
      <w:r>
        <w:rPr>
          <w:rFonts w:ascii="Times New Roman" w:eastAsia="宋体" w:hAnsi="Times New Roman"/>
          <w:color w:val="000000"/>
          <w:sz w:val="20"/>
          <w:szCs w:val="20"/>
          <w:u w:val="single"/>
        </w:rPr>
        <w:t>            </w:t>
      </w:r>
    </w:p>
    <w:p w14:paraId="7B66DD66" w14:textId="77777777" w:rsidR="0040300B" w:rsidRDefault="00BB2D44">
      <w:pPr>
        <w:spacing w:before="100"/>
        <w:jc w:val="center"/>
      </w:pPr>
      <w:r>
        <w:rPr>
          <w:rFonts w:ascii="Times New Roman" w:eastAsia="宋体" w:hAnsi="Times New Roman"/>
          <w:color w:val="000000"/>
          <w:sz w:val="20"/>
          <w:szCs w:val="20"/>
        </w:rPr>
        <w:t xml:space="preserve">Commission file number </w:t>
      </w:r>
      <w:r>
        <w:rPr>
          <w:rFonts w:ascii="Times New Roman" w:eastAsia="宋体" w:hAnsi="Times New Roman"/>
          <w:color w:val="000000"/>
          <w:sz w:val="20"/>
          <w:szCs w:val="20"/>
        </w:rPr>
        <w:t>001-39940 </w:t>
      </w:r>
    </w:p>
    <w:p w14:paraId="7B66DD67" w14:textId="77777777" w:rsidR="0040300B" w:rsidRDefault="00BB2D44">
      <w:pPr>
        <w:jc w:val="center"/>
      </w:pPr>
      <w:r>
        <w:rPr>
          <w:rFonts w:ascii="Times New Roman" w:eastAsia="宋体" w:hAnsi="Times New Roman"/>
          <w:color w:val="000000"/>
          <w:sz w:val="14"/>
          <w:szCs w:val="14"/>
        </w:rPr>
        <w:t>_____________________________________</w:t>
      </w:r>
    </w:p>
    <w:p w14:paraId="7B66DD68" w14:textId="77777777" w:rsidR="0040300B" w:rsidRDefault="00BB2D4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Viewer6_files/csco-20210501_g1.jpg"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B671C0F" wp14:editId="7B671C10">
            <wp:extent cx="304800" cy="304800"/>
            <wp:effectExtent l="0" t="0" r="0" b="0"/>
            <wp:docPr id="3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B66DD69" w14:textId="77777777" w:rsidR="0040300B" w:rsidRDefault="00BB2D44">
      <w:pPr>
        <w:jc w:val="center"/>
      </w:pPr>
      <w:r>
        <w:rPr>
          <w:rFonts w:ascii="Times New Roman" w:eastAsia="宋体" w:hAnsi="Times New Roman"/>
          <w:b/>
          <w:bCs/>
          <w:color w:val="000000"/>
          <w:sz w:val="36"/>
          <w:szCs w:val="36"/>
        </w:rPr>
        <w:t xml:space="preserve">CISCO SYSTEMS, INC. </w:t>
      </w:r>
    </w:p>
    <w:p w14:paraId="7B66DD6A" w14:textId="77777777" w:rsidR="0040300B" w:rsidRDefault="00BB2D44">
      <w:pPr>
        <w:jc w:val="center"/>
      </w:pPr>
      <w:r>
        <w:rPr>
          <w:rFonts w:ascii="Times New Roman" w:eastAsia="宋体" w:hAnsi="Times New Roman"/>
          <w:b/>
          <w:bCs/>
          <w:color w:val="000000"/>
          <w:sz w:val="16"/>
          <w:szCs w:val="16"/>
        </w:rPr>
        <w:t>(Exact name of registrant as specified i</w:t>
      </w:r>
      <w:r>
        <w:rPr>
          <w:rFonts w:ascii="Times New Roman" w:eastAsia="宋体" w:hAnsi="Times New Roman"/>
          <w:b/>
          <w:bCs/>
          <w:color w:val="000000"/>
          <w:sz w:val="16"/>
          <w:szCs w:val="16"/>
        </w:rPr>
        <w:t>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40300B" w14:paraId="7B66DD74" w14:textId="77777777">
        <w:trPr>
          <w:jc w:val="center"/>
        </w:trPr>
        <w:tc>
          <w:tcPr>
            <w:tcW w:w="50" w:type="pct"/>
            <w:shd w:val="clear" w:color="auto" w:fill="auto"/>
          </w:tcPr>
          <w:p w14:paraId="7B66DD6B" w14:textId="77777777" w:rsidR="0040300B" w:rsidRDefault="0040300B">
            <w:pPr>
              <w:rPr>
                <w:rFonts w:ascii="宋体"/>
              </w:rPr>
            </w:pPr>
          </w:p>
        </w:tc>
        <w:tc>
          <w:tcPr>
            <w:tcW w:w="2107" w:type="pct"/>
            <w:shd w:val="clear" w:color="auto" w:fill="auto"/>
          </w:tcPr>
          <w:p w14:paraId="7B66DD6C" w14:textId="77777777" w:rsidR="0040300B" w:rsidRDefault="0040300B">
            <w:pPr>
              <w:rPr>
                <w:rFonts w:ascii="宋体"/>
              </w:rPr>
            </w:pPr>
          </w:p>
        </w:tc>
        <w:tc>
          <w:tcPr>
            <w:tcW w:w="5" w:type="pct"/>
            <w:shd w:val="clear" w:color="auto" w:fill="auto"/>
          </w:tcPr>
          <w:p w14:paraId="7B66DD6D" w14:textId="77777777" w:rsidR="0040300B" w:rsidRDefault="0040300B">
            <w:pPr>
              <w:rPr>
                <w:rFonts w:ascii="宋体"/>
              </w:rPr>
            </w:pPr>
          </w:p>
        </w:tc>
        <w:tc>
          <w:tcPr>
            <w:tcW w:w="50" w:type="pct"/>
            <w:shd w:val="clear" w:color="auto" w:fill="auto"/>
          </w:tcPr>
          <w:p w14:paraId="7B66DD6E" w14:textId="77777777" w:rsidR="0040300B" w:rsidRDefault="0040300B">
            <w:pPr>
              <w:rPr>
                <w:rFonts w:ascii="宋体"/>
              </w:rPr>
            </w:pPr>
          </w:p>
        </w:tc>
        <w:tc>
          <w:tcPr>
            <w:tcW w:w="605" w:type="pct"/>
            <w:shd w:val="clear" w:color="auto" w:fill="auto"/>
          </w:tcPr>
          <w:p w14:paraId="7B66DD6F" w14:textId="77777777" w:rsidR="0040300B" w:rsidRDefault="0040300B">
            <w:pPr>
              <w:rPr>
                <w:rFonts w:ascii="宋体"/>
              </w:rPr>
            </w:pPr>
          </w:p>
        </w:tc>
        <w:tc>
          <w:tcPr>
            <w:tcW w:w="5" w:type="pct"/>
            <w:shd w:val="clear" w:color="auto" w:fill="auto"/>
          </w:tcPr>
          <w:p w14:paraId="7B66DD70" w14:textId="77777777" w:rsidR="0040300B" w:rsidRDefault="0040300B">
            <w:pPr>
              <w:rPr>
                <w:rFonts w:ascii="宋体"/>
              </w:rPr>
            </w:pPr>
          </w:p>
        </w:tc>
        <w:tc>
          <w:tcPr>
            <w:tcW w:w="50" w:type="pct"/>
            <w:shd w:val="clear" w:color="auto" w:fill="auto"/>
          </w:tcPr>
          <w:p w14:paraId="7B66DD71" w14:textId="77777777" w:rsidR="0040300B" w:rsidRDefault="0040300B">
            <w:pPr>
              <w:rPr>
                <w:rFonts w:ascii="宋体"/>
              </w:rPr>
            </w:pPr>
          </w:p>
        </w:tc>
        <w:tc>
          <w:tcPr>
            <w:tcW w:w="2121" w:type="pct"/>
            <w:shd w:val="clear" w:color="auto" w:fill="auto"/>
          </w:tcPr>
          <w:p w14:paraId="7B66DD72" w14:textId="77777777" w:rsidR="0040300B" w:rsidRDefault="0040300B">
            <w:pPr>
              <w:rPr>
                <w:rFonts w:ascii="宋体"/>
              </w:rPr>
            </w:pPr>
          </w:p>
        </w:tc>
        <w:tc>
          <w:tcPr>
            <w:tcW w:w="5" w:type="pct"/>
            <w:shd w:val="clear" w:color="auto" w:fill="auto"/>
          </w:tcPr>
          <w:p w14:paraId="7B66DD73" w14:textId="77777777" w:rsidR="0040300B" w:rsidRDefault="0040300B">
            <w:pPr>
              <w:rPr>
                <w:rFonts w:ascii="宋体"/>
              </w:rPr>
            </w:pPr>
          </w:p>
        </w:tc>
      </w:tr>
      <w:tr w:rsidR="0040300B" w14:paraId="7B66DD78" w14:textId="77777777">
        <w:trPr>
          <w:jc w:val="center"/>
        </w:trPr>
        <w:tc>
          <w:tcPr>
            <w:tcW w:w="0" w:type="auto"/>
            <w:gridSpan w:val="3"/>
            <w:shd w:val="clear" w:color="auto" w:fill="auto"/>
            <w:tcMar>
              <w:top w:w="40" w:type="dxa"/>
              <w:left w:w="20" w:type="dxa"/>
              <w:bottom w:w="40" w:type="dxa"/>
              <w:right w:w="20" w:type="dxa"/>
            </w:tcMar>
          </w:tcPr>
          <w:p w14:paraId="7B66DD75" w14:textId="77777777" w:rsidR="0040300B" w:rsidRDefault="00BB2D44">
            <w:pPr>
              <w:jc w:val="center"/>
              <w:textAlignment w:val="top"/>
            </w:pPr>
            <w:r>
              <w:rPr>
                <w:rFonts w:ascii="Times New Roman" w:eastAsia="宋体" w:hAnsi="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14:paraId="7B66DD76" w14:textId="77777777" w:rsidR="0040300B" w:rsidRDefault="00BB2D4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7B66DD77" w14:textId="77777777" w:rsidR="0040300B" w:rsidRDefault="00BB2D44">
            <w:pPr>
              <w:jc w:val="center"/>
              <w:textAlignment w:val="top"/>
            </w:pPr>
            <w:r>
              <w:rPr>
                <w:rFonts w:ascii="Times New Roman" w:eastAsia="宋体" w:hAnsi="Times New Roman"/>
                <w:b/>
                <w:bCs/>
                <w:color w:val="000000"/>
                <w:sz w:val="16"/>
                <w:szCs w:val="16"/>
              </w:rPr>
              <w:t>77-0059951</w:t>
            </w:r>
          </w:p>
        </w:tc>
      </w:tr>
      <w:tr w:rsidR="0040300B" w14:paraId="7B66DD7C" w14:textId="77777777">
        <w:trPr>
          <w:jc w:val="center"/>
        </w:trPr>
        <w:tc>
          <w:tcPr>
            <w:tcW w:w="0" w:type="auto"/>
            <w:gridSpan w:val="3"/>
            <w:shd w:val="clear" w:color="auto" w:fill="auto"/>
            <w:tcMar>
              <w:top w:w="40" w:type="dxa"/>
              <w:left w:w="20" w:type="dxa"/>
              <w:bottom w:w="40" w:type="dxa"/>
              <w:right w:w="20" w:type="dxa"/>
            </w:tcMar>
            <w:vAlign w:val="bottom"/>
          </w:tcPr>
          <w:p w14:paraId="7B66DD79" w14:textId="77777777" w:rsidR="0040300B" w:rsidRDefault="00BB2D44">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7B66DD7A" w14:textId="77777777" w:rsidR="0040300B" w:rsidRDefault="00BB2D4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B66DD7B" w14:textId="77777777" w:rsidR="0040300B" w:rsidRDefault="00BB2D44">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Number)</w:t>
            </w:r>
          </w:p>
        </w:tc>
      </w:tr>
    </w:tbl>
    <w:p w14:paraId="7B66DD7D" w14:textId="77777777" w:rsidR="0040300B" w:rsidRDefault="00BB2D44">
      <w:pPr>
        <w:jc w:val="center"/>
      </w:pPr>
      <w:r>
        <w:rPr>
          <w:rFonts w:ascii="Times New Roman" w:eastAsia="宋体" w:hAnsi="Times New Roman"/>
          <w:b/>
          <w:bCs/>
          <w:color w:val="000000"/>
          <w:sz w:val="20"/>
          <w:szCs w:val="20"/>
        </w:rPr>
        <w:t>170 West Tasman Drive</w:t>
      </w:r>
      <w:r>
        <w:rPr>
          <w:rFonts w:ascii="Times New Roman" w:eastAsia="宋体" w:hAnsi="Times New Roman"/>
          <w:color w:val="000000"/>
          <w:sz w:val="20"/>
          <w:szCs w:val="20"/>
        </w:rPr>
        <w:t xml:space="preserve"> </w:t>
      </w:r>
    </w:p>
    <w:p w14:paraId="7B66DD7E" w14:textId="77777777" w:rsidR="0040300B" w:rsidRDefault="00BB2D44">
      <w:pPr>
        <w:jc w:val="center"/>
      </w:pPr>
      <w:r>
        <w:rPr>
          <w:rFonts w:ascii="Times New Roman" w:eastAsia="宋体" w:hAnsi="Times New Roman"/>
          <w:b/>
          <w:bCs/>
          <w:color w:val="000000"/>
          <w:sz w:val="20"/>
          <w:szCs w:val="20"/>
        </w:rPr>
        <w:t xml:space="preserve">San Jose, California 95134 </w:t>
      </w:r>
    </w:p>
    <w:p w14:paraId="7B66DD7F" w14:textId="77777777" w:rsidR="0040300B" w:rsidRDefault="00BB2D44">
      <w:pPr>
        <w:jc w:val="center"/>
      </w:pPr>
      <w:r>
        <w:rPr>
          <w:rFonts w:ascii="Times New Roman" w:eastAsia="宋体" w:hAnsi="Times New Roman"/>
          <w:b/>
          <w:bCs/>
          <w:color w:val="000000"/>
          <w:sz w:val="16"/>
          <w:szCs w:val="16"/>
        </w:rPr>
        <w:t xml:space="preserve">(Address of principal executive office and zip </w:t>
      </w:r>
      <w:r>
        <w:rPr>
          <w:rFonts w:ascii="Times New Roman" w:eastAsia="宋体" w:hAnsi="Times New Roman"/>
          <w:b/>
          <w:bCs/>
          <w:color w:val="000000"/>
          <w:sz w:val="16"/>
          <w:szCs w:val="16"/>
        </w:rPr>
        <w:t>code)</w:t>
      </w:r>
    </w:p>
    <w:p w14:paraId="7B66DD80" w14:textId="77777777" w:rsidR="0040300B" w:rsidRDefault="00BB2D44">
      <w:pPr>
        <w:spacing w:before="100"/>
        <w:jc w:val="center"/>
      </w:pPr>
      <w:r>
        <w:rPr>
          <w:rFonts w:ascii="Times New Roman" w:eastAsia="宋体" w:hAnsi="Times New Roman"/>
          <w:b/>
          <w:bCs/>
          <w:color w:val="000000"/>
          <w:sz w:val="20"/>
          <w:szCs w:val="20"/>
        </w:rPr>
        <w:t xml:space="preserve">(408) 526-4000 </w:t>
      </w:r>
    </w:p>
    <w:p w14:paraId="7B66DD81" w14:textId="77777777" w:rsidR="0040300B" w:rsidRDefault="00BB2D44">
      <w:pPr>
        <w:jc w:val="center"/>
      </w:pPr>
      <w:r>
        <w:rPr>
          <w:rFonts w:ascii="Times New Roman" w:eastAsia="宋体" w:hAnsi="Times New Roman"/>
          <w:b/>
          <w:bCs/>
          <w:color w:val="000000"/>
          <w:sz w:val="16"/>
          <w:szCs w:val="16"/>
        </w:rPr>
        <w:t>(Registrant’s telephone number, including area code)</w:t>
      </w:r>
    </w:p>
    <w:p w14:paraId="7B66DD82" w14:textId="77777777" w:rsidR="0040300B" w:rsidRDefault="00BB2D44">
      <w:pPr>
        <w:spacing w:before="100"/>
        <w:jc w:val="center"/>
      </w:pPr>
      <w:r>
        <w:rPr>
          <w:rFonts w:ascii="Times New Roman" w:eastAsia="宋体" w:hAnsi="Times New Roman"/>
          <w:b/>
          <w:bCs/>
          <w:color w:val="000000"/>
          <w:sz w:val="20"/>
          <w:szCs w:val="20"/>
        </w:rPr>
        <w:t>Not Applicable</w:t>
      </w:r>
    </w:p>
    <w:p w14:paraId="7B66DD83" w14:textId="77777777" w:rsidR="0040300B" w:rsidRDefault="00BB2D44">
      <w:pPr>
        <w:jc w:val="center"/>
      </w:pPr>
      <w:r>
        <w:rPr>
          <w:rFonts w:ascii="Times New Roman" w:eastAsia="宋体" w:hAnsi="Times New Roman"/>
          <w:b/>
          <w:bCs/>
          <w:color w:val="000000"/>
          <w:sz w:val="14"/>
          <w:szCs w:val="14"/>
        </w:rPr>
        <w:t>(Former name, former address and formal fiscal year, if changed since last report.)</w:t>
      </w:r>
    </w:p>
    <w:p w14:paraId="7B66DD84" w14:textId="77777777" w:rsidR="0040300B" w:rsidRDefault="00BB2D44">
      <w:pPr>
        <w:jc w:val="center"/>
      </w:pPr>
      <w:r>
        <w:rPr>
          <w:rFonts w:ascii="Times New Roman" w:eastAsia="宋体" w:hAnsi="Times New Roman"/>
          <w:color w:val="000000"/>
          <w:sz w:val="14"/>
          <w:szCs w:val="14"/>
        </w:rPr>
        <w:t>_____________________________________</w:t>
      </w:r>
      <w:r>
        <w:rPr>
          <w:rFonts w:ascii="Times New Roman" w:eastAsia="宋体" w:hAnsi="Times New Roman"/>
          <w:color w:val="000000"/>
          <w:sz w:val="17"/>
          <w:szCs w:val="17"/>
        </w:rPr>
        <w:t> </w:t>
      </w:r>
    </w:p>
    <w:p w14:paraId="7B66DD85" w14:textId="77777777" w:rsidR="0040300B" w:rsidRDefault="00BB2D44">
      <w:pPr>
        <w:spacing w:before="20"/>
        <w:jc w:val="center"/>
      </w:pPr>
      <w:r>
        <w:rPr>
          <w:rFonts w:ascii="Times New Roman" w:eastAsia="宋体" w:hAnsi="Times New Roman"/>
          <w:b/>
          <w:bCs/>
          <w:color w:val="000000"/>
          <w:sz w:val="18"/>
          <w:szCs w:val="18"/>
        </w:rPr>
        <w:t xml:space="preserve">Securities registered pursuant to </w:t>
      </w:r>
      <w:r>
        <w:rPr>
          <w:rFonts w:ascii="Times New Roman" w:eastAsia="宋体" w:hAnsi="Times New Roman"/>
          <w:b/>
          <w:bCs/>
          <w:color w:val="000000"/>
          <w:sz w:val="18"/>
          <w:szCs w:val="18"/>
        </w:rPr>
        <w:t>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40300B" w14:paraId="7B66DD8F" w14:textId="77777777">
        <w:trPr>
          <w:jc w:val="center"/>
        </w:trPr>
        <w:tc>
          <w:tcPr>
            <w:tcW w:w="50" w:type="pct"/>
            <w:shd w:val="clear" w:color="auto" w:fill="auto"/>
          </w:tcPr>
          <w:p w14:paraId="7B66DD86" w14:textId="77777777" w:rsidR="0040300B" w:rsidRDefault="0040300B">
            <w:pPr>
              <w:rPr>
                <w:rFonts w:ascii="宋体"/>
              </w:rPr>
            </w:pPr>
          </w:p>
        </w:tc>
        <w:tc>
          <w:tcPr>
            <w:tcW w:w="2036" w:type="pct"/>
            <w:shd w:val="clear" w:color="auto" w:fill="auto"/>
          </w:tcPr>
          <w:p w14:paraId="7B66DD87" w14:textId="77777777" w:rsidR="0040300B" w:rsidRDefault="0040300B">
            <w:pPr>
              <w:rPr>
                <w:rFonts w:ascii="宋体"/>
              </w:rPr>
            </w:pPr>
          </w:p>
        </w:tc>
        <w:tc>
          <w:tcPr>
            <w:tcW w:w="5" w:type="pct"/>
            <w:shd w:val="clear" w:color="auto" w:fill="auto"/>
          </w:tcPr>
          <w:p w14:paraId="7B66DD88" w14:textId="77777777" w:rsidR="0040300B" w:rsidRDefault="0040300B">
            <w:pPr>
              <w:rPr>
                <w:rFonts w:ascii="宋体"/>
              </w:rPr>
            </w:pPr>
          </w:p>
        </w:tc>
        <w:tc>
          <w:tcPr>
            <w:tcW w:w="50" w:type="pct"/>
            <w:shd w:val="clear" w:color="auto" w:fill="auto"/>
          </w:tcPr>
          <w:p w14:paraId="7B66DD89" w14:textId="77777777" w:rsidR="0040300B" w:rsidRDefault="0040300B">
            <w:pPr>
              <w:rPr>
                <w:rFonts w:ascii="宋体"/>
              </w:rPr>
            </w:pPr>
          </w:p>
        </w:tc>
        <w:tc>
          <w:tcPr>
            <w:tcW w:w="755" w:type="pct"/>
            <w:shd w:val="clear" w:color="auto" w:fill="auto"/>
          </w:tcPr>
          <w:p w14:paraId="7B66DD8A" w14:textId="77777777" w:rsidR="0040300B" w:rsidRDefault="0040300B">
            <w:pPr>
              <w:rPr>
                <w:rFonts w:ascii="宋体"/>
              </w:rPr>
            </w:pPr>
          </w:p>
        </w:tc>
        <w:tc>
          <w:tcPr>
            <w:tcW w:w="5" w:type="pct"/>
            <w:shd w:val="clear" w:color="auto" w:fill="auto"/>
          </w:tcPr>
          <w:p w14:paraId="7B66DD8B" w14:textId="77777777" w:rsidR="0040300B" w:rsidRDefault="0040300B">
            <w:pPr>
              <w:rPr>
                <w:rFonts w:ascii="宋体"/>
              </w:rPr>
            </w:pPr>
          </w:p>
        </w:tc>
        <w:tc>
          <w:tcPr>
            <w:tcW w:w="50" w:type="pct"/>
            <w:shd w:val="clear" w:color="auto" w:fill="auto"/>
          </w:tcPr>
          <w:p w14:paraId="7B66DD8C" w14:textId="77777777" w:rsidR="0040300B" w:rsidRDefault="0040300B">
            <w:pPr>
              <w:rPr>
                <w:rFonts w:ascii="宋体"/>
              </w:rPr>
            </w:pPr>
          </w:p>
        </w:tc>
        <w:tc>
          <w:tcPr>
            <w:tcW w:w="2043" w:type="pct"/>
            <w:shd w:val="clear" w:color="auto" w:fill="auto"/>
          </w:tcPr>
          <w:p w14:paraId="7B66DD8D" w14:textId="77777777" w:rsidR="0040300B" w:rsidRDefault="0040300B">
            <w:pPr>
              <w:rPr>
                <w:rFonts w:ascii="宋体"/>
              </w:rPr>
            </w:pPr>
          </w:p>
        </w:tc>
        <w:tc>
          <w:tcPr>
            <w:tcW w:w="5" w:type="pct"/>
            <w:shd w:val="clear" w:color="auto" w:fill="auto"/>
          </w:tcPr>
          <w:p w14:paraId="7B66DD8E" w14:textId="77777777" w:rsidR="0040300B" w:rsidRDefault="0040300B">
            <w:pPr>
              <w:rPr>
                <w:rFonts w:ascii="宋体"/>
              </w:rPr>
            </w:pPr>
          </w:p>
        </w:tc>
      </w:tr>
      <w:tr w:rsidR="0040300B" w14:paraId="7B66DD93" w14:textId="77777777">
        <w:trPr>
          <w:jc w:val="center"/>
        </w:trPr>
        <w:tc>
          <w:tcPr>
            <w:tcW w:w="0" w:type="auto"/>
            <w:gridSpan w:val="3"/>
            <w:shd w:val="clear" w:color="auto" w:fill="auto"/>
            <w:tcMar>
              <w:top w:w="40" w:type="dxa"/>
              <w:left w:w="20" w:type="dxa"/>
              <w:bottom w:w="40" w:type="dxa"/>
              <w:right w:w="20" w:type="dxa"/>
            </w:tcMar>
            <w:vAlign w:val="bottom"/>
          </w:tcPr>
          <w:p w14:paraId="7B66DD90" w14:textId="77777777" w:rsidR="0040300B" w:rsidRDefault="00BB2D44">
            <w:pPr>
              <w:jc w:val="center"/>
              <w:textAlignment w:val="bottom"/>
            </w:pPr>
            <w:r>
              <w:rPr>
                <w:rFonts w:ascii="Times New Roman" w:eastAsia="宋体" w:hAnsi="Times New Roman"/>
                <w:b/>
                <w:bCs/>
                <w:color w:val="000000"/>
                <w:sz w:val="14"/>
                <w:szCs w:val="14"/>
                <w:u w:val="single"/>
              </w:rPr>
              <w:t>Title of each class</w:t>
            </w:r>
          </w:p>
        </w:tc>
        <w:tc>
          <w:tcPr>
            <w:tcW w:w="0" w:type="auto"/>
            <w:gridSpan w:val="3"/>
            <w:shd w:val="clear" w:color="auto" w:fill="auto"/>
            <w:tcMar>
              <w:top w:w="40" w:type="dxa"/>
              <w:left w:w="20" w:type="dxa"/>
              <w:bottom w:w="40" w:type="dxa"/>
              <w:right w:w="20" w:type="dxa"/>
            </w:tcMar>
            <w:vAlign w:val="bottom"/>
          </w:tcPr>
          <w:p w14:paraId="7B66DD91" w14:textId="77777777" w:rsidR="0040300B" w:rsidRDefault="00BB2D44">
            <w:pPr>
              <w:jc w:val="center"/>
              <w:textAlignment w:val="bottom"/>
            </w:pPr>
            <w:r>
              <w:rPr>
                <w:rFonts w:ascii="Times New Roman" w:eastAsia="宋体" w:hAnsi="Times New Roman"/>
                <w:b/>
                <w:bCs/>
                <w:color w:val="000000"/>
                <w:sz w:val="14"/>
                <w:szCs w:val="14"/>
                <w:u w:val="single"/>
              </w:rPr>
              <w:t>Trading Symbol(s)</w:t>
            </w:r>
          </w:p>
        </w:tc>
        <w:tc>
          <w:tcPr>
            <w:tcW w:w="0" w:type="auto"/>
            <w:gridSpan w:val="3"/>
            <w:shd w:val="clear" w:color="auto" w:fill="auto"/>
            <w:tcMar>
              <w:top w:w="40" w:type="dxa"/>
              <w:left w:w="20" w:type="dxa"/>
              <w:bottom w:w="40" w:type="dxa"/>
              <w:right w:w="20" w:type="dxa"/>
            </w:tcMar>
            <w:vAlign w:val="bottom"/>
          </w:tcPr>
          <w:p w14:paraId="7B66DD92" w14:textId="77777777" w:rsidR="0040300B" w:rsidRDefault="00BB2D44">
            <w:pPr>
              <w:jc w:val="center"/>
              <w:textAlignment w:val="bottom"/>
            </w:pPr>
            <w:r>
              <w:rPr>
                <w:rFonts w:ascii="Times New Roman" w:eastAsia="宋体" w:hAnsi="Times New Roman"/>
                <w:b/>
                <w:bCs/>
                <w:color w:val="000000"/>
                <w:sz w:val="14"/>
                <w:szCs w:val="14"/>
                <w:u w:val="single"/>
              </w:rPr>
              <w:t>Name of each exchange on which registered</w:t>
            </w:r>
          </w:p>
        </w:tc>
      </w:tr>
      <w:tr w:rsidR="0040300B" w14:paraId="7B66DD97" w14:textId="77777777">
        <w:trPr>
          <w:jc w:val="center"/>
        </w:trPr>
        <w:tc>
          <w:tcPr>
            <w:tcW w:w="0" w:type="auto"/>
            <w:gridSpan w:val="3"/>
            <w:shd w:val="clear" w:color="auto" w:fill="auto"/>
            <w:tcMar>
              <w:top w:w="40" w:type="dxa"/>
              <w:left w:w="20" w:type="dxa"/>
              <w:bottom w:w="40" w:type="dxa"/>
              <w:right w:w="20" w:type="dxa"/>
            </w:tcMar>
          </w:tcPr>
          <w:p w14:paraId="7B66DD94" w14:textId="77777777" w:rsidR="0040300B" w:rsidRDefault="00BB2D44">
            <w:pPr>
              <w:jc w:val="center"/>
              <w:textAlignment w:val="top"/>
            </w:pPr>
            <w:r>
              <w:rPr>
                <w:rFonts w:ascii="Times New Roman" w:eastAsia="宋体" w:hAnsi="Times New Roman"/>
                <w:color w:val="000000"/>
                <w:sz w:val="19"/>
                <w:szCs w:val="19"/>
              </w:rPr>
              <w:t>Common Stock, par value $0.001 per share</w:t>
            </w:r>
          </w:p>
        </w:tc>
        <w:tc>
          <w:tcPr>
            <w:tcW w:w="0" w:type="auto"/>
            <w:gridSpan w:val="3"/>
            <w:shd w:val="clear" w:color="auto" w:fill="auto"/>
            <w:tcMar>
              <w:top w:w="40" w:type="dxa"/>
              <w:left w:w="20" w:type="dxa"/>
              <w:bottom w:w="40" w:type="dxa"/>
              <w:right w:w="20" w:type="dxa"/>
            </w:tcMar>
            <w:vAlign w:val="bottom"/>
          </w:tcPr>
          <w:p w14:paraId="7B66DD95" w14:textId="77777777" w:rsidR="0040300B" w:rsidRDefault="00BB2D44">
            <w:pPr>
              <w:jc w:val="center"/>
              <w:textAlignment w:val="bottom"/>
            </w:pPr>
            <w:r>
              <w:rPr>
                <w:rFonts w:ascii="Times New Roman" w:eastAsia="宋体" w:hAnsi="Times New Roman"/>
                <w:color w:val="000000"/>
                <w:sz w:val="19"/>
                <w:szCs w:val="19"/>
              </w:rPr>
              <w:t>CSCO</w:t>
            </w:r>
          </w:p>
        </w:tc>
        <w:tc>
          <w:tcPr>
            <w:tcW w:w="0" w:type="auto"/>
            <w:gridSpan w:val="3"/>
            <w:shd w:val="clear" w:color="auto" w:fill="auto"/>
            <w:tcMar>
              <w:top w:w="40" w:type="dxa"/>
              <w:left w:w="20" w:type="dxa"/>
              <w:bottom w:w="40" w:type="dxa"/>
              <w:right w:w="20" w:type="dxa"/>
            </w:tcMar>
          </w:tcPr>
          <w:p w14:paraId="7B66DD96" w14:textId="77777777" w:rsidR="0040300B" w:rsidRDefault="00BB2D44">
            <w:pPr>
              <w:jc w:val="center"/>
              <w:textAlignment w:val="top"/>
            </w:pPr>
            <w:r>
              <w:rPr>
                <w:rFonts w:ascii="Times New Roman" w:eastAsia="宋体" w:hAnsi="Times New Roman"/>
                <w:color w:val="000000"/>
                <w:sz w:val="19"/>
                <w:szCs w:val="19"/>
              </w:rPr>
              <w:t>The Nasdaq Stock Market LLC</w:t>
            </w:r>
          </w:p>
        </w:tc>
      </w:tr>
    </w:tbl>
    <w:p w14:paraId="7B66DD98" w14:textId="77777777" w:rsidR="0040300B" w:rsidRDefault="00BB2D44">
      <w:pPr>
        <w:spacing w:before="80"/>
      </w:pPr>
      <w:r>
        <w:rPr>
          <w:rFonts w:ascii="Times New Roman" w:eastAsia="宋体" w:hAnsi="Times New Roman"/>
          <w:color w:val="00000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olor w:val="000000"/>
          <w:sz w:val="19"/>
          <w:szCs w:val="19"/>
        </w:rPr>
        <w:t xml:space="preserve">uch reports), and (2) has been subject to such filing requirements for the past 90 days.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7B66DD99" w14:textId="77777777" w:rsidR="0040300B" w:rsidRDefault="00BB2D44">
      <w:pPr>
        <w:spacing w:before="60"/>
      </w:pPr>
      <w:r>
        <w:rPr>
          <w:rFonts w:ascii="Times New Roman" w:eastAsia="宋体" w:hAnsi="Times New Roman"/>
          <w:color w:val="000000"/>
          <w:sz w:val="19"/>
          <w:szCs w:val="19"/>
        </w:rPr>
        <w:t>Indicate by check mark whether the registrant has submitted electronically every Interactive Data File required to be submitted pursuant to Rule 405</w:t>
      </w:r>
      <w:r>
        <w:rPr>
          <w:rFonts w:ascii="Times New Roman" w:eastAsia="宋体" w:hAnsi="Times New Roman"/>
          <w:color w:val="000000"/>
          <w:sz w:val="19"/>
          <w:szCs w:val="19"/>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7B66DD9A" w14:textId="77777777" w:rsidR="0040300B" w:rsidRDefault="00BB2D44">
      <w:pPr>
        <w:spacing w:before="60" w:after="60"/>
        <w:jc w:val="both"/>
      </w:pPr>
      <w:r>
        <w:rPr>
          <w:rFonts w:ascii="Times New Roman" w:eastAsia="宋体" w:hAnsi="Times New Roman"/>
          <w:color w:val="000000"/>
          <w:sz w:val="19"/>
          <w:szCs w:val="19"/>
        </w:rPr>
        <w:lastRenderedPageBreak/>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19"/>
          <w:szCs w:val="19"/>
        </w:rPr>
        <w:t xml:space="preserve">maller reporting company,” and “emerging growth company” in Rule 12b-2 of the Exchange Act. </w:t>
      </w:r>
    </w:p>
    <w:tbl>
      <w:tblPr>
        <w:tblW w:w="4935" w:type="pct"/>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40300B" w14:paraId="7B66DDB3" w14:textId="77777777">
        <w:tc>
          <w:tcPr>
            <w:tcW w:w="50" w:type="pct"/>
            <w:shd w:val="clear" w:color="auto" w:fill="auto"/>
          </w:tcPr>
          <w:p w14:paraId="7B66DD9B" w14:textId="77777777" w:rsidR="0040300B" w:rsidRDefault="0040300B">
            <w:pPr>
              <w:rPr>
                <w:rFonts w:ascii="宋体"/>
              </w:rPr>
            </w:pPr>
          </w:p>
        </w:tc>
        <w:tc>
          <w:tcPr>
            <w:tcW w:w="1014" w:type="pct"/>
            <w:shd w:val="clear" w:color="auto" w:fill="auto"/>
          </w:tcPr>
          <w:p w14:paraId="7B66DD9C" w14:textId="77777777" w:rsidR="0040300B" w:rsidRDefault="0040300B">
            <w:pPr>
              <w:rPr>
                <w:rFonts w:ascii="宋体"/>
              </w:rPr>
            </w:pPr>
          </w:p>
        </w:tc>
        <w:tc>
          <w:tcPr>
            <w:tcW w:w="5" w:type="pct"/>
            <w:shd w:val="clear" w:color="auto" w:fill="auto"/>
          </w:tcPr>
          <w:p w14:paraId="7B66DD9D" w14:textId="77777777" w:rsidR="0040300B" w:rsidRDefault="0040300B">
            <w:pPr>
              <w:rPr>
                <w:rFonts w:ascii="宋体"/>
              </w:rPr>
            </w:pPr>
          </w:p>
        </w:tc>
        <w:tc>
          <w:tcPr>
            <w:tcW w:w="5" w:type="pct"/>
            <w:shd w:val="clear" w:color="auto" w:fill="auto"/>
          </w:tcPr>
          <w:p w14:paraId="7B66DD9E" w14:textId="77777777" w:rsidR="0040300B" w:rsidRDefault="0040300B">
            <w:pPr>
              <w:rPr>
                <w:rFonts w:ascii="宋体"/>
              </w:rPr>
            </w:pPr>
          </w:p>
        </w:tc>
        <w:tc>
          <w:tcPr>
            <w:tcW w:w="26" w:type="pct"/>
            <w:shd w:val="clear" w:color="auto" w:fill="auto"/>
          </w:tcPr>
          <w:p w14:paraId="7B66DD9F" w14:textId="77777777" w:rsidR="0040300B" w:rsidRDefault="0040300B">
            <w:pPr>
              <w:rPr>
                <w:rFonts w:ascii="宋体"/>
              </w:rPr>
            </w:pPr>
          </w:p>
        </w:tc>
        <w:tc>
          <w:tcPr>
            <w:tcW w:w="5" w:type="pct"/>
            <w:shd w:val="clear" w:color="auto" w:fill="auto"/>
          </w:tcPr>
          <w:p w14:paraId="7B66DDA0" w14:textId="77777777" w:rsidR="0040300B" w:rsidRDefault="0040300B">
            <w:pPr>
              <w:rPr>
                <w:rFonts w:ascii="宋体"/>
              </w:rPr>
            </w:pPr>
          </w:p>
        </w:tc>
        <w:tc>
          <w:tcPr>
            <w:tcW w:w="50" w:type="pct"/>
            <w:shd w:val="clear" w:color="auto" w:fill="auto"/>
          </w:tcPr>
          <w:p w14:paraId="7B66DDA1" w14:textId="77777777" w:rsidR="0040300B" w:rsidRDefault="0040300B">
            <w:pPr>
              <w:rPr>
                <w:rFonts w:ascii="宋体"/>
              </w:rPr>
            </w:pPr>
          </w:p>
        </w:tc>
        <w:tc>
          <w:tcPr>
            <w:tcW w:w="141" w:type="pct"/>
            <w:shd w:val="clear" w:color="auto" w:fill="auto"/>
          </w:tcPr>
          <w:p w14:paraId="7B66DDA2" w14:textId="77777777" w:rsidR="0040300B" w:rsidRDefault="0040300B">
            <w:pPr>
              <w:rPr>
                <w:rFonts w:ascii="宋体"/>
              </w:rPr>
            </w:pPr>
          </w:p>
        </w:tc>
        <w:tc>
          <w:tcPr>
            <w:tcW w:w="5" w:type="pct"/>
            <w:shd w:val="clear" w:color="auto" w:fill="auto"/>
          </w:tcPr>
          <w:p w14:paraId="7B66DDA3" w14:textId="77777777" w:rsidR="0040300B" w:rsidRDefault="0040300B">
            <w:pPr>
              <w:rPr>
                <w:rFonts w:ascii="宋体"/>
              </w:rPr>
            </w:pPr>
          </w:p>
        </w:tc>
        <w:tc>
          <w:tcPr>
            <w:tcW w:w="50" w:type="pct"/>
            <w:shd w:val="clear" w:color="auto" w:fill="auto"/>
          </w:tcPr>
          <w:p w14:paraId="7B66DDA4" w14:textId="77777777" w:rsidR="0040300B" w:rsidRDefault="0040300B">
            <w:pPr>
              <w:rPr>
                <w:rFonts w:ascii="宋体"/>
              </w:rPr>
            </w:pPr>
          </w:p>
        </w:tc>
        <w:tc>
          <w:tcPr>
            <w:tcW w:w="2208" w:type="pct"/>
            <w:shd w:val="clear" w:color="auto" w:fill="auto"/>
          </w:tcPr>
          <w:p w14:paraId="7B66DDA5" w14:textId="77777777" w:rsidR="0040300B" w:rsidRDefault="0040300B">
            <w:pPr>
              <w:rPr>
                <w:rFonts w:ascii="宋体"/>
              </w:rPr>
            </w:pPr>
          </w:p>
        </w:tc>
        <w:tc>
          <w:tcPr>
            <w:tcW w:w="5" w:type="pct"/>
            <w:shd w:val="clear" w:color="auto" w:fill="auto"/>
          </w:tcPr>
          <w:p w14:paraId="7B66DDA6" w14:textId="77777777" w:rsidR="0040300B" w:rsidRDefault="0040300B">
            <w:pPr>
              <w:rPr>
                <w:rFonts w:ascii="宋体"/>
              </w:rPr>
            </w:pPr>
          </w:p>
        </w:tc>
        <w:tc>
          <w:tcPr>
            <w:tcW w:w="5" w:type="pct"/>
            <w:shd w:val="clear" w:color="auto" w:fill="auto"/>
          </w:tcPr>
          <w:p w14:paraId="7B66DDA7" w14:textId="77777777" w:rsidR="0040300B" w:rsidRDefault="0040300B">
            <w:pPr>
              <w:rPr>
                <w:rFonts w:ascii="宋体"/>
              </w:rPr>
            </w:pPr>
          </w:p>
        </w:tc>
        <w:tc>
          <w:tcPr>
            <w:tcW w:w="26" w:type="pct"/>
            <w:shd w:val="clear" w:color="auto" w:fill="auto"/>
          </w:tcPr>
          <w:p w14:paraId="7B66DDA8" w14:textId="77777777" w:rsidR="0040300B" w:rsidRDefault="0040300B">
            <w:pPr>
              <w:rPr>
                <w:rFonts w:ascii="宋体"/>
              </w:rPr>
            </w:pPr>
          </w:p>
        </w:tc>
        <w:tc>
          <w:tcPr>
            <w:tcW w:w="5" w:type="pct"/>
            <w:shd w:val="clear" w:color="auto" w:fill="auto"/>
          </w:tcPr>
          <w:p w14:paraId="7B66DDA9" w14:textId="77777777" w:rsidR="0040300B" w:rsidRDefault="0040300B">
            <w:pPr>
              <w:rPr>
                <w:rFonts w:ascii="宋体"/>
              </w:rPr>
            </w:pPr>
          </w:p>
        </w:tc>
        <w:tc>
          <w:tcPr>
            <w:tcW w:w="50" w:type="pct"/>
            <w:shd w:val="clear" w:color="auto" w:fill="auto"/>
          </w:tcPr>
          <w:p w14:paraId="7B66DDAA" w14:textId="77777777" w:rsidR="0040300B" w:rsidRDefault="0040300B">
            <w:pPr>
              <w:rPr>
                <w:rFonts w:ascii="宋体"/>
              </w:rPr>
            </w:pPr>
          </w:p>
        </w:tc>
        <w:tc>
          <w:tcPr>
            <w:tcW w:w="1109" w:type="pct"/>
            <w:shd w:val="clear" w:color="auto" w:fill="auto"/>
          </w:tcPr>
          <w:p w14:paraId="7B66DDAB" w14:textId="77777777" w:rsidR="0040300B" w:rsidRDefault="0040300B">
            <w:pPr>
              <w:rPr>
                <w:rFonts w:ascii="宋体"/>
              </w:rPr>
            </w:pPr>
          </w:p>
        </w:tc>
        <w:tc>
          <w:tcPr>
            <w:tcW w:w="5" w:type="pct"/>
            <w:shd w:val="clear" w:color="auto" w:fill="auto"/>
          </w:tcPr>
          <w:p w14:paraId="7B66DDAC" w14:textId="77777777" w:rsidR="0040300B" w:rsidRDefault="0040300B">
            <w:pPr>
              <w:rPr>
                <w:rFonts w:ascii="宋体"/>
              </w:rPr>
            </w:pPr>
          </w:p>
        </w:tc>
        <w:tc>
          <w:tcPr>
            <w:tcW w:w="5" w:type="pct"/>
            <w:shd w:val="clear" w:color="auto" w:fill="auto"/>
          </w:tcPr>
          <w:p w14:paraId="7B66DDAD" w14:textId="77777777" w:rsidR="0040300B" w:rsidRDefault="0040300B">
            <w:pPr>
              <w:rPr>
                <w:rFonts w:ascii="宋体"/>
              </w:rPr>
            </w:pPr>
          </w:p>
        </w:tc>
        <w:tc>
          <w:tcPr>
            <w:tcW w:w="26" w:type="pct"/>
            <w:shd w:val="clear" w:color="auto" w:fill="auto"/>
          </w:tcPr>
          <w:p w14:paraId="7B66DDAE" w14:textId="77777777" w:rsidR="0040300B" w:rsidRDefault="0040300B">
            <w:pPr>
              <w:rPr>
                <w:rFonts w:ascii="宋体"/>
              </w:rPr>
            </w:pPr>
          </w:p>
        </w:tc>
        <w:tc>
          <w:tcPr>
            <w:tcW w:w="5" w:type="pct"/>
            <w:shd w:val="clear" w:color="auto" w:fill="auto"/>
          </w:tcPr>
          <w:p w14:paraId="7B66DDAF" w14:textId="77777777" w:rsidR="0040300B" w:rsidRDefault="0040300B">
            <w:pPr>
              <w:rPr>
                <w:rFonts w:ascii="宋体"/>
              </w:rPr>
            </w:pPr>
          </w:p>
        </w:tc>
        <w:tc>
          <w:tcPr>
            <w:tcW w:w="50" w:type="pct"/>
            <w:shd w:val="clear" w:color="auto" w:fill="auto"/>
          </w:tcPr>
          <w:p w14:paraId="7B66DDB0" w14:textId="77777777" w:rsidR="0040300B" w:rsidRDefault="0040300B">
            <w:pPr>
              <w:rPr>
                <w:rFonts w:ascii="宋体"/>
              </w:rPr>
            </w:pPr>
          </w:p>
        </w:tc>
        <w:tc>
          <w:tcPr>
            <w:tcW w:w="141" w:type="pct"/>
            <w:shd w:val="clear" w:color="auto" w:fill="auto"/>
          </w:tcPr>
          <w:p w14:paraId="7B66DDB1" w14:textId="77777777" w:rsidR="0040300B" w:rsidRDefault="0040300B">
            <w:pPr>
              <w:rPr>
                <w:rFonts w:ascii="宋体"/>
              </w:rPr>
            </w:pPr>
          </w:p>
        </w:tc>
        <w:tc>
          <w:tcPr>
            <w:tcW w:w="5" w:type="pct"/>
            <w:shd w:val="clear" w:color="auto" w:fill="auto"/>
          </w:tcPr>
          <w:p w14:paraId="7B66DDB2" w14:textId="77777777" w:rsidR="0040300B" w:rsidRDefault="0040300B">
            <w:pPr>
              <w:rPr>
                <w:rFonts w:ascii="宋体"/>
              </w:rPr>
            </w:pPr>
          </w:p>
        </w:tc>
      </w:tr>
      <w:tr w:rsidR="0040300B" w14:paraId="7B66DDBC" w14:textId="77777777">
        <w:tc>
          <w:tcPr>
            <w:tcW w:w="0" w:type="auto"/>
            <w:gridSpan w:val="3"/>
            <w:shd w:val="clear" w:color="auto" w:fill="auto"/>
            <w:tcMar>
              <w:top w:w="40" w:type="dxa"/>
              <w:left w:w="20" w:type="dxa"/>
              <w:bottom w:w="40" w:type="dxa"/>
              <w:right w:w="20" w:type="dxa"/>
            </w:tcMar>
            <w:vAlign w:val="bottom"/>
          </w:tcPr>
          <w:p w14:paraId="7B66DDB4" w14:textId="77777777" w:rsidR="0040300B" w:rsidRDefault="00BB2D44">
            <w:pPr>
              <w:textAlignment w:val="bottom"/>
            </w:pPr>
            <w:r>
              <w:rPr>
                <w:rFonts w:ascii="Times New Roman" w:eastAsia="宋体" w:hAnsi="Times New Roman"/>
                <w:color w:val="000000"/>
                <w:sz w:val="19"/>
                <w:szCs w:val="19"/>
              </w:rPr>
              <w:t>Large accelerated filer</w:t>
            </w:r>
          </w:p>
        </w:tc>
        <w:tc>
          <w:tcPr>
            <w:tcW w:w="0" w:type="auto"/>
            <w:gridSpan w:val="3"/>
            <w:shd w:val="clear" w:color="auto" w:fill="auto"/>
            <w:tcMar>
              <w:top w:w="0" w:type="dxa"/>
              <w:left w:w="20" w:type="dxa"/>
              <w:bottom w:w="0" w:type="dxa"/>
              <w:right w:w="20" w:type="dxa"/>
            </w:tcMar>
          </w:tcPr>
          <w:p w14:paraId="7B66DDB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B6" w14:textId="77777777" w:rsidR="0040300B" w:rsidRDefault="00BB2D4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7B66DDB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B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B9" w14:textId="77777777" w:rsidR="0040300B" w:rsidRDefault="00BB2D44">
            <w:pPr>
              <w:textAlignment w:val="bottom"/>
            </w:pPr>
            <w:r>
              <w:rPr>
                <w:rFonts w:ascii="Times New Roman" w:eastAsia="宋体" w:hAnsi="Times New Roman"/>
                <w:color w:val="000000"/>
                <w:sz w:val="19"/>
                <w:szCs w:val="19"/>
              </w:rPr>
              <w:t>Accelerated filer</w:t>
            </w:r>
          </w:p>
        </w:tc>
        <w:tc>
          <w:tcPr>
            <w:tcW w:w="0" w:type="auto"/>
            <w:gridSpan w:val="3"/>
            <w:shd w:val="clear" w:color="auto" w:fill="auto"/>
            <w:tcMar>
              <w:top w:w="40" w:type="dxa"/>
              <w:left w:w="20" w:type="dxa"/>
              <w:bottom w:w="40" w:type="dxa"/>
              <w:right w:w="20" w:type="dxa"/>
            </w:tcMar>
            <w:vAlign w:val="bottom"/>
          </w:tcPr>
          <w:p w14:paraId="7B66DDBA" w14:textId="77777777" w:rsidR="0040300B" w:rsidRDefault="00BB2D4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B66DDBB" w14:textId="77777777" w:rsidR="0040300B" w:rsidRDefault="00BB2D44">
            <w:pPr>
              <w:jc w:val="center"/>
              <w:textAlignment w:val="bottom"/>
            </w:pPr>
            <w:r>
              <w:rPr>
                <w:rFonts w:ascii="Arial Unicode MS" w:eastAsia="Arial Unicode MS" w:hAnsi="Arial Unicode MS" w:cs="Arial Unicode MS" w:hint="eastAsia"/>
                <w:color w:val="000000"/>
                <w:sz w:val="20"/>
                <w:szCs w:val="20"/>
              </w:rPr>
              <w:t>☐</w:t>
            </w:r>
          </w:p>
        </w:tc>
      </w:tr>
      <w:tr w:rsidR="0040300B" w14:paraId="7B66DDC1" w14:textId="77777777">
        <w:trPr>
          <w:trHeight w:val="60"/>
        </w:trPr>
        <w:tc>
          <w:tcPr>
            <w:tcW w:w="0" w:type="auto"/>
            <w:gridSpan w:val="3"/>
            <w:shd w:val="clear" w:color="auto" w:fill="auto"/>
            <w:tcMar>
              <w:top w:w="0" w:type="dxa"/>
              <w:left w:w="20" w:type="dxa"/>
              <w:bottom w:w="0" w:type="dxa"/>
              <w:right w:w="20" w:type="dxa"/>
            </w:tcMar>
          </w:tcPr>
          <w:p w14:paraId="7B66DDBD" w14:textId="77777777" w:rsidR="0040300B" w:rsidRDefault="0040300B">
            <w:pPr>
              <w:rPr>
                <w:rFonts w:ascii="宋体"/>
              </w:rPr>
            </w:pPr>
          </w:p>
        </w:tc>
        <w:tc>
          <w:tcPr>
            <w:tcW w:w="0" w:type="auto"/>
            <w:gridSpan w:val="9"/>
            <w:shd w:val="clear" w:color="auto" w:fill="auto"/>
            <w:tcMar>
              <w:top w:w="0" w:type="dxa"/>
              <w:left w:w="20" w:type="dxa"/>
              <w:bottom w:w="0" w:type="dxa"/>
              <w:right w:w="20" w:type="dxa"/>
            </w:tcMar>
          </w:tcPr>
          <w:p w14:paraId="7B66DDBE" w14:textId="77777777" w:rsidR="0040300B" w:rsidRDefault="0040300B">
            <w:pPr>
              <w:rPr>
                <w:rFonts w:ascii="宋体"/>
              </w:rPr>
            </w:pPr>
          </w:p>
        </w:tc>
        <w:tc>
          <w:tcPr>
            <w:tcW w:w="0" w:type="auto"/>
            <w:gridSpan w:val="6"/>
            <w:shd w:val="clear" w:color="auto" w:fill="auto"/>
            <w:tcMar>
              <w:top w:w="0" w:type="dxa"/>
              <w:left w:w="20" w:type="dxa"/>
              <w:bottom w:w="0" w:type="dxa"/>
              <w:right w:w="20" w:type="dxa"/>
            </w:tcMar>
          </w:tcPr>
          <w:p w14:paraId="7B66DDBF" w14:textId="77777777" w:rsidR="0040300B" w:rsidRDefault="0040300B">
            <w:pPr>
              <w:rPr>
                <w:rFonts w:ascii="宋体"/>
              </w:rPr>
            </w:pPr>
          </w:p>
        </w:tc>
        <w:tc>
          <w:tcPr>
            <w:tcW w:w="0" w:type="auto"/>
            <w:gridSpan w:val="6"/>
            <w:shd w:val="clear" w:color="auto" w:fill="auto"/>
            <w:tcMar>
              <w:top w:w="0" w:type="dxa"/>
              <w:left w:w="20" w:type="dxa"/>
              <w:bottom w:w="0" w:type="dxa"/>
              <w:right w:w="20" w:type="dxa"/>
            </w:tcMar>
          </w:tcPr>
          <w:p w14:paraId="7B66DDC0" w14:textId="77777777" w:rsidR="0040300B" w:rsidRDefault="0040300B">
            <w:pPr>
              <w:rPr>
                <w:rFonts w:ascii="宋体"/>
              </w:rPr>
            </w:pPr>
          </w:p>
        </w:tc>
      </w:tr>
      <w:tr w:rsidR="0040300B" w14:paraId="7B66DDCA" w14:textId="77777777">
        <w:tc>
          <w:tcPr>
            <w:tcW w:w="0" w:type="auto"/>
            <w:gridSpan w:val="3"/>
            <w:shd w:val="clear" w:color="auto" w:fill="auto"/>
            <w:tcMar>
              <w:top w:w="40" w:type="dxa"/>
              <w:left w:w="20" w:type="dxa"/>
              <w:bottom w:w="40" w:type="dxa"/>
              <w:right w:w="20" w:type="dxa"/>
            </w:tcMar>
            <w:vAlign w:val="bottom"/>
          </w:tcPr>
          <w:p w14:paraId="7B66DDC2" w14:textId="77777777" w:rsidR="0040300B" w:rsidRDefault="00BB2D44">
            <w:pPr>
              <w:textAlignment w:val="bottom"/>
            </w:pPr>
            <w:r>
              <w:rPr>
                <w:rFonts w:ascii="Times New Roman" w:eastAsia="宋体" w:hAnsi="Times New Roman"/>
                <w:color w:val="000000"/>
                <w:sz w:val="19"/>
                <w:szCs w:val="19"/>
              </w:rPr>
              <w:t>Non-accelerated filer</w:t>
            </w:r>
          </w:p>
        </w:tc>
        <w:tc>
          <w:tcPr>
            <w:tcW w:w="0" w:type="auto"/>
            <w:gridSpan w:val="3"/>
            <w:shd w:val="clear" w:color="auto" w:fill="auto"/>
            <w:tcMar>
              <w:top w:w="0" w:type="dxa"/>
              <w:left w:w="20" w:type="dxa"/>
              <w:bottom w:w="0" w:type="dxa"/>
              <w:right w:w="20" w:type="dxa"/>
            </w:tcMar>
          </w:tcPr>
          <w:p w14:paraId="7B66DDC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C4" w14:textId="77777777" w:rsidR="0040300B" w:rsidRDefault="00BB2D4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7B66DDC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C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C7" w14:textId="77777777" w:rsidR="0040300B" w:rsidRDefault="00BB2D44">
            <w:pPr>
              <w:textAlignment w:val="bottom"/>
            </w:pPr>
            <w:r>
              <w:rPr>
                <w:rFonts w:ascii="Times New Roman" w:eastAsia="宋体" w:hAnsi="Times New Roman"/>
                <w:color w:val="000000"/>
                <w:sz w:val="19"/>
                <w:szCs w:val="19"/>
              </w:rPr>
              <w:t>Smaller reporting company</w:t>
            </w:r>
          </w:p>
        </w:tc>
        <w:tc>
          <w:tcPr>
            <w:tcW w:w="0" w:type="auto"/>
            <w:gridSpan w:val="3"/>
            <w:shd w:val="clear" w:color="auto" w:fill="auto"/>
            <w:tcMar>
              <w:top w:w="40" w:type="dxa"/>
              <w:left w:w="20" w:type="dxa"/>
              <w:bottom w:w="40" w:type="dxa"/>
              <w:right w:w="20" w:type="dxa"/>
            </w:tcMar>
            <w:vAlign w:val="bottom"/>
          </w:tcPr>
          <w:p w14:paraId="7B66DDC8" w14:textId="77777777" w:rsidR="0040300B" w:rsidRDefault="00BB2D4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B66DDC9" w14:textId="77777777" w:rsidR="0040300B" w:rsidRDefault="00BB2D44">
            <w:pPr>
              <w:jc w:val="center"/>
              <w:textAlignment w:val="bottom"/>
            </w:pPr>
            <w:r>
              <w:rPr>
                <w:rFonts w:ascii="Arial Unicode MS" w:eastAsia="Arial Unicode MS" w:hAnsi="Arial Unicode MS" w:cs="Arial Unicode MS" w:hint="eastAsia"/>
                <w:color w:val="000000"/>
                <w:sz w:val="20"/>
                <w:szCs w:val="20"/>
              </w:rPr>
              <w:t>☐</w:t>
            </w:r>
          </w:p>
        </w:tc>
      </w:tr>
      <w:tr w:rsidR="0040300B" w14:paraId="7B66DDD3" w14:textId="77777777">
        <w:trPr>
          <w:trHeight w:val="60"/>
        </w:trPr>
        <w:tc>
          <w:tcPr>
            <w:tcW w:w="0" w:type="auto"/>
            <w:gridSpan w:val="3"/>
            <w:shd w:val="clear" w:color="auto" w:fill="auto"/>
            <w:tcMar>
              <w:top w:w="0" w:type="dxa"/>
              <w:left w:w="20" w:type="dxa"/>
              <w:bottom w:w="0" w:type="dxa"/>
              <w:right w:w="20" w:type="dxa"/>
            </w:tcMar>
          </w:tcPr>
          <w:p w14:paraId="7B66DDC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CC"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C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C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C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2" w14:textId="77777777" w:rsidR="0040300B" w:rsidRDefault="0040300B">
            <w:pPr>
              <w:rPr>
                <w:rFonts w:ascii="宋体"/>
              </w:rPr>
            </w:pPr>
          </w:p>
        </w:tc>
      </w:tr>
      <w:tr w:rsidR="0040300B" w14:paraId="7B66DDDC" w14:textId="77777777">
        <w:tc>
          <w:tcPr>
            <w:tcW w:w="0" w:type="auto"/>
            <w:gridSpan w:val="3"/>
            <w:shd w:val="clear" w:color="auto" w:fill="auto"/>
            <w:tcMar>
              <w:top w:w="0" w:type="dxa"/>
              <w:left w:w="20" w:type="dxa"/>
              <w:bottom w:w="0" w:type="dxa"/>
              <w:right w:w="20" w:type="dxa"/>
            </w:tcMar>
          </w:tcPr>
          <w:p w14:paraId="7B66DDD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D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D9" w14:textId="77777777" w:rsidR="0040300B" w:rsidRDefault="00BB2D44">
            <w:pPr>
              <w:textAlignment w:val="bottom"/>
            </w:pPr>
            <w:r>
              <w:rPr>
                <w:rFonts w:ascii="Times New Roman" w:eastAsia="宋体" w:hAnsi="Times New Roman"/>
                <w:color w:val="000000"/>
                <w:sz w:val="19"/>
                <w:szCs w:val="19"/>
              </w:rPr>
              <w:t>Emerging growth company</w:t>
            </w:r>
          </w:p>
        </w:tc>
        <w:tc>
          <w:tcPr>
            <w:tcW w:w="0" w:type="auto"/>
            <w:gridSpan w:val="3"/>
            <w:shd w:val="clear" w:color="auto" w:fill="auto"/>
            <w:tcMar>
              <w:top w:w="0" w:type="dxa"/>
              <w:left w:w="20" w:type="dxa"/>
              <w:bottom w:w="0" w:type="dxa"/>
              <w:right w:w="20" w:type="dxa"/>
            </w:tcMar>
          </w:tcPr>
          <w:p w14:paraId="7B66DDD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DB" w14:textId="77777777" w:rsidR="0040300B" w:rsidRDefault="00BB2D44">
            <w:pPr>
              <w:jc w:val="center"/>
              <w:textAlignment w:val="bottom"/>
            </w:pPr>
            <w:r>
              <w:rPr>
                <w:rFonts w:ascii="Arial Unicode MS" w:eastAsia="Arial Unicode MS" w:hAnsi="Arial Unicode MS" w:cs="Arial Unicode MS" w:hint="eastAsia"/>
                <w:color w:val="000000"/>
                <w:sz w:val="20"/>
                <w:szCs w:val="20"/>
              </w:rPr>
              <w:t>☐</w:t>
            </w:r>
          </w:p>
        </w:tc>
      </w:tr>
    </w:tbl>
    <w:p w14:paraId="7B66DDDD" w14:textId="77777777" w:rsidR="0040300B" w:rsidRDefault="00BB2D44">
      <w:pPr>
        <w:spacing w:before="60"/>
      </w:pPr>
      <w:r>
        <w:rPr>
          <w:rFonts w:ascii="Times New Roman" w:eastAsia="宋体" w:hAnsi="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9"/>
          <w:szCs w:val="19"/>
        </w:rPr>
        <w:t>☐</w:t>
      </w:r>
    </w:p>
    <w:p w14:paraId="7B66DDDE" w14:textId="77777777" w:rsidR="0040300B" w:rsidRDefault="00BB2D44">
      <w:pPr>
        <w:spacing w:before="60"/>
      </w:pPr>
      <w:r>
        <w:rPr>
          <w:rFonts w:ascii="Times New Roman" w:eastAsia="宋体" w:hAnsi="Times New Roman"/>
          <w:color w:val="000000"/>
          <w:sz w:val="19"/>
          <w:szCs w:val="19"/>
        </w:rPr>
        <w:t>Ind</w:t>
      </w:r>
      <w:r>
        <w:rPr>
          <w:rFonts w:ascii="Times New Roman" w:eastAsia="宋体" w:hAnsi="Times New Roman"/>
          <w:color w:val="000000"/>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xml:space="preserve">  No  </w:t>
      </w:r>
      <w:r>
        <w:rPr>
          <w:rFonts w:ascii="Arial Unicode MS" w:eastAsia="Arial Unicode MS" w:hAnsi="Arial Unicode MS" w:cs="Arial Unicode MS" w:hint="eastAsia"/>
          <w:color w:val="000000"/>
          <w:sz w:val="19"/>
          <w:szCs w:val="19"/>
        </w:rPr>
        <w:t>☒</w:t>
      </w:r>
    </w:p>
    <w:p w14:paraId="7B66DDDF" w14:textId="77777777" w:rsidR="0040300B" w:rsidRDefault="00BB2D44">
      <w:pPr>
        <w:spacing w:before="80"/>
      </w:pPr>
      <w:r>
        <w:rPr>
          <w:rFonts w:ascii="Times New Roman" w:eastAsia="宋体" w:hAnsi="Times New Roman"/>
          <w:color w:val="000000"/>
          <w:sz w:val="19"/>
          <w:szCs w:val="19"/>
        </w:rPr>
        <w:t>Number of shares of the registrant’s common stock outstanding as of May 20, 2021: 4,214,204,641</w:t>
      </w:r>
      <w:r>
        <w:rPr>
          <w:rFonts w:ascii="Times New Roman" w:eastAsia="宋体" w:hAnsi="Times New Roman"/>
          <w:color w:val="FF0000"/>
          <w:sz w:val="19"/>
          <w:szCs w:val="19"/>
        </w:rPr>
        <w:t xml:space="preserve"> </w:t>
      </w:r>
    </w:p>
    <w:p w14:paraId="7B66DDE0" w14:textId="77777777" w:rsidR="0040300B" w:rsidRDefault="00BB2D44">
      <w:pPr>
        <w:jc w:val="center"/>
      </w:pPr>
      <w:r>
        <w:rPr>
          <w:rFonts w:ascii="Times New Roman" w:eastAsia="宋体" w:hAnsi="Times New Roman"/>
          <w:color w:val="000000"/>
          <w:sz w:val="17"/>
          <w:szCs w:val="17"/>
        </w:rPr>
        <w:t>__________________________________</w:t>
      </w:r>
      <w:r>
        <w:rPr>
          <w:rFonts w:ascii="Times New Roman" w:eastAsia="宋体" w:hAnsi="Times New Roman"/>
          <w:color w:val="000000"/>
          <w:sz w:val="17"/>
          <w:szCs w:val="17"/>
        </w:rPr>
        <w:t>__ </w:t>
      </w:r>
    </w:p>
    <w:p w14:paraId="7B66DDE1" w14:textId="77777777" w:rsidR="0040300B" w:rsidRDefault="00BB2D44">
      <w:pPr>
        <w:jc w:val="center"/>
      </w:pPr>
      <w:r>
        <w:rPr>
          <w:rFonts w:ascii="Times New Roman" w:eastAsia="宋体" w:hAnsi="Times New Roman"/>
          <w:color w:val="000000"/>
          <w:sz w:val="20"/>
          <w:szCs w:val="20"/>
        </w:rPr>
        <w:t>1</w:t>
      </w:r>
    </w:p>
    <w:p w14:paraId="7B66DDE2" w14:textId="77777777" w:rsidR="0040300B" w:rsidRDefault="00BB2D44">
      <w:r>
        <w:pict w14:anchorId="7B671C11">
          <v:rect id="_x0000_i1025" style="width:415.3pt;height:1.5pt" o:hralign="center" o:hrstd="t" o:hr="t" fillcolor="#a0a0a0" stroked="f"/>
        </w:pict>
      </w:r>
    </w:p>
    <w:p w14:paraId="7B66DDE3" w14:textId="77777777" w:rsidR="0040300B" w:rsidRDefault="00BB2D44">
      <w:hyperlink r:id="rId7" w:anchor="i52d5b40dbad7426a9806a2fd5167029f_7" w:history="1">
        <w:r>
          <w:rPr>
            <w:rStyle w:val="a5"/>
            <w:rFonts w:ascii="Times New Roman" w:eastAsia="宋体" w:hAnsi="Times New Roman"/>
            <w:sz w:val="18"/>
            <w:szCs w:val="18"/>
          </w:rPr>
          <w:t>Table of Contents</w:t>
        </w:r>
      </w:hyperlink>
    </w:p>
    <w:p w14:paraId="7B66DDE4" w14:textId="77777777" w:rsidR="0040300B" w:rsidRDefault="00BB2D44">
      <w:pPr>
        <w:jc w:val="center"/>
      </w:pPr>
      <w:r>
        <w:rPr>
          <w:rFonts w:ascii="Times New Roman" w:eastAsia="宋体" w:hAnsi="Times New Roman"/>
          <w:b/>
          <w:bCs/>
          <w:color w:val="000000"/>
          <w:sz w:val="20"/>
          <w:szCs w:val="20"/>
        </w:rPr>
        <w:t>Cisco Systems, Inc.</w:t>
      </w:r>
    </w:p>
    <w:p w14:paraId="7B66DDE5" w14:textId="77777777" w:rsidR="0040300B" w:rsidRDefault="00BB2D44">
      <w:pPr>
        <w:jc w:val="center"/>
      </w:pPr>
      <w:r>
        <w:rPr>
          <w:rFonts w:ascii="Times New Roman" w:eastAsia="宋体" w:hAnsi="Times New Roman"/>
          <w:b/>
          <w:bCs/>
          <w:color w:val="000000"/>
          <w:sz w:val="20"/>
          <w:szCs w:val="20"/>
        </w:rPr>
        <w:t xml:space="preserve">Form 10-Q for the Quarter Ended May 1, 2021 </w:t>
      </w:r>
    </w:p>
    <w:p w14:paraId="7B66DDE6" w14:textId="77777777" w:rsidR="0040300B" w:rsidRDefault="00BB2D44">
      <w:pPr>
        <w:spacing w:before="120"/>
        <w:jc w:val="center"/>
      </w:pPr>
      <w:r>
        <w:rPr>
          <w:rFonts w:ascii="Times New Roman" w:eastAsia="宋体" w:hAnsi="Times New Roman"/>
          <w:b/>
          <w:bCs/>
          <w:color w:val="000000"/>
          <w:sz w:val="20"/>
          <w:szCs w:val="20"/>
        </w:rPr>
        <w:t>INDEX</w:t>
      </w:r>
    </w:p>
    <w:tbl>
      <w:tblPr>
        <w:tblW w:w="4993" w:type="pct"/>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40300B" w14:paraId="7B66DDF6" w14:textId="77777777">
        <w:tc>
          <w:tcPr>
            <w:tcW w:w="50" w:type="pct"/>
            <w:shd w:val="clear" w:color="auto" w:fill="auto"/>
          </w:tcPr>
          <w:p w14:paraId="7B66DDE7" w14:textId="77777777" w:rsidR="0040300B" w:rsidRDefault="0040300B">
            <w:pPr>
              <w:rPr>
                <w:rFonts w:ascii="宋体"/>
              </w:rPr>
            </w:pPr>
          </w:p>
        </w:tc>
        <w:tc>
          <w:tcPr>
            <w:tcW w:w="450" w:type="pct"/>
            <w:shd w:val="clear" w:color="auto" w:fill="auto"/>
          </w:tcPr>
          <w:p w14:paraId="7B66DDE8" w14:textId="77777777" w:rsidR="0040300B" w:rsidRDefault="0040300B">
            <w:pPr>
              <w:rPr>
                <w:rFonts w:ascii="宋体"/>
              </w:rPr>
            </w:pPr>
          </w:p>
        </w:tc>
        <w:tc>
          <w:tcPr>
            <w:tcW w:w="5" w:type="pct"/>
            <w:shd w:val="clear" w:color="auto" w:fill="auto"/>
          </w:tcPr>
          <w:p w14:paraId="7B66DDE9" w14:textId="77777777" w:rsidR="0040300B" w:rsidRDefault="0040300B">
            <w:pPr>
              <w:rPr>
                <w:rFonts w:ascii="宋体"/>
              </w:rPr>
            </w:pPr>
          </w:p>
        </w:tc>
        <w:tc>
          <w:tcPr>
            <w:tcW w:w="5" w:type="pct"/>
            <w:shd w:val="clear" w:color="auto" w:fill="auto"/>
          </w:tcPr>
          <w:p w14:paraId="7B66DDEA" w14:textId="77777777" w:rsidR="0040300B" w:rsidRDefault="0040300B">
            <w:pPr>
              <w:rPr>
                <w:rFonts w:ascii="宋体"/>
              </w:rPr>
            </w:pPr>
          </w:p>
        </w:tc>
        <w:tc>
          <w:tcPr>
            <w:tcW w:w="26" w:type="pct"/>
            <w:shd w:val="clear" w:color="auto" w:fill="auto"/>
          </w:tcPr>
          <w:p w14:paraId="7B66DDEB" w14:textId="77777777" w:rsidR="0040300B" w:rsidRDefault="0040300B">
            <w:pPr>
              <w:rPr>
                <w:rFonts w:ascii="宋体"/>
              </w:rPr>
            </w:pPr>
          </w:p>
        </w:tc>
        <w:tc>
          <w:tcPr>
            <w:tcW w:w="5" w:type="pct"/>
            <w:shd w:val="clear" w:color="auto" w:fill="auto"/>
          </w:tcPr>
          <w:p w14:paraId="7B66DDEC" w14:textId="77777777" w:rsidR="0040300B" w:rsidRDefault="0040300B">
            <w:pPr>
              <w:rPr>
                <w:rFonts w:ascii="宋体"/>
              </w:rPr>
            </w:pPr>
          </w:p>
        </w:tc>
        <w:tc>
          <w:tcPr>
            <w:tcW w:w="50" w:type="pct"/>
            <w:shd w:val="clear" w:color="auto" w:fill="auto"/>
          </w:tcPr>
          <w:p w14:paraId="7B66DDED" w14:textId="77777777" w:rsidR="0040300B" w:rsidRDefault="0040300B">
            <w:pPr>
              <w:rPr>
                <w:rFonts w:ascii="宋体"/>
              </w:rPr>
            </w:pPr>
          </w:p>
        </w:tc>
        <w:tc>
          <w:tcPr>
            <w:tcW w:w="3949" w:type="pct"/>
            <w:shd w:val="clear" w:color="auto" w:fill="auto"/>
          </w:tcPr>
          <w:p w14:paraId="7B66DDEE" w14:textId="77777777" w:rsidR="0040300B" w:rsidRDefault="0040300B">
            <w:pPr>
              <w:rPr>
                <w:rFonts w:ascii="宋体"/>
              </w:rPr>
            </w:pPr>
          </w:p>
        </w:tc>
        <w:tc>
          <w:tcPr>
            <w:tcW w:w="5" w:type="pct"/>
            <w:shd w:val="clear" w:color="auto" w:fill="auto"/>
          </w:tcPr>
          <w:p w14:paraId="7B66DDEF" w14:textId="77777777" w:rsidR="0040300B" w:rsidRDefault="0040300B">
            <w:pPr>
              <w:rPr>
                <w:rFonts w:ascii="宋体"/>
              </w:rPr>
            </w:pPr>
          </w:p>
        </w:tc>
        <w:tc>
          <w:tcPr>
            <w:tcW w:w="5" w:type="pct"/>
            <w:shd w:val="clear" w:color="auto" w:fill="auto"/>
          </w:tcPr>
          <w:p w14:paraId="7B66DDF0" w14:textId="77777777" w:rsidR="0040300B" w:rsidRDefault="0040300B">
            <w:pPr>
              <w:rPr>
                <w:rFonts w:ascii="宋体"/>
              </w:rPr>
            </w:pPr>
          </w:p>
        </w:tc>
        <w:tc>
          <w:tcPr>
            <w:tcW w:w="26" w:type="pct"/>
            <w:shd w:val="clear" w:color="auto" w:fill="auto"/>
          </w:tcPr>
          <w:p w14:paraId="7B66DDF1" w14:textId="77777777" w:rsidR="0040300B" w:rsidRDefault="0040300B">
            <w:pPr>
              <w:rPr>
                <w:rFonts w:ascii="宋体"/>
              </w:rPr>
            </w:pPr>
          </w:p>
        </w:tc>
        <w:tc>
          <w:tcPr>
            <w:tcW w:w="5" w:type="pct"/>
            <w:shd w:val="clear" w:color="auto" w:fill="auto"/>
          </w:tcPr>
          <w:p w14:paraId="7B66DDF2" w14:textId="77777777" w:rsidR="0040300B" w:rsidRDefault="0040300B">
            <w:pPr>
              <w:rPr>
                <w:rFonts w:ascii="宋体"/>
              </w:rPr>
            </w:pPr>
          </w:p>
        </w:tc>
        <w:tc>
          <w:tcPr>
            <w:tcW w:w="50" w:type="pct"/>
            <w:shd w:val="clear" w:color="auto" w:fill="auto"/>
          </w:tcPr>
          <w:p w14:paraId="7B66DDF3" w14:textId="77777777" w:rsidR="0040300B" w:rsidRDefault="0040300B">
            <w:pPr>
              <w:rPr>
                <w:rFonts w:ascii="宋体"/>
              </w:rPr>
            </w:pPr>
          </w:p>
        </w:tc>
        <w:tc>
          <w:tcPr>
            <w:tcW w:w="362" w:type="pct"/>
            <w:shd w:val="clear" w:color="auto" w:fill="auto"/>
          </w:tcPr>
          <w:p w14:paraId="7B66DDF4" w14:textId="77777777" w:rsidR="0040300B" w:rsidRDefault="0040300B">
            <w:pPr>
              <w:rPr>
                <w:rFonts w:ascii="宋体"/>
              </w:rPr>
            </w:pPr>
          </w:p>
        </w:tc>
        <w:tc>
          <w:tcPr>
            <w:tcW w:w="5" w:type="pct"/>
            <w:shd w:val="clear" w:color="auto" w:fill="auto"/>
          </w:tcPr>
          <w:p w14:paraId="7B66DDF5" w14:textId="77777777" w:rsidR="0040300B" w:rsidRDefault="0040300B">
            <w:pPr>
              <w:rPr>
                <w:rFonts w:ascii="宋体"/>
              </w:rPr>
            </w:pPr>
          </w:p>
        </w:tc>
      </w:tr>
      <w:tr w:rsidR="0040300B" w14:paraId="7B66DDFC" w14:textId="77777777">
        <w:tc>
          <w:tcPr>
            <w:tcW w:w="0" w:type="auto"/>
            <w:gridSpan w:val="3"/>
            <w:shd w:val="clear" w:color="auto" w:fill="auto"/>
            <w:tcMar>
              <w:top w:w="0" w:type="dxa"/>
              <w:left w:w="20" w:type="dxa"/>
              <w:bottom w:w="0" w:type="dxa"/>
              <w:right w:w="20" w:type="dxa"/>
            </w:tcMar>
          </w:tcPr>
          <w:p w14:paraId="7B66DDF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F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F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DF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FB" w14:textId="77777777" w:rsidR="0040300B" w:rsidRDefault="00BB2D44">
            <w:pPr>
              <w:jc w:val="right"/>
              <w:textAlignment w:val="bottom"/>
            </w:pPr>
            <w:r>
              <w:rPr>
                <w:rFonts w:ascii="Times New Roman" w:eastAsia="宋体" w:hAnsi="Times New Roman"/>
                <w:b/>
                <w:bCs/>
                <w:color w:val="000000"/>
                <w:sz w:val="20"/>
                <w:szCs w:val="20"/>
              </w:rPr>
              <w:t>Page</w:t>
            </w:r>
          </w:p>
        </w:tc>
      </w:tr>
      <w:tr w:rsidR="0040300B" w14:paraId="7B66DE02" w14:textId="77777777">
        <w:tc>
          <w:tcPr>
            <w:tcW w:w="0" w:type="auto"/>
            <w:gridSpan w:val="3"/>
            <w:shd w:val="clear" w:color="auto" w:fill="auto"/>
            <w:tcMar>
              <w:top w:w="40" w:type="dxa"/>
              <w:left w:w="20" w:type="dxa"/>
              <w:bottom w:w="40" w:type="dxa"/>
              <w:right w:w="20" w:type="dxa"/>
            </w:tcMar>
            <w:vAlign w:val="bottom"/>
          </w:tcPr>
          <w:p w14:paraId="7B66DDFD" w14:textId="77777777" w:rsidR="0040300B" w:rsidRDefault="00BB2D44">
            <w:pPr>
              <w:textAlignment w:val="bottom"/>
            </w:pPr>
            <w:r>
              <w:rPr>
                <w:rFonts w:ascii="Times New Roman" w:eastAsia="宋体" w:hAnsi="Times New Roman"/>
                <w:color w:val="000000"/>
                <w:sz w:val="20"/>
                <w:szCs w:val="20"/>
              </w:rPr>
              <w:t>Part I</w:t>
            </w:r>
          </w:p>
        </w:tc>
        <w:tc>
          <w:tcPr>
            <w:tcW w:w="0" w:type="auto"/>
            <w:gridSpan w:val="3"/>
            <w:shd w:val="clear" w:color="auto" w:fill="auto"/>
            <w:tcMar>
              <w:top w:w="0" w:type="dxa"/>
              <w:left w:w="20" w:type="dxa"/>
              <w:bottom w:w="0" w:type="dxa"/>
              <w:right w:w="20" w:type="dxa"/>
            </w:tcMar>
          </w:tcPr>
          <w:p w14:paraId="7B66DDF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DFF" w14:textId="77777777" w:rsidR="0040300B" w:rsidRDefault="00BB2D44">
            <w:pPr>
              <w:textAlignment w:val="bottom"/>
            </w:pPr>
            <w:hyperlink r:id="rId8" w:anchor="i52d5b40dbad7426a9806a2fd5167029f_10" w:history="1">
              <w:r>
                <w:rPr>
                  <w:rStyle w:val="a5"/>
                  <w:rFonts w:ascii="Times New Roman" w:eastAsia="宋体" w:hAnsi="Times New Roman"/>
                  <w:sz w:val="20"/>
                  <w:szCs w:val="20"/>
                </w:rPr>
                <w:t>Financial Information</w:t>
              </w:r>
            </w:hyperlink>
          </w:p>
        </w:tc>
        <w:tc>
          <w:tcPr>
            <w:tcW w:w="0" w:type="auto"/>
            <w:gridSpan w:val="3"/>
            <w:shd w:val="clear" w:color="auto" w:fill="auto"/>
            <w:tcMar>
              <w:top w:w="0" w:type="dxa"/>
              <w:left w:w="20" w:type="dxa"/>
              <w:bottom w:w="0" w:type="dxa"/>
              <w:right w:w="20" w:type="dxa"/>
            </w:tcMar>
          </w:tcPr>
          <w:p w14:paraId="7B66DE0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01" w14:textId="77777777" w:rsidR="0040300B" w:rsidRDefault="00BB2D44">
            <w:pPr>
              <w:jc w:val="right"/>
              <w:textAlignment w:val="bottom"/>
            </w:pPr>
            <w:hyperlink r:id="rId9" w:anchor="i52d5b40dbad7426a9806a2fd5167029f_10" w:history="1">
              <w:r>
                <w:rPr>
                  <w:rStyle w:val="a5"/>
                  <w:rFonts w:ascii="Times New Roman" w:eastAsia="宋体" w:hAnsi="Times New Roman"/>
                  <w:sz w:val="20"/>
                  <w:szCs w:val="20"/>
                  <w:u w:val="none"/>
                </w:rPr>
                <w:t>3</w:t>
              </w:r>
            </w:hyperlink>
          </w:p>
        </w:tc>
      </w:tr>
      <w:tr w:rsidR="0040300B" w14:paraId="7B66DE08" w14:textId="77777777">
        <w:tc>
          <w:tcPr>
            <w:tcW w:w="0" w:type="auto"/>
            <w:gridSpan w:val="3"/>
            <w:shd w:val="clear" w:color="auto" w:fill="auto"/>
            <w:tcMar>
              <w:top w:w="40" w:type="dxa"/>
              <w:left w:w="200" w:type="dxa"/>
              <w:bottom w:w="40" w:type="dxa"/>
              <w:right w:w="20" w:type="dxa"/>
            </w:tcMar>
            <w:vAlign w:val="bottom"/>
          </w:tcPr>
          <w:p w14:paraId="7B66DE03" w14:textId="77777777" w:rsidR="0040300B" w:rsidRDefault="00BB2D44">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tcPr>
          <w:p w14:paraId="7B66DE0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05" w14:textId="77777777" w:rsidR="0040300B" w:rsidRDefault="00BB2D44">
            <w:pPr>
              <w:textAlignment w:val="bottom"/>
            </w:pPr>
            <w:hyperlink r:id="rId10" w:anchor="i52d5b40dbad7426a9806a2fd5167029f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0" w:type="dxa"/>
              <w:left w:w="20" w:type="dxa"/>
              <w:bottom w:w="0" w:type="dxa"/>
              <w:right w:w="20" w:type="dxa"/>
            </w:tcMar>
          </w:tcPr>
          <w:p w14:paraId="7B66DE0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07" w14:textId="77777777" w:rsidR="0040300B" w:rsidRDefault="00BB2D44">
            <w:pPr>
              <w:jc w:val="right"/>
              <w:textAlignment w:val="bottom"/>
            </w:pPr>
            <w:hyperlink r:id="rId11" w:anchor="i52d5b40dbad7426a9806a2fd5167029f_13" w:history="1">
              <w:r>
                <w:rPr>
                  <w:rStyle w:val="a5"/>
                  <w:rFonts w:ascii="Times New Roman" w:eastAsia="宋体" w:hAnsi="Times New Roman"/>
                  <w:sz w:val="20"/>
                  <w:szCs w:val="20"/>
                  <w:u w:val="none"/>
                </w:rPr>
                <w:t>3</w:t>
              </w:r>
            </w:hyperlink>
          </w:p>
        </w:tc>
      </w:tr>
      <w:tr w:rsidR="0040300B" w14:paraId="7B66DE0E" w14:textId="77777777">
        <w:tc>
          <w:tcPr>
            <w:tcW w:w="0" w:type="auto"/>
            <w:gridSpan w:val="3"/>
            <w:shd w:val="clear" w:color="auto" w:fill="auto"/>
            <w:tcMar>
              <w:top w:w="0" w:type="dxa"/>
              <w:left w:w="20" w:type="dxa"/>
              <w:bottom w:w="0" w:type="dxa"/>
              <w:right w:w="20" w:type="dxa"/>
            </w:tcMar>
          </w:tcPr>
          <w:p w14:paraId="7B66DE0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0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0B" w14:textId="77777777" w:rsidR="0040300B" w:rsidRDefault="00BB2D44">
            <w:pPr>
              <w:textAlignment w:val="bottom"/>
            </w:pPr>
            <w:hyperlink r:id="rId12" w:anchor="i52d5b40dbad7426a9806a2fd5167029f_16" w:history="1">
              <w:r>
                <w:rPr>
                  <w:rStyle w:val="a5"/>
                  <w:rFonts w:ascii="Times New Roman" w:eastAsia="宋体" w:hAnsi="Times New Roman"/>
                  <w:sz w:val="20"/>
                  <w:szCs w:val="20"/>
                </w:rPr>
                <w:t>Consolidated Balance Sheets at May 1, 2021 and July 25, 2020</w:t>
              </w:r>
            </w:hyperlink>
          </w:p>
        </w:tc>
        <w:tc>
          <w:tcPr>
            <w:tcW w:w="0" w:type="auto"/>
            <w:gridSpan w:val="3"/>
            <w:shd w:val="clear" w:color="auto" w:fill="auto"/>
            <w:tcMar>
              <w:top w:w="0" w:type="dxa"/>
              <w:left w:w="20" w:type="dxa"/>
              <w:bottom w:w="0" w:type="dxa"/>
              <w:right w:w="20" w:type="dxa"/>
            </w:tcMar>
          </w:tcPr>
          <w:p w14:paraId="7B66DE0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0D" w14:textId="77777777" w:rsidR="0040300B" w:rsidRDefault="00BB2D44">
            <w:pPr>
              <w:jc w:val="right"/>
              <w:textAlignment w:val="bottom"/>
            </w:pPr>
            <w:hyperlink r:id="rId13" w:anchor="i52d5b40dbad7426a9806a2fd5167029f_16" w:history="1">
              <w:r>
                <w:rPr>
                  <w:rStyle w:val="a5"/>
                  <w:rFonts w:ascii="Times New Roman" w:eastAsia="宋体" w:hAnsi="Times New Roman"/>
                  <w:sz w:val="20"/>
                  <w:szCs w:val="20"/>
                  <w:u w:val="none"/>
                </w:rPr>
                <w:t>3</w:t>
              </w:r>
            </w:hyperlink>
          </w:p>
        </w:tc>
      </w:tr>
      <w:tr w:rsidR="0040300B" w14:paraId="7B66DE14" w14:textId="77777777">
        <w:tc>
          <w:tcPr>
            <w:tcW w:w="0" w:type="auto"/>
            <w:gridSpan w:val="3"/>
            <w:shd w:val="clear" w:color="auto" w:fill="auto"/>
            <w:tcMar>
              <w:top w:w="0" w:type="dxa"/>
              <w:left w:w="20" w:type="dxa"/>
              <w:bottom w:w="0" w:type="dxa"/>
              <w:right w:w="20" w:type="dxa"/>
            </w:tcMar>
          </w:tcPr>
          <w:p w14:paraId="7B66DE0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1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1" w14:textId="77777777" w:rsidR="0040300B" w:rsidRDefault="00BB2D44">
            <w:pPr>
              <w:textAlignment w:val="bottom"/>
            </w:pPr>
            <w:hyperlink r:id="rId14" w:anchor="i52d5b40dbad7426a9806a2fd5167029f_19" w:history="1">
              <w:r>
                <w:rPr>
                  <w:rStyle w:val="a5"/>
                  <w:rFonts w:ascii="Times New Roman" w:eastAsia="宋体" w:hAnsi="Times New Roman"/>
                  <w:sz w:val="20"/>
                  <w:szCs w:val="20"/>
                </w:rPr>
                <w:t>Consolidated Statements of Operations for the Three and Nine Months Ended May 1, 2021 and April 25, 2020</w:t>
              </w:r>
            </w:hyperlink>
          </w:p>
        </w:tc>
        <w:tc>
          <w:tcPr>
            <w:tcW w:w="0" w:type="auto"/>
            <w:gridSpan w:val="3"/>
            <w:shd w:val="clear" w:color="auto" w:fill="auto"/>
            <w:tcMar>
              <w:top w:w="0" w:type="dxa"/>
              <w:left w:w="20" w:type="dxa"/>
              <w:bottom w:w="0" w:type="dxa"/>
              <w:right w:w="20" w:type="dxa"/>
            </w:tcMar>
          </w:tcPr>
          <w:p w14:paraId="7B66DE1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3" w14:textId="77777777" w:rsidR="0040300B" w:rsidRDefault="00BB2D44">
            <w:pPr>
              <w:jc w:val="right"/>
              <w:textAlignment w:val="bottom"/>
            </w:pPr>
            <w:hyperlink r:id="rId15" w:anchor="i52d5b40dbad7426a9806a2fd5167029f_19" w:history="1">
              <w:r>
                <w:rPr>
                  <w:rStyle w:val="a5"/>
                  <w:rFonts w:ascii="Times New Roman" w:eastAsia="宋体" w:hAnsi="Times New Roman"/>
                  <w:sz w:val="20"/>
                  <w:szCs w:val="20"/>
                  <w:u w:val="none"/>
                </w:rPr>
                <w:t>4</w:t>
              </w:r>
            </w:hyperlink>
          </w:p>
        </w:tc>
      </w:tr>
      <w:tr w:rsidR="0040300B" w14:paraId="7B66DE1A" w14:textId="77777777">
        <w:tc>
          <w:tcPr>
            <w:tcW w:w="0" w:type="auto"/>
            <w:gridSpan w:val="3"/>
            <w:shd w:val="clear" w:color="auto" w:fill="auto"/>
            <w:tcMar>
              <w:top w:w="0" w:type="dxa"/>
              <w:left w:w="20" w:type="dxa"/>
              <w:bottom w:w="0" w:type="dxa"/>
              <w:right w:w="20" w:type="dxa"/>
            </w:tcMar>
          </w:tcPr>
          <w:p w14:paraId="7B66DE1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1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7" w14:textId="77777777" w:rsidR="0040300B" w:rsidRDefault="00BB2D44">
            <w:pPr>
              <w:textAlignment w:val="bottom"/>
            </w:pPr>
            <w:hyperlink r:id="rId16" w:anchor="i52d5b40dbad7426a9806a2fd5167029f_22" w:history="1">
              <w:r>
                <w:rPr>
                  <w:rStyle w:val="a5"/>
                  <w:rFonts w:ascii="Times New Roman" w:eastAsia="宋体" w:hAnsi="Times New Roman"/>
                  <w:sz w:val="20"/>
                  <w:szCs w:val="20"/>
                </w:rPr>
                <w:t>Consolidated Statements of Comprehensive Income for the Three and Nine Months Ended May 1, 2021 and April 25, 2020</w:t>
              </w:r>
            </w:hyperlink>
          </w:p>
        </w:tc>
        <w:tc>
          <w:tcPr>
            <w:tcW w:w="0" w:type="auto"/>
            <w:gridSpan w:val="3"/>
            <w:shd w:val="clear" w:color="auto" w:fill="auto"/>
            <w:tcMar>
              <w:top w:w="0" w:type="dxa"/>
              <w:left w:w="20" w:type="dxa"/>
              <w:bottom w:w="0" w:type="dxa"/>
              <w:right w:w="20" w:type="dxa"/>
            </w:tcMar>
          </w:tcPr>
          <w:p w14:paraId="7B66DE1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9" w14:textId="77777777" w:rsidR="0040300B" w:rsidRDefault="00BB2D44">
            <w:pPr>
              <w:jc w:val="right"/>
              <w:textAlignment w:val="bottom"/>
            </w:pPr>
            <w:hyperlink r:id="rId17" w:anchor="i52d5b40dbad7426a9806a2fd5167029f_22" w:history="1">
              <w:r>
                <w:rPr>
                  <w:rStyle w:val="a5"/>
                  <w:rFonts w:ascii="Times New Roman" w:eastAsia="宋体" w:hAnsi="Times New Roman"/>
                  <w:sz w:val="20"/>
                  <w:szCs w:val="20"/>
                  <w:u w:val="none"/>
                </w:rPr>
                <w:t>5</w:t>
              </w:r>
            </w:hyperlink>
          </w:p>
        </w:tc>
      </w:tr>
      <w:tr w:rsidR="0040300B" w14:paraId="7B66DE20" w14:textId="77777777">
        <w:tc>
          <w:tcPr>
            <w:tcW w:w="0" w:type="auto"/>
            <w:gridSpan w:val="3"/>
            <w:shd w:val="clear" w:color="auto" w:fill="auto"/>
            <w:tcMar>
              <w:top w:w="0" w:type="dxa"/>
              <w:left w:w="20" w:type="dxa"/>
              <w:bottom w:w="0" w:type="dxa"/>
              <w:right w:w="20" w:type="dxa"/>
            </w:tcMar>
          </w:tcPr>
          <w:p w14:paraId="7B66DE1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1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D" w14:textId="77777777" w:rsidR="0040300B" w:rsidRDefault="00BB2D44">
            <w:pPr>
              <w:textAlignment w:val="bottom"/>
            </w:pPr>
            <w:hyperlink r:id="rId18" w:anchor="i52d5b40dbad7426a9806a2fd5167029f_25" w:history="1">
              <w:r>
                <w:rPr>
                  <w:rStyle w:val="a5"/>
                  <w:rFonts w:ascii="Times New Roman" w:eastAsia="宋体" w:hAnsi="Times New Roman"/>
                  <w:sz w:val="20"/>
                  <w:szCs w:val="20"/>
                </w:rPr>
                <w:t>Consolidated Statements of Cash Flows for the Nine Months Ended May 1, 2021 and April 25, 2020</w:t>
              </w:r>
            </w:hyperlink>
          </w:p>
        </w:tc>
        <w:tc>
          <w:tcPr>
            <w:tcW w:w="0" w:type="auto"/>
            <w:gridSpan w:val="3"/>
            <w:shd w:val="clear" w:color="auto" w:fill="auto"/>
            <w:tcMar>
              <w:top w:w="0" w:type="dxa"/>
              <w:left w:w="20" w:type="dxa"/>
              <w:bottom w:w="0" w:type="dxa"/>
              <w:right w:w="20" w:type="dxa"/>
            </w:tcMar>
          </w:tcPr>
          <w:p w14:paraId="7B66DE1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1F" w14:textId="77777777" w:rsidR="0040300B" w:rsidRDefault="00BB2D44">
            <w:pPr>
              <w:jc w:val="right"/>
              <w:textAlignment w:val="bottom"/>
            </w:pPr>
            <w:hyperlink r:id="rId19" w:anchor="i52d5b40dbad7426a9806a2fd5167029f_25" w:history="1">
              <w:r>
                <w:rPr>
                  <w:rStyle w:val="a5"/>
                  <w:rFonts w:ascii="Times New Roman" w:eastAsia="宋体" w:hAnsi="Times New Roman"/>
                  <w:sz w:val="20"/>
                  <w:szCs w:val="20"/>
                  <w:u w:val="none"/>
                </w:rPr>
                <w:t>6</w:t>
              </w:r>
            </w:hyperlink>
          </w:p>
        </w:tc>
      </w:tr>
      <w:tr w:rsidR="0040300B" w14:paraId="7B66DE26" w14:textId="77777777">
        <w:tc>
          <w:tcPr>
            <w:tcW w:w="0" w:type="auto"/>
            <w:gridSpan w:val="3"/>
            <w:shd w:val="clear" w:color="auto" w:fill="auto"/>
            <w:tcMar>
              <w:top w:w="0" w:type="dxa"/>
              <w:left w:w="20" w:type="dxa"/>
              <w:bottom w:w="0" w:type="dxa"/>
              <w:right w:w="20" w:type="dxa"/>
            </w:tcMar>
          </w:tcPr>
          <w:p w14:paraId="7B66DE2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2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23" w14:textId="77777777" w:rsidR="0040300B" w:rsidRDefault="00BB2D44">
            <w:pPr>
              <w:textAlignment w:val="bottom"/>
            </w:pPr>
            <w:hyperlink r:id="rId20" w:anchor="i52d5b40dbad7426a9806a2fd5167029f_28" w:history="1">
              <w:r>
                <w:rPr>
                  <w:rStyle w:val="a5"/>
                  <w:rFonts w:ascii="Times New Roman" w:eastAsia="宋体" w:hAnsi="Times New Roman"/>
                  <w:sz w:val="20"/>
                  <w:szCs w:val="20"/>
                </w:rPr>
                <w:t>Consolidated Statements of Equity for the Three and Nine Months E</w:t>
              </w:r>
              <w:r>
                <w:rPr>
                  <w:rStyle w:val="a5"/>
                  <w:rFonts w:ascii="Times New Roman" w:eastAsia="宋体" w:hAnsi="Times New Roman"/>
                  <w:sz w:val="20"/>
                  <w:szCs w:val="20"/>
                </w:rPr>
                <w:t>nded May 1, 2021 and April 25, 2020</w:t>
              </w:r>
            </w:hyperlink>
          </w:p>
        </w:tc>
        <w:tc>
          <w:tcPr>
            <w:tcW w:w="0" w:type="auto"/>
            <w:gridSpan w:val="3"/>
            <w:shd w:val="clear" w:color="auto" w:fill="auto"/>
            <w:tcMar>
              <w:top w:w="0" w:type="dxa"/>
              <w:left w:w="20" w:type="dxa"/>
              <w:bottom w:w="0" w:type="dxa"/>
              <w:right w:w="20" w:type="dxa"/>
            </w:tcMar>
          </w:tcPr>
          <w:p w14:paraId="7B66DE2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25" w14:textId="77777777" w:rsidR="0040300B" w:rsidRDefault="00BB2D44">
            <w:pPr>
              <w:jc w:val="right"/>
              <w:textAlignment w:val="bottom"/>
            </w:pPr>
            <w:hyperlink r:id="rId21" w:anchor="i52d5b40dbad7426a9806a2fd5167029f_28" w:history="1">
              <w:r>
                <w:rPr>
                  <w:rStyle w:val="a5"/>
                  <w:rFonts w:ascii="Times New Roman" w:eastAsia="宋体" w:hAnsi="Times New Roman"/>
                  <w:sz w:val="20"/>
                  <w:szCs w:val="20"/>
                  <w:u w:val="none"/>
                </w:rPr>
                <w:t>7</w:t>
              </w:r>
            </w:hyperlink>
          </w:p>
        </w:tc>
      </w:tr>
      <w:tr w:rsidR="0040300B" w14:paraId="7B66DE2C" w14:textId="77777777">
        <w:tc>
          <w:tcPr>
            <w:tcW w:w="0" w:type="auto"/>
            <w:gridSpan w:val="3"/>
            <w:shd w:val="clear" w:color="auto" w:fill="auto"/>
            <w:tcMar>
              <w:top w:w="0" w:type="dxa"/>
              <w:left w:w="20" w:type="dxa"/>
              <w:bottom w:w="0" w:type="dxa"/>
              <w:right w:w="20" w:type="dxa"/>
            </w:tcMar>
          </w:tcPr>
          <w:p w14:paraId="7B66DE2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2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29" w14:textId="77777777" w:rsidR="0040300B" w:rsidRDefault="00BB2D44">
            <w:pPr>
              <w:textAlignment w:val="bottom"/>
            </w:pPr>
            <w:hyperlink r:id="rId22" w:anchor="i52d5b40dbad7426a9806a2fd5167029f_31"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0" w:type="dxa"/>
              <w:left w:w="20" w:type="dxa"/>
              <w:bottom w:w="0" w:type="dxa"/>
              <w:right w:w="20" w:type="dxa"/>
            </w:tcMar>
          </w:tcPr>
          <w:p w14:paraId="7B66DE2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2B" w14:textId="77777777" w:rsidR="0040300B" w:rsidRDefault="00BB2D44">
            <w:pPr>
              <w:jc w:val="right"/>
              <w:textAlignment w:val="bottom"/>
            </w:pPr>
            <w:hyperlink r:id="rId23" w:anchor="i52d5b40dbad7426a9806a2fd5167029f_31" w:history="1">
              <w:r>
                <w:rPr>
                  <w:rStyle w:val="a5"/>
                  <w:rFonts w:ascii="Times New Roman" w:eastAsia="宋体" w:hAnsi="Times New Roman"/>
                  <w:sz w:val="20"/>
                  <w:szCs w:val="20"/>
                  <w:u w:val="none"/>
                </w:rPr>
                <w:t>9</w:t>
              </w:r>
            </w:hyperlink>
          </w:p>
        </w:tc>
      </w:tr>
      <w:tr w:rsidR="0040300B" w14:paraId="7B66DE32" w14:textId="77777777">
        <w:tc>
          <w:tcPr>
            <w:tcW w:w="0" w:type="auto"/>
            <w:gridSpan w:val="3"/>
            <w:shd w:val="clear" w:color="auto" w:fill="auto"/>
            <w:tcMar>
              <w:top w:w="40" w:type="dxa"/>
              <w:left w:w="200" w:type="dxa"/>
              <w:bottom w:w="40" w:type="dxa"/>
              <w:right w:w="20" w:type="dxa"/>
            </w:tcMar>
            <w:vAlign w:val="bottom"/>
          </w:tcPr>
          <w:p w14:paraId="7B66DE2D" w14:textId="77777777" w:rsidR="0040300B" w:rsidRDefault="00BB2D44">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tcPr>
          <w:p w14:paraId="7B66DE2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2F" w14:textId="77777777" w:rsidR="0040300B" w:rsidRDefault="00BB2D44">
            <w:pPr>
              <w:textAlignment w:val="bottom"/>
            </w:pPr>
            <w:hyperlink r:id="rId24" w:anchor="i52d5b40dbad7426a9806a2fd5167029f_94"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0" w:type="dxa"/>
              <w:left w:w="20" w:type="dxa"/>
              <w:bottom w:w="0" w:type="dxa"/>
              <w:right w:w="20" w:type="dxa"/>
            </w:tcMar>
          </w:tcPr>
          <w:p w14:paraId="7B66DE3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31" w14:textId="77777777" w:rsidR="0040300B" w:rsidRDefault="00BB2D44">
            <w:pPr>
              <w:jc w:val="right"/>
              <w:textAlignment w:val="bottom"/>
            </w:pPr>
            <w:hyperlink r:id="rId25" w:anchor="i52d5b40dbad7426a9806a2fd5167029f_94" w:history="1">
              <w:r>
                <w:rPr>
                  <w:rStyle w:val="a5"/>
                  <w:rFonts w:ascii="Times New Roman" w:eastAsia="宋体" w:hAnsi="Times New Roman"/>
                  <w:sz w:val="20"/>
                  <w:szCs w:val="20"/>
                  <w:u w:val="none"/>
                </w:rPr>
                <w:t>43</w:t>
              </w:r>
            </w:hyperlink>
          </w:p>
        </w:tc>
      </w:tr>
      <w:tr w:rsidR="0040300B" w14:paraId="7B66DE38" w14:textId="77777777">
        <w:tc>
          <w:tcPr>
            <w:tcW w:w="0" w:type="auto"/>
            <w:gridSpan w:val="3"/>
            <w:shd w:val="clear" w:color="auto" w:fill="auto"/>
            <w:tcMar>
              <w:top w:w="40" w:type="dxa"/>
              <w:left w:w="200" w:type="dxa"/>
              <w:bottom w:w="40" w:type="dxa"/>
              <w:right w:w="20" w:type="dxa"/>
            </w:tcMar>
            <w:vAlign w:val="bottom"/>
          </w:tcPr>
          <w:p w14:paraId="7B66DE33" w14:textId="77777777" w:rsidR="0040300B" w:rsidRDefault="00BB2D44">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tcPr>
          <w:p w14:paraId="7B66DE3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35" w14:textId="77777777" w:rsidR="0040300B" w:rsidRDefault="00BB2D44">
            <w:pPr>
              <w:textAlignment w:val="bottom"/>
            </w:pPr>
            <w:hyperlink r:id="rId26" w:anchor="i52d5b40dbad7426a9806a2fd5167029f_127"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tcPr>
          <w:p w14:paraId="7B66DE3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37" w14:textId="77777777" w:rsidR="0040300B" w:rsidRDefault="00BB2D44">
            <w:pPr>
              <w:jc w:val="right"/>
              <w:textAlignment w:val="bottom"/>
            </w:pPr>
            <w:hyperlink r:id="rId27" w:anchor="i52d5b40dbad7426a9806a2fd5167029f_127" w:history="1">
              <w:r>
                <w:rPr>
                  <w:rStyle w:val="a5"/>
                  <w:rFonts w:ascii="Times New Roman" w:eastAsia="宋体" w:hAnsi="Times New Roman"/>
                  <w:sz w:val="20"/>
                  <w:szCs w:val="20"/>
                  <w:u w:val="none"/>
                </w:rPr>
                <w:t>67</w:t>
              </w:r>
            </w:hyperlink>
          </w:p>
        </w:tc>
      </w:tr>
      <w:tr w:rsidR="0040300B" w14:paraId="7B66DE3E" w14:textId="77777777">
        <w:tc>
          <w:tcPr>
            <w:tcW w:w="0" w:type="auto"/>
            <w:gridSpan w:val="3"/>
            <w:shd w:val="clear" w:color="auto" w:fill="auto"/>
            <w:tcMar>
              <w:top w:w="40" w:type="dxa"/>
              <w:left w:w="200" w:type="dxa"/>
              <w:bottom w:w="40" w:type="dxa"/>
              <w:right w:w="20" w:type="dxa"/>
            </w:tcMar>
            <w:vAlign w:val="bottom"/>
          </w:tcPr>
          <w:p w14:paraId="7B66DE39" w14:textId="77777777" w:rsidR="0040300B" w:rsidRDefault="00BB2D44">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tcPr>
          <w:p w14:paraId="7B66DE3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3B" w14:textId="77777777" w:rsidR="0040300B" w:rsidRDefault="00BB2D44">
            <w:pPr>
              <w:textAlignment w:val="bottom"/>
            </w:pPr>
            <w:hyperlink r:id="rId28" w:anchor="i52d5b40dbad7426a9806a2fd5167029f_130"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tcPr>
          <w:p w14:paraId="7B66DE3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3D" w14:textId="77777777" w:rsidR="0040300B" w:rsidRDefault="00BB2D44">
            <w:pPr>
              <w:jc w:val="right"/>
              <w:textAlignment w:val="bottom"/>
            </w:pPr>
            <w:hyperlink r:id="rId29" w:anchor="i52d5b40dbad7426a9806a2fd5167029f_130" w:history="1">
              <w:r>
                <w:rPr>
                  <w:rStyle w:val="a5"/>
                  <w:rFonts w:ascii="Times New Roman" w:eastAsia="宋体" w:hAnsi="Times New Roman"/>
                  <w:sz w:val="20"/>
                  <w:szCs w:val="20"/>
                  <w:u w:val="none"/>
                </w:rPr>
                <w:t>68</w:t>
              </w:r>
            </w:hyperlink>
          </w:p>
        </w:tc>
      </w:tr>
      <w:tr w:rsidR="0040300B" w14:paraId="7B66DE44" w14:textId="77777777">
        <w:tc>
          <w:tcPr>
            <w:tcW w:w="0" w:type="auto"/>
            <w:gridSpan w:val="3"/>
            <w:shd w:val="clear" w:color="auto" w:fill="auto"/>
            <w:tcMar>
              <w:top w:w="40" w:type="dxa"/>
              <w:left w:w="20" w:type="dxa"/>
              <w:bottom w:w="40" w:type="dxa"/>
              <w:right w:w="20" w:type="dxa"/>
            </w:tcMar>
            <w:vAlign w:val="bottom"/>
          </w:tcPr>
          <w:p w14:paraId="7B66DE3F" w14:textId="77777777" w:rsidR="0040300B" w:rsidRDefault="00BB2D44">
            <w:pPr>
              <w:textAlignment w:val="bottom"/>
            </w:pPr>
            <w:r>
              <w:rPr>
                <w:rFonts w:ascii="Times New Roman" w:eastAsia="宋体" w:hAnsi="Times New Roman"/>
                <w:color w:val="000000"/>
                <w:sz w:val="20"/>
                <w:szCs w:val="20"/>
              </w:rPr>
              <w:t>Part II.</w:t>
            </w:r>
          </w:p>
        </w:tc>
        <w:tc>
          <w:tcPr>
            <w:tcW w:w="0" w:type="auto"/>
            <w:gridSpan w:val="3"/>
            <w:shd w:val="clear" w:color="auto" w:fill="auto"/>
            <w:tcMar>
              <w:top w:w="0" w:type="dxa"/>
              <w:left w:w="20" w:type="dxa"/>
              <w:bottom w:w="0" w:type="dxa"/>
              <w:right w:w="20" w:type="dxa"/>
            </w:tcMar>
          </w:tcPr>
          <w:p w14:paraId="7B66DE4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1" w14:textId="77777777" w:rsidR="0040300B" w:rsidRDefault="00BB2D44">
            <w:pPr>
              <w:textAlignment w:val="bottom"/>
            </w:pPr>
            <w:hyperlink r:id="rId30" w:anchor="i52d5b40dbad7426a9806a2fd5167029f_133"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tcPr>
          <w:p w14:paraId="7B66DE4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3" w14:textId="77777777" w:rsidR="0040300B" w:rsidRDefault="00BB2D44">
            <w:pPr>
              <w:jc w:val="right"/>
              <w:textAlignment w:val="bottom"/>
            </w:pPr>
            <w:hyperlink r:id="rId31" w:anchor="i52d5b40dbad7426a9806a2fd5167029f_133" w:history="1">
              <w:r>
                <w:rPr>
                  <w:rStyle w:val="a5"/>
                  <w:rFonts w:ascii="Times New Roman" w:eastAsia="宋体" w:hAnsi="Times New Roman"/>
                  <w:sz w:val="20"/>
                  <w:szCs w:val="20"/>
                  <w:u w:val="none"/>
                </w:rPr>
                <w:t>68</w:t>
              </w:r>
            </w:hyperlink>
          </w:p>
        </w:tc>
      </w:tr>
      <w:tr w:rsidR="0040300B" w14:paraId="7B66DE4A" w14:textId="77777777">
        <w:tc>
          <w:tcPr>
            <w:tcW w:w="0" w:type="auto"/>
            <w:gridSpan w:val="3"/>
            <w:shd w:val="clear" w:color="auto" w:fill="auto"/>
            <w:tcMar>
              <w:top w:w="40" w:type="dxa"/>
              <w:left w:w="200" w:type="dxa"/>
              <w:bottom w:w="40" w:type="dxa"/>
              <w:right w:w="20" w:type="dxa"/>
            </w:tcMar>
            <w:vAlign w:val="bottom"/>
          </w:tcPr>
          <w:p w14:paraId="7B66DE45" w14:textId="77777777" w:rsidR="0040300B" w:rsidRDefault="00BB2D44">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tcPr>
          <w:p w14:paraId="7B66DE4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7" w14:textId="77777777" w:rsidR="0040300B" w:rsidRDefault="00BB2D44">
            <w:pPr>
              <w:textAlignment w:val="bottom"/>
            </w:pPr>
            <w:hyperlink r:id="rId32" w:anchor="i52d5b40dbad7426a9806a2fd5167029f_136"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tcPr>
          <w:p w14:paraId="7B66DE4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9" w14:textId="77777777" w:rsidR="0040300B" w:rsidRDefault="00BB2D44">
            <w:pPr>
              <w:jc w:val="right"/>
              <w:textAlignment w:val="bottom"/>
            </w:pPr>
            <w:hyperlink r:id="rId33" w:anchor="i52d5b40dbad7426a9806a2fd5167029f_136" w:history="1">
              <w:r>
                <w:rPr>
                  <w:rStyle w:val="a5"/>
                  <w:rFonts w:ascii="Times New Roman" w:eastAsia="宋体" w:hAnsi="Times New Roman"/>
                  <w:sz w:val="20"/>
                  <w:szCs w:val="20"/>
                  <w:u w:val="none"/>
                </w:rPr>
                <w:t>68</w:t>
              </w:r>
            </w:hyperlink>
          </w:p>
        </w:tc>
      </w:tr>
      <w:tr w:rsidR="0040300B" w14:paraId="7B66DE50" w14:textId="77777777">
        <w:tc>
          <w:tcPr>
            <w:tcW w:w="0" w:type="auto"/>
            <w:gridSpan w:val="3"/>
            <w:shd w:val="clear" w:color="auto" w:fill="auto"/>
            <w:tcMar>
              <w:top w:w="40" w:type="dxa"/>
              <w:left w:w="200" w:type="dxa"/>
              <w:bottom w:w="40" w:type="dxa"/>
              <w:right w:w="20" w:type="dxa"/>
            </w:tcMar>
            <w:vAlign w:val="bottom"/>
          </w:tcPr>
          <w:p w14:paraId="7B66DE4B" w14:textId="77777777" w:rsidR="0040300B" w:rsidRDefault="00BB2D44">
            <w:pPr>
              <w:textAlignment w:val="bottom"/>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tcPr>
          <w:p w14:paraId="7B66DE4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D" w14:textId="77777777" w:rsidR="0040300B" w:rsidRDefault="00BB2D44">
            <w:pPr>
              <w:textAlignment w:val="bottom"/>
            </w:pPr>
            <w:hyperlink r:id="rId34" w:anchor="i52d5b40dbad7426a9806a2fd5167029f_139"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tcPr>
          <w:p w14:paraId="7B66DE4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4F" w14:textId="77777777" w:rsidR="0040300B" w:rsidRDefault="00BB2D44">
            <w:pPr>
              <w:jc w:val="right"/>
              <w:textAlignment w:val="bottom"/>
            </w:pPr>
            <w:hyperlink r:id="rId35" w:anchor="i52d5b40dbad7426a9806a2fd5167029f_139" w:history="1">
              <w:r>
                <w:rPr>
                  <w:rStyle w:val="a5"/>
                  <w:rFonts w:ascii="Times New Roman" w:eastAsia="宋体" w:hAnsi="Times New Roman"/>
                  <w:sz w:val="20"/>
                  <w:szCs w:val="20"/>
                  <w:u w:val="none"/>
                </w:rPr>
                <w:t>69</w:t>
              </w:r>
            </w:hyperlink>
          </w:p>
        </w:tc>
      </w:tr>
      <w:tr w:rsidR="0040300B" w14:paraId="7B66DE56" w14:textId="77777777">
        <w:tc>
          <w:tcPr>
            <w:tcW w:w="0" w:type="auto"/>
            <w:gridSpan w:val="3"/>
            <w:shd w:val="clear" w:color="auto" w:fill="auto"/>
            <w:tcMar>
              <w:top w:w="40" w:type="dxa"/>
              <w:left w:w="200" w:type="dxa"/>
              <w:bottom w:w="40" w:type="dxa"/>
              <w:right w:w="20" w:type="dxa"/>
            </w:tcMar>
            <w:vAlign w:val="bottom"/>
          </w:tcPr>
          <w:p w14:paraId="7B66DE51" w14:textId="77777777" w:rsidR="0040300B" w:rsidRDefault="00BB2D44">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tcPr>
          <w:p w14:paraId="7B66DE5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53" w14:textId="77777777" w:rsidR="0040300B" w:rsidRDefault="00BB2D44">
            <w:pPr>
              <w:textAlignment w:val="bottom"/>
            </w:pPr>
            <w:hyperlink r:id="rId36" w:anchor="i52d5b40dbad7426a9806a2fd5167029f_142"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0" w:type="dxa"/>
              <w:left w:w="20" w:type="dxa"/>
              <w:bottom w:w="0" w:type="dxa"/>
              <w:right w:w="20" w:type="dxa"/>
            </w:tcMar>
          </w:tcPr>
          <w:p w14:paraId="7B66DE5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55" w14:textId="77777777" w:rsidR="0040300B" w:rsidRDefault="00BB2D44">
            <w:pPr>
              <w:jc w:val="right"/>
              <w:textAlignment w:val="bottom"/>
            </w:pPr>
            <w:hyperlink r:id="rId37" w:anchor="i52d5b40dbad7426a9806a2fd5167029f_142" w:history="1">
              <w:r>
                <w:rPr>
                  <w:rStyle w:val="a5"/>
                  <w:rFonts w:ascii="Times New Roman" w:eastAsia="宋体" w:hAnsi="Times New Roman"/>
                  <w:sz w:val="20"/>
                  <w:szCs w:val="20"/>
                  <w:u w:val="none"/>
                </w:rPr>
                <w:t>84</w:t>
              </w:r>
            </w:hyperlink>
          </w:p>
        </w:tc>
      </w:tr>
      <w:tr w:rsidR="0040300B" w14:paraId="7B66DE5C" w14:textId="77777777">
        <w:tc>
          <w:tcPr>
            <w:tcW w:w="0" w:type="auto"/>
            <w:gridSpan w:val="3"/>
            <w:shd w:val="clear" w:color="auto" w:fill="auto"/>
            <w:tcMar>
              <w:top w:w="40" w:type="dxa"/>
              <w:left w:w="200" w:type="dxa"/>
              <w:bottom w:w="40" w:type="dxa"/>
              <w:right w:w="20" w:type="dxa"/>
            </w:tcMar>
            <w:vAlign w:val="bottom"/>
          </w:tcPr>
          <w:p w14:paraId="7B66DE57" w14:textId="77777777" w:rsidR="0040300B" w:rsidRDefault="00BB2D44">
            <w:pPr>
              <w:textAlignment w:val="bottom"/>
            </w:pPr>
            <w:r>
              <w:rPr>
                <w:rFonts w:ascii="Times New Roman" w:eastAsia="宋体" w:hAnsi="Times New Roman"/>
                <w:color w:val="000000"/>
                <w:sz w:val="20"/>
                <w:szCs w:val="20"/>
              </w:rPr>
              <w:lastRenderedPageBreak/>
              <w:t>Item 3.</w:t>
            </w:r>
          </w:p>
        </w:tc>
        <w:tc>
          <w:tcPr>
            <w:tcW w:w="0" w:type="auto"/>
            <w:gridSpan w:val="3"/>
            <w:shd w:val="clear" w:color="auto" w:fill="auto"/>
            <w:tcMar>
              <w:top w:w="0" w:type="dxa"/>
              <w:left w:w="20" w:type="dxa"/>
              <w:bottom w:w="0" w:type="dxa"/>
              <w:right w:w="20" w:type="dxa"/>
            </w:tcMar>
          </w:tcPr>
          <w:p w14:paraId="7B66DE5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59" w14:textId="77777777" w:rsidR="0040300B" w:rsidRDefault="00BB2D44">
            <w:pPr>
              <w:textAlignment w:val="bottom"/>
            </w:pPr>
            <w:hyperlink r:id="rId38" w:anchor="i52d5b40dbad7426a9806a2fd5167029f_145"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0" w:type="dxa"/>
              <w:left w:w="20" w:type="dxa"/>
              <w:bottom w:w="0" w:type="dxa"/>
              <w:right w:w="20" w:type="dxa"/>
            </w:tcMar>
          </w:tcPr>
          <w:p w14:paraId="7B66DE5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5B" w14:textId="77777777" w:rsidR="0040300B" w:rsidRDefault="00BB2D44">
            <w:pPr>
              <w:jc w:val="right"/>
              <w:textAlignment w:val="bottom"/>
            </w:pPr>
            <w:hyperlink r:id="rId39" w:anchor="i52d5b40dbad7426a9806a2fd5167029f_145" w:history="1">
              <w:r>
                <w:rPr>
                  <w:rStyle w:val="a5"/>
                  <w:rFonts w:ascii="Times New Roman" w:eastAsia="宋体" w:hAnsi="Times New Roman"/>
                  <w:sz w:val="20"/>
                  <w:szCs w:val="20"/>
                  <w:u w:val="none"/>
                </w:rPr>
                <w:t>84</w:t>
              </w:r>
            </w:hyperlink>
          </w:p>
        </w:tc>
      </w:tr>
      <w:tr w:rsidR="0040300B" w14:paraId="7B66DE62" w14:textId="77777777">
        <w:tc>
          <w:tcPr>
            <w:tcW w:w="0" w:type="auto"/>
            <w:gridSpan w:val="3"/>
            <w:shd w:val="clear" w:color="auto" w:fill="auto"/>
            <w:tcMar>
              <w:top w:w="40" w:type="dxa"/>
              <w:left w:w="200" w:type="dxa"/>
              <w:bottom w:w="40" w:type="dxa"/>
              <w:right w:w="20" w:type="dxa"/>
            </w:tcMar>
            <w:vAlign w:val="bottom"/>
          </w:tcPr>
          <w:p w14:paraId="7B66DE5D" w14:textId="77777777" w:rsidR="0040300B" w:rsidRDefault="00BB2D44">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tcPr>
          <w:p w14:paraId="7B66DE5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5F" w14:textId="77777777" w:rsidR="0040300B" w:rsidRDefault="00BB2D44">
            <w:pPr>
              <w:textAlignment w:val="bottom"/>
            </w:pPr>
            <w:hyperlink r:id="rId40" w:anchor="i52d5b40dbad7426a9806a2fd5167029f_148"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tcPr>
          <w:p w14:paraId="7B66DE6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61" w14:textId="77777777" w:rsidR="0040300B" w:rsidRDefault="00BB2D44">
            <w:pPr>
              <w:jc w:val="right"/>
              <w:textAlignment w:val="bottom"/>
            </w:pPr>
            <w:hyperlink r:id="rId41" w:anchor="i52d5b40dbad7426a9806a2fd5167029f_148" w:history="1">
              <w:r>
                <w:rPr>
                  <w:rStyle w:val="a5"/>
                  <w:rFonts w:ascii="Times New Roman" w:eastAsia="宋体" w:hAnsi="Times New Roman"/>
                  <w:sz w:val="20"/>
                  <w:szCs w:val="20"/>
                  <w:u w:val="none"/>
                </w:rPr>
                <w:t>84</w:t>
              </w:r>
            </w:hyperlink>
          </w:p>
        </w:tc>
      </w:tr>
      <w:tr w:rsidR="0040300B" w14:paraId="7B66DE68" w14:textId="77777777">
        <w:tc>
          <w:tcPr>
            <w:tcW w:w="0" w:type="auto"/>
            <w:gridSpan w:val="3"/>
            <w:shd w:val="clear" w:color="auto" w:fill="auto"/>
            <w:tcMar>
              <w:top w:w="40" w:type="dxa"/>
              <w:left w:w="200" w:type="dxa"/>
              <w:bottom w:w="40" w:type="dxa"/>
              <w:right w:w="20" w:type="dxa"/>
            </w:tcMar>
            <w:vAlign w:val="bottom"/>
          </w:tcPr>
          <w:p w14:paraId="7B66DE63" w14:textId="77777777" w:rsidR="0040300B" w:rsidRDefault="00BB2D44">
            <w:pPr>
              <w:textAlignment w:val="bottom"/>
            </w:pPr>
            <w:r>
              <w:rPr>
                <w:rFonts w:ascii="Times New Roman" w:eastAsia="宋体" w:hAnsi="Times New Roman"/>
                <w:color w:val="000000"/>
                <w:sz w:val="20"/>
                <w:szCs w:val="20"/>
              </w:rPr>
              <w:t>Item 5.</w:t>
            </w:r>
          </w:p>
        </w:tc>
        <w:tc>
          <w:tcPr>
            <w:tcW w:w="0" w:type="auto"/>
            <w:gridSpan w:val="3"/>
            <w:shd w:val="clear" w:color="auto" w:fill="auto"/>
            <w:tcMar>
              <w:top w:w="0" w:type="dxa"/>
              <w:left w:w="20" w:type="dxa"/>
              <w:bottom w:w="0" w:type="dxa"/>
              <w:right w:w="20" w:type="dxa"/>
            </w:tcMar>
          </w:tcPr>
          <w:p w14:paraId="7B66DE6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65" w14:textId="77777777" w:rsidR="0040300B" w:rsidRDefault="00BB2D44">
            <w:pPr>
              <w:textAlignment w:val="bottom"/>
            </w:pPr>
            <w:hyperlink r:id="rId42" w:anchor="i52d5b40dbad7426a9806a2fd5167029f_151"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tcPr>
          <w:p w14:paraId="7B66DE6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67" w14:textId="77777777" w:rsidR="0040300B" w:rsidRDefault="00BB2D44">
            <w:pPr>
              <w:jc w:val="right"/>
              <w:textAlignment w:val="bottom"/>
            </w:pPr>
            <w:hyperlink r:id="rId43" w:anchor="i52d5b40dbad7426a9806a2fd5167029f_151" w:history="1">
              <w:r>
                <w:rPr>
                  <w:rStyle w:val="a5"/>
                  <w:rFonts w:ascii="Times New Roman" w:eastAsia="宋体" w:hAnsi="Times New Roman"/>
                  <w:sz w:val="20"/>
                  <w:szCs w:val="20"/>
                  <w:u w:val="none"/>
                </w:rPr>
                <w:t>84</w:t>
              </w:r>
            </w:hyperlink>
          </w:p>
        </w:tc>
      </w:tr>
      <w:tr w:rsidR="0040300B" w14:paraId="7B66DE6E" w14:textId="77777777">
        <w:tc>
          <w:tcPr>
            <w:tcW w:w="0" w:type="auto"/>
            <w:gridSpan w:val="3"/>
            <w:shd w:val="clear" w:color="auto" w:fill="auto"/>
            <w:tcMar>
              <w:top w:w="40" w:type="dxa"/>
              <w:left w:w="200" w:type="dxa"/>
              <w:bottom w:w="40" w:type="dxa"/>
              <w:right w:w="20" w:type="dxa"/>
            </w:tcMar>
            <w:vAlign w:val="bottom"/>
          </w:tcPr>
          <w:p w14:paraId="7B66DE69" w14:textId="77777777" w:rsidR="0040300B" w:rsidRDefault="00BB2D44">
            <w:pPr>
              <w:textAlignment w:val="bottom"/>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tcPr>
          <w:p w14:paraId="7B66DE6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6B" w14:textId="77777777" w:rsidR="0040300B" w:rsidRDefault="00BB2D44">
            <w:pPr>
              <w:textAlignment w:val="bottom"/>
            </w:pPr>
            <w:hyperlink r:id="rId44" w:anchor="i52d5b40dbad7426a9806a2fd5167029f_154" w:history="1">
              <w:r>
                <w:rPr>
                  <w:rStyle w:val="a5"/>
                  <w:rFonts w:ascii="Times New Roman" w:eastAsia="宋体" w:hAnsi="Times New Roman"/>
                  <w:sz w:val="20"/>
                  <w:szCs w:val="20"/>
                </w:rPr>
                <w:t>Exhibits</w:t>
              </w:r>
            </w:hyperlink>
          </w:p>
        </w:tc>
        <w:tc>
          <w:tcPr>
            <w:tcW w:w="0" w:type="auto"/>
            <w:gridSpan w:val="3"/>
            <w:shd w:val="clear" w:color="auto" w:fill="auto"/>
            <w:tcMar>
              <w:top w:w="0" w:type="dxa"/>
              <w:left w:w="20" w:type="dxa"/>
              <w:bottom w:w="0" w:type="dxa"/>
              <w:right w:w="20" w:type="dxa"/>
            </w:tcMar>
          </w:tcPr>
          <w:p w14:paraId="7B66DE6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6D" w14:textId="77777777" w:rsidR="0040300B" w:rsidRDefault="00BB2D44">
            <w:pPr>
              <w:jc w:val="right"/>
              <w:textAlignment w:val="bottom"/>
            </w:pPr>
            <w:hyperlink r:id="rId45" w:anchor="i52d5b40dbad7426a9806a2fd5167029f_154" w:history="1">
              <w:r>
                <w:rPr>
                  <w:rStyle w:val="a5"/>
                  <w:rFonts w:ascii="Times New Roman" w:eastAsia="宋体" w:hAnsi="Times New Roman"/>
                  <w:sz w:val="20"/>
                  <w:szCs w:val="20"/>
                  <w:u w:val="none"/>
                </w:rPr>
                <w:t>85</w:t>
              </w:r>
            </w:hyperlink>
          </w:p>
        </w:tc>
      </w:tr>
      <w:tr w:rsidR="0040300B" w14:paraId="7B66DE74" w14:textId="77777777">
        <w:tc>
          <w:tcPr>
            <w:tcW w:w="0" w:type="auto"/>
            <w:gridSpan w:val="3"/>
            <w:shd w:val="clear" w:color="auto" w:fill="auto"/>
            <w:tcMar>
              <w:top w:w="0" w:type="dxa"/>
              <w:left w:w="20" w:type="dxa"/>
              <w:bottom w:w="0" w:type="dxa"/>
              <w:right w:w="20" w:type="dxa"/>
            </w:tcMar>
          </w:tcPr>
          <w:p w14:paraId="7B66DE6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DE7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71" w14:textId="77777777" w:rsidR="0040300B" w:rsidRDefault="00BB2D44">
            <w:pPr>
              <w:textAlignment w:val="bottom"/>
            </w:pPr>
            <w:hyperlink r:id="rId46" w:anchor="i52d5b40dbad7426a9806a2fd5167029f_157" w:history="1">
              <w:r>
                <w:rPr>
                  <w:rStyle w:val="a5"/>
                  <w:rFonts w:ascii="Times New Roman" w:eastAsia="宋体" w:hAnsi="Times New Roman"/>
                  <w:sz w:val="20"/>
                  <w:szCs w:val="20"/>
                </w:rPr>
                <w:t>Signature</w:t>
              </w:r>
            </w:hyperlink>
          </w:p>
        </w:tc>
        <w:tc>
          <w:tcPr>
            <w:tcW w:w="0" w:type="auto"/>
            <w:gridSpan w:val="3"/>
            <w:shd w:val="clear" w:color="auto" w:fill="auto"/>
            <w:tcMar>
              <w:top w:w="0" w:type="dxa"/>
              <w:left w:w="20" w:type="dxa"/>
              <w:bottom w:w="0" w:type="dxa"/>
              <w:right w:w="20" w:type="dxa"/>
            </w:tcMar>
          </w:tcPr>
          <w:p w14:paraId="7B66DE7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73" w14:textId="77777777" w:rsidR="0040300B" w:rsidRDefault="00BB2D44">
            <w:pPr>
              <w:jc w:val="right"/>
              <w:textAlignment w:val="bottom"/>
            </w:pPr>
            <w:hyperlink r:id="rId47" w:anchor="i52d5b40dbad7426a9806a2fd5167029f_157" w:history="1">
              <w:r>
                <w:rPr>
                  <w:rStyle w:val="a5"/>
                  <w:rFonts w:ascii="Times New Roman" w:eastAsia="宋体" w:hAnsi="Times New Roman"/>
                  <w:sz w:val="20"/>
                  <w:szCs w:val="20"/>
                  <w:u w:val="none"/>
                </w:rPr>
                <w:t>87</w:t>
              </w:r>
            </w:hyperlink>
          </w:p>
        </w:tc>
      </w:tr>
    </w:tbl>
    <w:p w14:paraId="7B66DE75" w14:textId="77777777" w:rsidR="0040300B" w:rsidRDefault="0040300B"/>
    <w:p w14:paraId="7B66DE76" w14:textId="77777777" w:rsidR="0040300B" w:rsidRDefault="00BB2D44">
      <w:pPr>
        <w:jc w:val="center"/>
      </w:pPr>
      <w:r>
        <w:rPr>
          <w:rFonts w:ascii="Times New Roman" w:eastAsia="宋体" w:hAnsi="Times New Roman"/>
          <w:color w:val="000000"/>
          <w:sz w:val="20"/>
          <w:szCs w:val="20"/>
        </w:rPr>
        <w:t>2</w:t>
      </w:r>
    </w:p>
    <w:p w14:paraId="7B66DE77" w14:textId="77777777" w:rsidR="0040300B" w:rsidRDefault="00BB2D44">
      <w:r>
        <w:pict w14:anchorId="7B671C12">
          <v:rect id="_x0000_i1026" style="width:415.3pt;height:1.5pt" o:hralign="center" o:hrstd="t" o:hr="t" fillcolor="#a0a0a0" stroked="f"/>
        </w:pict>
      </w:r>
    </w:p>
    <w:p w14:paraId="7B66DE78" w14:textId="77777777" w:rsidR="0040300B" w:rsidRDefault="00BB2D44">
      <w:hyperlink r:id="rId48" w:anchor="i52d5b40dbad7426a9806a2fd5167029f_7" w:history="1">
        <w:r>
          <w:rPr>
            <w:rStyle w:val="a5"/>
            <w:rFonts w:ascii="Times New Roman" w:eastAsia="宋体" w:hAnsi="Times New Roman"/>
            <w:sz w:val="18"/>
            <w:szCs w:val="18"/>
          </w:rPr>
          <w:t>Table of Contents</w:t>
        </w:r>
      </w:hyperlink>
    </w:p>
    <w:p w14:paraId="7B66DE79" w14:textId="77777777" w:rsidR="0040300B" w:rsidRDefault="00BB2D44">
      <w:pPr>
        <w:jc w:val="center"/>
      </w:pPr>
      <w:r>
        <w:rPr>
          <w:rFonts w:ascii="Times New Roman" w:eastAsia="宋体" w:hAnsi="Times New Roman"/>
          <w:b/>
          <w:bCs/>
          <w:color w:val="000000"/>
          <w:sz w:val="20"/>
          <w:szCs w:val="20"/>
        </w:rPr>
        <w:t>PART I. FINANCIAL INFORMATION</w:t>
      </w:r>
      <w:r>
        <w:rPr>
          <w:rFonts w:ascii="Times New Roman" w:eastAsia="宋体" w:hAnsi="Times New Roman"/>
          <w:color w:val="000000"/>
          <w:sz w:val="18"/>
          <w:szCs w:val="18"/>
        </w:rPr>
        <w:t> </w:t>
      </w:r>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40300B" w14:paraId="7B66DE80" w14:textId="77777777">
        <w:tc>
          <w:tcPr>
            <w:tcW w:w="50" w:type="pct"/>
            <w:shd w:val="clear" w:color="auto" w:fill="auto"/>
          </w:tcPr>
          <w:p w14:paraId="7B66DE7A" w14:textId="77777777" w:rsidR="0040300B" w:rsidRDefault="0040300B">
            <w:pPr>
              <w:rPr>
                <w:rFonts w:ascii="宋体"/>
              </w:rPr>
            </w:pPr>
          </w:p>
        </w:tc>
        <w:tc>
          <w:tcPr>
            <w:tcW w:w="812" w:type="pct"/>
            <w:shd w:val="clear" w:color="auto" w:fill="auto"/>
          </w:tcPr>
          <w:p w14:paraId="7B66DE7B" w14:textId="77777777" w:rsidR="0040300B" w:rsidRDefault="0040300B">
            <w:pPr>
              <w:rPr>
                <w:rFonts w:ascii="宋体"/>
              </w:rPr>
            </w:pPr>
          </w:p>
        </w:tc>
        <w:tc>
          <w:tcPr>
            <w:tcW w:w="5" w:type="pct"/>
            <w:shd w:val="clear" w:color="auto" w:fill="auto"/>
          </w:tcPr>
          <w:p w14:paraId="7B66DE7C" w14:textId="77777777" w:rsidR="0040300B" w:rsidRDefault="0040300B">
            <w:pPr>
              <w:rPr>
                <w:rFonts w:ascii="宋体"/>
              </w:rPr>
            </w:pPr>
          </w:p>
        </w:tc>
        <w:tc>
          <w:tcPr>
            <w:tcW w:w="50" w:type="pct"/>
            <w:shd w:val="clear" w:color="auto" w:fill="auto"/>
          </w:tcPr>
          <w:p w14:paraId="7B66DE7D" w14:textId="77777777" w:rsidR="0040300B" w:rsidRDefault="0040300B">
            <w:pPr>
              <w:rPr>
                <w:rFonts w:ascii="宋体"/>
              </w:rPr>
            </w:pPr>
          </w:p>
        </w:tc>
        <w:tc>
          <w:tcPr>
            <w:tcW w:w="4077" w:type="pct"/>
            <w:shd w:val="clear" w:color="auto" w:fill="auto"/>
          </w:tcPr>
          <w:p w14:paraId="7B66DE7E" w14:textId="77777777" w:rsidR="0040300B" w:rsidRDefault="0040300B">
            <w:pPr>
              <w:rPr>
                <w:rFonts w:ascii="宋体"/>
              </w:rPr>
            </w:pPr>
          </w:p>
        </w:tc>
        <w:tc>
          <w:tcPr>
            <w:tcW w:w="5" w:type="pct"/>
            <w:shd w:val="clear" w:color="auto" w:fill="auto"/>
          </w:tcPr>
          <w:p w14:paraId="7B66DE7F" w14:textId="77777777" w:rsidR="0040300B" w:rsidRDefault="0040300B">
            <w:pPr>
              <w:rPr>
                <w:rFonts w:ascii="宋体"/>
              </w:rPr>
            </w:pPr>
          </w:p>
        </w:tc>
      </w:tr>
      <w:tr w:rsidR="0040300B" w14:paraId="7B66DE83" w14:textId="77777777">
        <w:tc>
          <w:tcPr>
            <w:tcW w:w="0" w:type="auto"/>
            <w:gridSpan w:val="3"/>
            <w:shd w:val="clear" w:color="auto" w:fill="auto"/>
            <w:tcMar>
              <w:top w:w="40" w:type="dxa"/>
              <w:left w:w="20" w:type="dxa"/>
              <w:bottom w:w="40" w:type="dxa"/>
              <w:right w:w="20" w:type="dxa"/>
            </w:tcMar>
          </w:tcPr>
          <w:p w14:paraId="7B66DE81" w14:textId="77777777" w:rsidR="0040300B" w:rsidRDefault="00BB2D44">
            <w:pPr>
              <w:textAlignment w:val="top"/>
            </w:pPr>
            <w:r>
              <w:rPr>
                <w:rFonts w:ascii="Times New Roman" w:eastAsia="宋体" w:hAnsi="Times New Roman"/>
                <w:b/>
                <w:bCs/>
                <w:color w:val="000000"/>
                <w:sz w:val="18"/>
                <w:szCs w:val="18"/>
              </w:rPr>
              <w:t>Item 1.</w:t>
            </w:r>
          </w:p>
        </w:tc>
        <w:tc>
          <w:tcPr>
            <w:tcW w:w="0" w:type="auto"/>
            <w:gridSpan w:val="3"/>
            <w:shd w:val="clear" w:color="auto" w:fill="auto"/>
            <w:tcMar>
              <w:top w:w="40" w:type="dxa"/>
              <w:left w:w="20" w:type="dxa"/>
              <w:bottom w:w="40" w:type="dxa"/>
              <w:right w:w="20" w:type="dxa"/>
            </w:tcMar>
          </w:tcPr>
          <w:p w14:paraId="7B66DE82" w14:textId="77777777" w:rsidR="0040300B" w:rsidRDefault="00BB2D44">
            <w:pPr>
              <w:textAlignment w:val="top"/>
            </w:pPr>
            <w:r>
              <w:rPr>
                <w:rFonts w:ascii="Times New Roman" w:eastAsia="宋体" w:hAnsi="Times New Roman"/>
                <w:b/>
                <w:bCs/>
                <w:color w:val="000000"/>
                <w:sz w:val="18"/>
                <w:szCs w:val="18"/>
              </w:rPr>
              <w:t>Financial Statements (Unaudited)</w:t>
            </w:r>
          </w:p>
        </w:tc>
      </w:tr>
    </w:tbl>
    <w:p w14:paraId="7B66DE84" w14:textId="77777777" w:rsidR="0040300B" w:rsidRDefault="00BB2D44">
      <w:pPr>
        <w:jc w:val="center"/>
      </w:pPr>
      <w:r>
        <w:rPr>
          <w:rFonts w:ascii="Times New Roman" w:eastAsia="宋体" w:hAnsi="Times New Roman"/>
          <w:b/>
          <w:bCs/>
          <w:color w:val="000000"/>
          <w:sz w:val="19"/>
          <w:szCs w:val="19"/>
        </w:rPr>
        <w:t>CISCO SYSTEMS, INC.</w:t>
      </w:r>
    </w:p>
    <w:p w14:paraId="7B66DE85" w14:textId="77777777" w:rsidR="0040300B" w:rsidRDefault="00BB2D44">
      <w:pPr>
        <w:jc w:val="center"/>
      </w:pPr>
      <w:r>
        <w:rPr>
          <w:rFonts w:ascii="Times New Roman" w:eastAsia="宋体" w:hAnsi="Times New Roman"/>
          <w:b/>
          <w:bCs/>
          <w:color w:val="000000"/>
          <w:sz w:val="19"/>
          <w:szCs w:val="19"/>
        </w:rPr>
        <w:t>CONSOLIDATED BALANCE SHEETS</w:t>
      </w:r>
    </w:p>
    <w:p w14:paraId="7B66DE86" w14:textId="77777777" w:rsidR="0040300B" w:rsidRDefault="00BB2D44">
      <w:pPr>
        <w:jc w:val="center"/>
      </w:pPr>
      <w:r>
        <w:rPr>
          <w:rFonts w:ascii="Times New Roman" w:eastAsia="宋体" w:hAnsi="Times New Roman"/>
          <w:color w:val="000000"/>
          <w:sz w:val="18"/>
          <w:szCs w:val="18"/>
        </w:rPr>
        <w:t>(in millions, except par value)</w:t>
      </w:r>
    </w:p>
    <w:p w14:paraId="7B66DE87" w14:textId="77777777" w:rsidR="0040300B" w:rsidRDefault="00BB2D4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6"/>
        <w:gridCol w:w="39"/>
        <w:gridCol w:w="115"/>
        <w:gridCol w:w="1085"/>
        <w:gridCol w:w="36"/>
        <w:gridCol w:w="36"/>
        <w:gridCol w:w="36"/>
        <w:gridCol w:w="36"/>
        <w:gridCol w:w="115"/>
        <w:gridCol w:w="1054"/>
        <w:gridCol w:w="36"/>
      </w:tblGrid>
      <w:tr w:rsidR="0040300B" w14:paraId="7B66DE94" w14:textId="77777777">
        <w:trPr>
          <w:jc w:val="center"/>
        </w:trPr>
        <w:tc>
          <w:tcPr>
            <w:tcW w:w="50" w:type="pct"/>
            <w:shd w:val="clear" w:color="auto" w:fill="auto"/>
          </w:tcPr>
          <w:p w14:paraId="7B66DE88" w14:textId="77777777" w:rsidR="0040300B" w:rsidRDefault="0040300B">
            <w:pPr>
              <w:rPr>
                <w:rFonts w:ascii="宋体"/>
              </w:rPr>
            </w:pPr>
          </w:p>
        </w:tc>
        <w:tc>
          <w:tcPr>
            <w:tcW w:w="3446" w:type="pct"/>
            <w:shd w:val="clear" w:color="auto" w:fill="auto"/>
          </w:tcPr>
          <w:p w14:paraId="7B66DE89" w14:textId="77777777" w:rsidR="0040300B" w:rsidRDefault="0040300B">
            <w:pPr>
              <w:rPr>
                <w:rFonts w:ascii="宋体"/>
              </w:rPr>
            </w:pPr>
          </w:p>
        </w:tc>
        <w:tc>
          <w:tcPr>
            <w:tcW w:w="5" w:type="pct"/>
            <w:shd w:val="clear" w:color="auto" w:fill="auto"/>
          </w:tcPr>
          <w:p w14:paraId="7B66DE8A" w14:textId="77777777" w:rsidR="0040300B" w:rsidRDefault="0040300B">
            <w:pPr>
              <w:rPr>
                <w:rFonts w:ascii="宋体"/>
              </w:rPr>
            </w:pPr>
          </w:p>
        </w:tc>
        <w:tc>
          <w:tcPr>
            <w:tcW w:w="50" w:type="pct"/>
            <w:shd w:val="clear" w:color="auto" w:fill="auto"/>
          </w:tcPr>
          <w:p w14:paraId="7B66DE8B" w14:textId="77777777" w:rsidR="0040300B" w:rsidRDefault="0040300B">
            <w:pPr>
              <w:rPr>
                <w:rFonts w:ascii="宋体"/>
              </w:rPr>
            </w:pPr>
          </w:p>
        </w:tc>
        <w:tc>
          <w:tcPr>
            <w:tcW w:w="675" w:type="pct"/>
            <w:shd w:val="clear" w:color="auto" w:fill="auto"/>
          </w:tcPr>
          <w:p w14:paraId="7B66DE8C" w14:textId="77777777" w:rsidR="0040300B" w:rsidRDefault="0040300B">
            <w:pPr>
              <w:rPr>
                <w:rFonts w:ascii="宋体"/>
              </w:rPr>
            </w:pPr>
          </w:p>
        </w:tc>
        <w:tc>
          <w:tcPr>
            <w:tcW w:w="5" w:type="pct"/>
            <w:shd w:val="clear" w:color="auto" w:fill="auto"/>
          </w:tcPr>
          <w:p w14:paraId="7B66DE8D" w14:textId="77777777" w:rsidR="0040300B" w:rsidRDefault="0040300B">
            <w:pPr>
              <w:rPr>
                <w:rFonts w:ascii="宋体"/>
              </w:rPr>
            </w:pPr>
          </w:p>
        </w:tc>
        <w:tc>
          <w:tcPr>
            <w:tcW w:w="5" w:type="pct"/>
            <w:shd w:val="clear" w:color="auto" w:fill="auto"/>
          </w:tcPr>
          <w:p w14:paraId="7B66DE8E" w14:textId="77777777" w:rsidR="0040300B" w:rsidRDefault="0040300B">
            <w:pPr>
              <w:rPr>
                <w:rFonts w:ascii="宋体"/>
              </w:rPr>
            </w:pPr>
          </w:p>
        </w:tc>
        <w:tc>
          <w:tcPr>
            <w:tcW w:w="26" w:type="pct"/>
            <w:shd w:val="clear" w:color="auto" w:fill="auto"/>
          </w:tcPr>
          <w:p w14:paraId="7B66DE8F" w14:textId="77777777" w:rsidR="0040300B" w:rsidRDefault="0040300B">
            <w:pPr>
              <w:rPr>
                <w:rFonts w:ascii="宋体"/>
              </w:rPr>
            </w:pPr>
          </w:p>
        </w:tc>
        <w:tc>
          <w:tcPr>
            <w:tcW w:w="5" w:type="pct"/>
            <w:shd w:val="clear" w:color="auto" w:fill="auto"/>
          </w:tcPr>
          <w:p w14:paraId="7B66DE90" w14:textId="77777777" w:rsidR="0040300B" w:rsidRDefault="0040300B">
            <w:pPr>
              <w:rPr>
                <w:rFonts w:ascii="宋体"/>
              </w:rPr>
            </w:pPr>
          </w:p>
        </w:tc>
        <w:tc>
          <w:tcPr>
            <w:tcW w:w="50" w:type="pct"/>
            <w:shd w:val="clear" w:color="auto" w:fill="auto"/>
          </w:tcPr>
          <w:p w14:paraId="7B66DE91" w14:textId="77777777" w:rsidR="0040300B" w:rsidRDefault="0040300B">
            <w:pPr>
              <w:rPr>
                <w:rFonts w:ascii="宋体"/>
              </w:rPr>
            </w:pPr>
          </w:p>
        </w:tc>
        <w:tc>
          <w:tcPr>
            <w:tcW w:w="676" w:type="pct"/>
            <w:shd w:val="clear" w:color="auto" w:fill="auto"/>
          </w:tcPr>
          <w:p w14:paraId="7B66DE92" w14:textId="77777777" w:rsidR="0040300B" w:rsidRDefault="0040300B">
            <w:pPr>
              <w:rPr>
                <w:rFonts w:ascii="宋体"/>
              </w:rPr>
            </w:pPr>
          </w:p>
        </w:tc>
        <w:tc>
          <w:tcPr>
            <w:tcW w:w="5" w:type="pct"/>
            <w:shd w:val="clear" w:color="auto" w:fill="auto"/>
          </w:tcPr>
          <w:p w14:paraId="7B66DE93" w14:textId="77777777" w:rsidR="0040300B" w:rsidRDefault="0040300B">
            <w:pPr>
              <w:rPr>
                <w:rFonts w:ascii="宋体"/>
              </w:rPr>
            </w:pPr>
          </w:p>
        </w:tc>
      </w:tr>
      <w:tr w:rsidR="0040300B" w14:paraId="7B66DE99" w14:textId="77777777">
        <w:trPr>
          <w:jc w:val="center"/>
        </w:trPr>
        <w:tc>
          <w:tcPr>
            <w:tcW w:w="0" w:type="auto"/>
            <w:gridSpan w:val="3"/>
            <w:shd w:val="clear" w:color="auto" w:fill="auto"/>
            <w:tcMar>
              <w:top w:w="0" w:type="dxa"/>
              <w:left w:w="20" w:type="dxa"/>
              <w:bottom w:w="0" w:type="dxa"/>
              <w:right w:w="20" w:type="dxa"/>
            </w:tcMar>
          </w:tcPr>
          <w:p w14:paraId="7B66DE9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96"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DE9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DE98"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DE9E" w14:textId="77777777">
        <w:trPr>
          <w:jc w:val="center"/>
        </w:trPr>
        <w:tc>
          <w:tcPr>
            <w:tcW w:w="0" w:type="auto"/>
            <w:gridSpan w:val="3"/>
            <w:shd w:val="clear" w:color="auto" w:fill="CCEEFF"/>
            <w:tcMar>
              <w:top w:w="40" w:type="dxa"/>
              <w:left w:w="20" w:type="dxa"/>
              <w:bottom w:w="40" w:type="dxa"/>
              <w:right w:w="20" w:type="dxa"/>
            </w:tcMar>
            <w:vAlign w:val="bottom"/>
          </w:tcPr>
          <w:p w14:paraId="7B66DE9A" w14:textId="77777777" w:rsidR="0040300B" w:rsidRDefault="00BB2D44">
            <w:pPr>
              <w:textAlignment w:val="bottom"/>
            </w:pPr>
            <w:r>
              <w:rPr>
                <w:rFonts w:ascii="Times New Roman" w:eastAsia="宋体" w:hAnsi="Times New Roman"/>
                <w:b/>
                <w:bCs/>
                <w:color w:val="00000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7B66DE9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E9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DE9D" w14:textId="77777777" w:rsidR="0040300B" w:rsidRDefault="0040300B">
            <w:pPr>
              <w:rPr>
                <w:rFonts w:ascii="宋体"/>
              </w:rPr>
            </w:pPr>
          </w:p>
        </w:tc>
      </w:tr>
      <w:tr w:rsidR="0040300B" w14:paraId="7B66DEA3" w14:textId="77777777">
        <w:trPr>
          <w:jc w:val="center"/>
        </w:trPr>
        <w:tc>
          <w:tcPr>
            <w:tcW w:w="0" w:type="auto"/>
            <w:gridSpan w:val="3"/>
            <w:shd w:val="clear" w:color="auto" w:fill="FFFFFF"/>
            <w:tcMar>
              <w:top w:w="40" w:type="dxa"/>
              <w:left w:w="20" w:type="dxa"/>
              <w:bottom w:w="40" w:type="dxa"/>
              <w:right w:w="20" w:type="dxa"/>
            </w:tcMar>
            <w:vAlign w:val="bottom"/>
          </w:tcPr>
          <w:p w14:paraId="7B66DE9F" w14:textId="77777777" w:rsidR="0040300B" w:rsidRDefault="00BB2D44">
            <w:pPr>
              <w:textAlignment w:val="bottom"/>
            </w:pPr>
            <w:r>
              <w:rPr>
                <w:rFonts w:ascii="Times New Roman" w:eastAsia="宋体" w:hAnsi="Times New Roman"/>
                <w:color w:val="000000"/>
                <w:sz w:val="19"/>
                <w:szCs w:val="19"/>
              </w:rPr>
              <w:t>Current assets:</w:t>
            </w:r>
          </w:p>
        </w:tc>
        <w:tc>
          <w:tcPr>
            <w:tcW w:w="0" w:type="auto"/>
            <w:gridSpan w:val="3"/>
            <w:shd w:val="clear" w:color="auto" w:fill="FFFFFF"/>
            <w:tcMar>
              <w:top w:w="0" w:type="dxa"/>
              <w:left w:w="20" w:type="dxa"/>
              <w:bottom w:w="0" w:type="dxa"/>
              <w:right w:w="20" w:type="dxa"/>
            </w:tcMar>
          </w:tcPr>
          <w:p w14:paraId="7B66DEA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EA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EA2" w14:textId="77777777" w:rsidR="0040300B" w:rsidRDefault="0040300B">
            <w:pPr>
              <w:rPr>
                <w:rFonts w:ascii="宋体"/>
              </w:rPr>
            </w:pPr>
          </w:p>
        </w:tc>
      </w:tr>
      <w:tr w:rsidR="0040300B" w14:paraId="7B66DEAC" w14:textId="77777777">
        <w:trPr>
          <w:jc w:val="center"/>
        </w:trPr>
        <w:tc>
          <w:tcPr>
            <w:tcW w:w="0" w:type="auto"/>
            <w:gridSpan w:val="3"/>
            <w:shd w:val="clear" w:color="auto" w:fill="CCEEFF"/>
            <w:tcMar>
              <w:top w:w="40" w:type="dxa"/>
              <w:left w:w="380" w:type="dxa"/>
              <w:bottom w:w="40" w:type="dxa"/>
              <w:right w:w="20" w:type="dxa"/>
            </w:tcMar>
            <w:vAlign w:val="bottom"/>
          </w:tcPr>
          <w:p w14:paraId="7B66DEA4" w14:textId="77777777" w:rsidR="0040300B" w:rsidRDefault="00BB2D44">
            <w:pPr>
              <w:textAlignment w:val="bottom"/>
            </w:pPr>
            <w:r>
              <w:rPr>
                <w:rFonts w:ascii="Times New Roman" w:eastAsia="宋体" w:hAnsi="Times New Roman"/>
                <w:color w:val="000000"/>
                <w:sz w:val="19"/>
                <w:szCs w:val="19"/>
              </w:rPr>
              <w:t>Cash and cash equivalents</w:t>
            </w:r>
          </w:p>
        </w:tc>
        <w:tc>
          <w:tcPr>
            <w:tcW w:w="0" w:type="auto"/>
            <w:shd w:val="clear" w:color="auto" w:fill="CCEEFF"/>
            <w:tcMar>
              <w:top w:w="40" w:type="dxa"/>
              <w:left w:w="20" w:type="dxa"/>
              <w:bottom w:w="40" w:type="dxa"/>
              <w:right w:w="0" w:type="dxa"/>
            </w:tcMar>
            <w:vAlign w:val="bottom"/>
          </w:tcPr>
          <w:p w14:paraId="7B66DEA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DEA6" w14:textId="77777777" w:rsidR="0040300B" w:rsidRDefault="00BB2D44">
            <w:pPr>
              <w:jc w:val="right"/>
              <w:textAlignment w:val="bottom"/>
            </w:pPr>
            <w:r>
              <w:rPr>
                <w:rFonts w:ascii="Times New Roman" w:eastAsia="宋体" w:hAnsi="Times New Roman"/>
                <w:color w:val="000000"/>
                <w:sz w:val="19"/>
                <w:szCs w:val="19"/>
              </w:rPr>
              <w:t>7,350 </w:t>
            </w:r>
          </w:p>
        </w:tc>
        <w:tc>
          <w:tcPr>
            <w:tcW w:w="0" w:type="auto"/>
            <w:shd w:val="clear" w:color="auto" w:fill="CCEEFF"/>
            <w:tcMar>
              <w:top w:w="40" w:type="dxa"/>
              <w:left w:w="0" w:type="dxa"/>
              <w:bottom w:w="40" w:type="dxa"/>
              <w:right w:w="20" w:type="dxa"/>
            </w:tcMar>
            <w:vAlign w:val="bottom"/>
          </w:tcPr>
          <w:p w14:paraId="7B66DEA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A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DEA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DEAA" w14:textId="77777777" w:rsidR="0040300B" w:rsidRDefault="00BB2D44">
            <w:pPr>
              <w:jc w:val="right"/>
              <w:textAlignment w:val="bottom"/>
            </w:pPr>
            <w:r>
              <w:rPr>
                <w:rFonts w:ascii="Times New Roman" w:eastAsia="宋体" w:hAnsi="Times New Roman"/>
                <w:color w:val="000000"/>
                <w:sz w:val="19"/>
                <w:szCs w:val="19"/>
              </w:rPr>
              <w:t>11,809 </w:t>
            </w:r>
          </w:p>
        </w:tc>
        <w:tc>
          <w:tcPr>
            <w:tcW w:w="0" w:type="auto"/>
            <w:shd w:val="clear" w:color="auto" w:fill="CCEEFF"/>
            <w:tcMar>
              <w:top w:w="40" w:type="dxa"/>
              <w:left w:w="0" w:type="dxa"/>
              <w:bottom w:w="40" w:type="dxa"/>
              <w:right w:w="20" w:type="dxa"/>
            </w:tcMar>
            <w:vAlign w:val="bottom"/>
          </w:tcPr>
          <w:p w14:paraId="7B66DEAB" w14:textId="77777777" w:rsidR="0040300B" w:rsidRDefault="0040300B">
            <w:pPr>
              <w:jc w:val="right"/>
              <w:rPr>
                <w:rFonts w:ascii="宋体"/>
              </w:rPr>
            </w:pPr>
          </w:p>
        </w:tc>
      </w:tr>
      <w:tr w:rsidR="0040300B" w14:paraId="7B66DEB3" w14:textId="77777777">
        <w:trPr>
          <w:jc w:val="center"/>
        </w:trPr>
        <w:tc>
          <w:tcPr>
            <w:tcW w:w="0" w:type="auto"/>
            <w:gridSpan w:val="3"/>
            <w:shd w:val="clear" w:color="auto" w:fill="FFFFFF"/>
            <w:tcMar>
              <w:top w:w="40" w:type="dxa"/>
              <w:left w:w="380" w:type="dxa"/>
              <w:bottom w:w="40" w:type="dxa"/>
              <w:right w:w="20" w:type="dxa"/>
            </w:tcMar>
            <w:vAlign w:val="bottom"/>
          </w:tcPr>
          <w:p w14:paraId="7B66DEAD" w14:textId="77777777" w:rsidR="0040300B" w:rsidRDefault="00BB2D44">
            <w:pPr>
              <w:textAlignment w:val="bottom"/>
            </w:pPr>
            <w:r>
              <w:rPr>
                <w:rFonts w:ascii="Times New Roman" w:eastAsia="宋体" w:hAnsi="Times New Roman"/>
                <w:color w:val="000000"/>
                <w:sz w:val="19"/>
                <w:szCs w:val="19"/>
              </w:rPr>
              <w:t>Investments</w:t>
            </w:r>
          </w:p>
        </w:tc>
        <w:tc>
          <w:tcPr>
            <w:tcW w:w="0" w:type="auto"/>
            <w:gridSpan w:val="2"/>
            <w:shd w:val="clear" w:color="auto" w:fill="FFFFFF"/>
            <w:tcMar>
              <w:top w:w="40" w:type="dxa"/>
              <w:left w:w="20" w:type="dxa"/>
              <w:bottom w:w="40" w:type="dxa"/>
              <w:right w:w="0" w:type="dxa"/>
            </w:tcMar>
            <w:vAlign w:val="bottom"/>
          </w:tcPr>
          <w:p w14:paraId="7B66DEAE" w14:textId="77777777" w:rsidR="0040300B" w:rsidRDefault="00BB2D44">
            <w:pPr>
              <w:jc w:val="right"/>
              <w:textAlignment w:val="bottom"/>
            </w:pPr>
            <w:r>
              <w:rPr>
                <w:rFonts w:ascii="Times New Roman" w:eastAsia="宋体" w:hAnsi="Times New Roman"/>
                <w:color w:val="000000"/>
                <w:sz w:val="19"/>
                <w:szCs w:val="19"/>
              </w:rPr>
              <w:t>16,229 </w:t>
            </w:r>
          </w:p>
        </w:tc>
        <w:tc>
          <w:tcPr>
            <w:tcW w:w="0" w:type="auto"/>
            <w:shd w:val="clear" w:color="auto" w:fill="FFFFFF"/>
            <w:tcMar>
              <w:top w:w="40" w:type="dxa"/>
              <w:left w:w="0" w:type="dxa"/>
              <w:bottom w:w="40" w:type="dxa"/>
              <w:right w:w="20" w:type="dxa"/>
            </w:tcMar>
            <w:vAlign w:val="bottom"/>
          </w:tcPr>
          <w:p w14:paraId="7B66DEA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EB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EB1" w14:textId="77777777" w:rsidR="0040300B" w:rsidRDefault="00BB2D44">
            <w:pPr>
              <w:jc w:val="right"/>
              <w:textAlignment w:val="bottom"/>
            </w:pPr>
            <w:r>
              <w:rPr>
                <w:rFonts w:ascii="Times New Roman" w:eastAsia="宋体" w:hAnsi="Times New Roman"/>
                <w:color w:val="000000"/>
                <w:sz w:val="19"/>
                <w:szCs w:val="19"/>
              </w:rPr>
              <w:t>17,610 </w:t>
            </w:r>
          </w:p>
        </w:tc>
        <w:tc>
          <w:tcPr>
            <w:tcW w:w="0" w:type="auto"/>
            <w:shd w:val="clear" w:color="auto" w:fill="FFFFFF"/>
            <w:tcMar>
              <w:top w:w="40" w:type="dxa"/>
              <w:left w:w="0" w:type="dxa"/>
              <w:bottom w:w="40" w:type="dxa"/>
              <w:right w:w="20" w:type="dxa"/>
            </w:tcMar>
            <w:vAlign w:val="bottom"/>
          </w:tcPr>
          <w:p w14:paraId="7B66DEB2" w14:textId="77777777" w:rsidR="0040300B" w:rsidRDefault="0040300B">
            <w:pPr>
              <w:jc w:val="right"/>
              <w:rPr>
                <w:rFonts w:ascii="宋体"/>
              </w:rPr>
            </w:pPr>
          </w:p>
        </w:tc>
      </w:tr>
      <w:tr w:rsidR="0040300B" w14:paraId="7B66DEBA" w14:textId="77777777">
        <w:trPr>
          <w:jc w:val="center"/>
        </w:trPr>
        <w:tc>
          <w:tcPr>
            <w:tcW w:w="0" w:type="auto"/>
            <w:gridSpan w:val="3"/>
            <w:shd w:val="clear" w:color="auto" w:fill="CCEEFF"/>
            <w:tcMar>
              <w:top w:w="40" w:type="dxa"/>
              <w:left w:w="20" w:type="dxa"/>
              <w:bottom w:w="40" w:type="dxa"/>
              <w:right w:w="20" w:type="dxa"/>
            </w:tcMar>
            <w:vAlign w:val="bottom"/>
          </w:tcPr>
          <w:p w14:paraId="7B66DEB4" w14:textId="77777777" w:rsidR="0040300B" w:rsidRDefault="00BB2D44">
            <w:pPr>
              <w:textAlignment w:val="bottom"/>
            </w:pPr>
            <w:r>
              <w:rPr>
                <w:rFonts w:ascii="Times New Roman" w:eastAsia="宋体" w:hAnsi="Times New Roman"/>
                <w:color w:val="000000"/>
                <w:sz w:val="19"/>
                <w:szCs w:val="19"/>
              </w:rPr>
              <w:t>Accounts receivable, net of allowance for doubtful accounts of $110 at May 1, 2021 and $143 at July 25, 2020</w:t>
            </w:r>
          </w:p>
        </w:tc>
        <w:tc>
          <w:tcPr>
            <w:tcW w:w="0" w:type="auto"/>
            <w:gridSpan w:val="2"/>
            <w:shd w:val="clear" w:color="auto" w:fill="CCEEFF"/>
            <w:tcMar>
              <w:top w:w="40" w:type="dxa"/>
              <w:left w:w="20" w:type="dxa"/>
              <w:bottom w:w="40" w:type="dxa"/>
              <w:right w:w="0" w:type="dxa"/>
            </w:tcMar>
            <w:vAlign w:val="bottom"/>
          </w:tcPr>
          <w:p w14:paraId="7B66DEB5" w14:textId="77777777" w:rsidR="0040300B" w:rsidRDefault="00BB2D44">
            <w:pPr>
              <w:jc w:val="right"/>
              <w:textAlignment w:val="bottom"/>
            </w:pPr>
            <w:r>
              <w:rPr>
                <w:rFonts w:ascii="Times New Roman" w:eastAsia="宋体" w:hAnsi="Times New Roman"/>
                <w:color w:val="000000"/>
                <w:sz w:val="19"/>
                <w:szCs w:val="19"/>
              </w:rPr>
              <w:t>4,425 </w:t>
            </w:r>
          </w:p>
        </w:tc>
        <w:tc>
          <w:tcPr>
            <w:tcW w:w="0" w:type="auto"/>
            <w:shd w:val="clear" w:color="auto" w:fill="CCEEFF"/>
            <w:tcMar>
              <w:top w:w="40" w:type="dxa"/>
              <w:left w:w="0" w:type="dxa"/>
              <w:bottom w:w="40" w:type="dxa"/>
              <w:right w:w="20" w:type="dxa"/>
            </w:tcMar>
            <w:vAlign w:val="bottom"/>
          </w:tcPr>
          <w:p w14:paraId="7B66DEB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B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EB8" w14:textId="77777777" w:rsidR="0040300B" w:rsidRDefault="00BB2D44">
            <w:pPr>
              <w:jc w:val="right"/>
              <w:textAlignment w:val="bottom"/>
            </w:pPr>
            <w:r>
              <w:rPr>
                <w:rFonts w:ascii="Times New Roman" w:eastAsia="宋体" w:hAnsi="Times New Roman"/>
                <w:color w:val="000000"/>
                <w:sz w:val="19"/>
                <w:szCs w:val="19"/>
              </w:rPr>
              <w:t>5,472 </w:t>
            </w:r>
          </w:p>
        </w:tc>
        <w:tc>
          <w:tcPr>
            <w:tcW w:w="0" w:type="auto"/>
            <w:shd w:val="clear" w:color="auto" w:fill="CCEEFF"/>
            <w:tcMar>
              <w:top w:w="40" w:type="dxa"/>
              <w:left w:w="0" w:type="dxa"/>
              <w:bottom w:w="40" w:type="dxa"/>
              <w:right w:w="20" w:type="dxa"/>
            </w:tcMar>
            <w:vAlign w:val="bottom"/>
          </w:tcPr>
          <w:p w14:paraId="7B66DEB9" w14:textId="77777777" w:rsidR="0040300B" w:rsidRDefault="0040300B">
            <w:pPr>
              <w:jc w:val="right"/>
              <w:rPr>
                <w:rFonts w:ascii="宋体"/>
              </w:rPr>
            </w:pPr>
          </w:p>
        </w:tc>
      </w:tr>
      <w:tr w:rsidR="0040300B" w14:paraId="7B66DEC1" w14:textId="77777777">
        <w:trPr>
          <w:jc w:val="center"/>
        </w:trPr>
        <w:tc>
          <w:tcPr>
            <w:tcW w:w="0" w:type="auto"/>
            <w:gridSpan w:val="3"/>
            <w:shd w:val="clear" w:color="auto" w:fill="FFFFFF"/>
            <w:tcMar>
              <w:top w:w="40" w:type="dxa"/>
              <w:left w:w="380" w:type="dxa"/>
              <w:bottom w:w="40" w:type="dxa"/>
              <w:right w:w="20" w:type="dxa"/>
            </w:tcMar>
            <w:vAlign w:val="bottom"/>
          </w:tcPr>
          <w:p w14:paraId="7B66DEBB" w14:textId="77777777" w:rsidR="0040300B" w:rsidRDefault="00BB2D44">
            <w:pPr>
              <w:textAlignment w:val="bottom"/>
            </w:pPr>
            <w:r>
              <w:rPr>
                <w:rFonts w:ascii="Times New Roman" w:eastAsia="宋体" w:hAnsi="Times New Roman"/>
                <w:color w:val="000000"/>
                <w:sz w:val="19"/>
                <w:szCs w:val="19"/>
              </w:rPr>
              <w:t>Inventories</w:t>
            </w:r>
          </w:p>
        </w:tc>
        <w:tc>
          <w:tcPr>
            <w:tcW w:w="0" w:type="auto"/>
            <w:gridSpan w:val="2"/>
            <w:shd w:val="clear" w:color="auto" w:fill="FFFFFF"/>
            <w:tcMar>
              <w:top w:w="40" w:type="dxa"/>
              <w:left w:w="20" w:type="dxa"/>
              <w:bottom w:w="40" w:type="dxa"/>
              <w:right w:w="0" w:type="dxa"/>
            </w:tcMar>
            <w:vAlign w:val="bottom"/>
          </w:tcPr>
          <w:p w14:paraId="7B66DEBC" w14:textId="77777777" w:rsidR="0040300B" w:rsidRDefault="00BB2D44">
            <w:pPr>
              <w:jc w:val="right"/>
              <w:textAlignment w:val="bottom"/>
            </w:pPr>
            <w:r>
              <w:rPr>
                <w:rFonts w:ascii="Times New Roman" w:eastAsia="宋体" w:hAnsi="Times New Roman"/>
                <w:color w:val="000000"/>
                <w:sz w:val="19"/>
                <w:szCs w:val="19"/>
              </w:rPr>
              <w:t>1,579 </w:t>
            </w:r>
          </w:p>
        </w:tc>
        <w:tc>
          <w:tcPr>
            <w:tcW w:w="0" w:type="auto"/>
            <w:shd w:val="clear" w:color="auto" w:fill="FFFFFF"/>
            <w:tcMar>
              <w:top w:w="40" w:type="dxa"/>
              <w:left w:w="0" w:type="dxa"/>
              <w:bottom w:w="40" w:type="dxa"/>
              <w:right w:w="20" w:type="dxa"/>
            </w:tcMar>
            <w:vAlign w:val="bottom"/>
          </w:tcPr>
          <w:p w14:paraId="7B66DEB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EB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EBF" w14:textId="77777777" w:rsidR="0040300B" w:rsidRDefault="00BB2D44">
            <w:pPr>
              <w:jc w:val="right"/>
              <w:textAlignment w:val="bottom"/>
            </w:pPr>
            <w:r>
              <w:rPr>
                <w:rFonts w:ascii="Times New Roman" w:eastAsia="宋体" w:hAnsi="Times New Roman"/>
                <w:color w:val="000000"/>
                <w:sz w:val="19"/>
                <w:szCs w:val="19"/>
              </w:rPr>
              <w:t>1,282 </w:t>
            </w:r>
          </w:p>
        </w:tc>
        <w:tc>
          <w:tcPr>
            <w:tcW w:w="0" w:type="auto"/>
            <w:shd w:val="clear" w:color="auto" w:fill="FFFFFF"/>
            <w:tcMar>
              <w:top w:w="40" w:type="dxa"/>
              <w:left w:w="0" w:type="dxa"/>
              <w:bottom w:w="40" w:type="dxa"/>
              <w:right w:w="20" w:type="dxa"/>
            </w:tcMar>
            <w:vAlign w:val="bottom"/>
          </w:tcPr>
          <w:p w14:paraId="7B66DEC0" w14:textId="77777777" w:rsidR="0040300B" w:rsidRDefault="0040300B">
            <w:pPr>
              <w:jc w:val="right"/>
              <w:rPr>
                <w:rFonts w:ascii="宋体"/>
              </w:rPr>
            </w:pPr>
          </w:p>
        </w:tc>
      </w:tr>
      <w:tr w:rsidR="0040300B" w14:paraId="7B66DEC8" w14:textId="77777777">
        <w:trPr>
          <w:jc w:val="center"/>
        </w:trPr>
        <w:tc>
          <w:tcPr>
            <w:tcW w:w="0" w:type="auto"/>
            <w:gridSpan w:val="3"/>
            <w:shd w:val="clear" w:color="auto" w:fill="CCEEFF"/>
            <w:tcMar>
              <w:top w:w="40" w:type="dxa"/>
              <w:left w:w="380" w:type="dxa"/>
              <w:bottom w:w="40" w:type="dxa"/>
              <w:right w:w="20" w:type="dxa"/>
            </w:tcMar>
            <w:vAlign w:val="bottom"/>
          </w:tcPr>
          <w:p w14:paraId="7B66DEC2" w14:textId="77777777" w:rsidR="0040300B" w:rsidRDefault="00BB2D44">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7B66DEC3" w14:textId="77777777" w:rsidR="0040300B" w:rsidRDefault="00BB2D44">
            <w:pPr>
              <w:jc w:val="right"/>
              <w:textAlignment w:val="bottom"/>
            </w:pPr>
            <w:r>
              <w:rPr>
                <w:rFonts w:ascii="Times New Roman" w:eastAsia="宋体" w:hAnsi="Times New Roman"/>
                <w:color w:val="000000"/>
                <w:sz w:val="19"/>
                <w:szCs w:val="19"/>
              </w:rPr>
              <w:t>4,648 </w:t>
            </w:r>
          </w:p>
        </w:tc>
        <w:tc>
          <w:tcPr>
            <w:tcW w:w="0" w:type="auto"/>
            <w:shd w:val="clear" w:color="auto" w:fill="CCEEFF"/>
            <w:tcMar>
              <w:top w:w="40" w:type="dxa"/>
              <w:left w:w="0" w:type="dxa"/>
              <w:bottom w:w="40" w:type="dxa"/>
              <w:right w:w="20" w:type="dxa"/>
            </w:tcMar>
            <w:vAlign w:val="bottom"/>
          </w:tcPr>
          <w:p w14:paraId="7B66DE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EC6" w14:textId="77777777" w:rsidR="0040300B" w:rsidRDefault="00BB2D44">
            <w:pPr>
              <w:jc w:val="right"/>
              <w:textAlignment w:val="bottom"/>
            </w:pPr>
            <w:r>
              <w:rPr>
                <w:rFonts w:ascii="Times New Roman" w:eastAsia="宋体" w:hAnsi="Times New Roman"/>
                <w:color w:val="000000"/>
                <w:sz w:val="19"/>
                <w:szCs w:val="19"/>
              </w:rPr>
              <w:t>5,051 </w:t>
            </w:r>
          </w:p>
        </w:tc>
        <w:tc>
          <w:tcPr>
            <w:tcW w:w="0" w:type="auto"/>
            <w:shd w:val="clear" w:color="auto" w:fill="CCEEFF"/>
            <w:tcMar>
              <w:top w:w="40" w:type="dxa"/>
              <w:left w:w="0" w:type="dxa"/>
              <w:bottom w:w="40" w:type="dxa"/>
              <w:right w:w="20" w:type="dxa"/>
            </w:tcMar>
            <w:vAlign w:val="bottom"/>
          </w:tcPr>
          <w:p w14:paraId="7B66DEC7" w14:textId="77777777" w:rsidR="0040300B" w:rsidRDefault="0040300B">
            <w:pPr>
              <w:jc w:val="right"/>
              <w:rPr>
                <w:rFonts w:ascii="宋体"/>
              </w:rPr>
            </w:pPr>
          </w:p>
        </w:tc>
      </w:tr>
      <w:tr w:rsidR="0040300B" w14:paraId="7B66DECF" w14:textId="77777777">
        <w:trPr>
          <w:jc w:val="center"/>
        </w:trPr>
        <w:tc>
          <w:tcPr>
            <w:tcW w:w="0" w:type="auto"/>
            <w:gridSpan w:val="3"/>
            <w:shd w:val="clear" w:color="auto" w:fill="FFFFFF"/>
            <w:tcMar>
              <w:top w:w="40" w:type="dxa"/>
              <w:left w:w="380" w:type="dxa"/>
              <w:bottom w:w="40" w:type="dxa"/>
              <w:right w:w="20" w:type="dxa"/>
            </w:tcMar>
            <w:vAlign w:val="bottom"/>
          </w:tcPr>
          <w:p w14:paraId="7B66DEC9" w14:textId="77777777" w:rsidR="0040300B" w:rsidRDefault="00BB2D44">
            <w:pPr>
              <w:textAlignment w:val="bottom"/>
            </w:pPr>
            <w:r>
              <w:rPr>
                <w:rFonts w:ascii="Times New Roman" w:eastAsia="宋体" w:hAnsi="Times New Roman"/>
                <w:color w:val="000000"/>
                <w:sz w:val="19"/>
                <w:szCs w:val="19"/>
              </w:rPr>
              <w:t>Other current assets</w:t>
            </w:r>
          </w:p>
        </w:tc>
        <w:tc>
          <w:tcPr>
            <w:tcW w:w="0" w:type="auto"/>
            <w:gridSpan w:val="2"/>
            <w:shd w:val="clear" w:color="auto" w:fill="FFFFFF"/>
            <w:tcMar>
              <w:top w:w="40" w:type="dxa"/>
              <w:left w:w="20" w:type="dxa"/>
              <w:bottom w:w="40" w:type="dxa"/>
              <w:right w:w="0" w:type="dxa"/>
            </w:tcMar>
            <w:vAlign w:val="bottom"/>
          </w:tcPr>
          <w:p w14:paraId="7B66DECA" w14:textId="77777777" w:rsidR="0040300B" w:rsidRDefault="00BB2D44">
            <w:pPr>
              <w:jc w:val="right"/>
              <w:textAlignment w:val="bottom"/>
            </w:pPr>
            <w:r>
              <w:rPr>
                <w:rFonts w:ascii="Times New Roman" w:eastAsia="宋体" w:hAnsi="Times New Roman"/>
                <w:color w:val="000000"/>
                <w:sz w:val="19"/>
                <w:szCs w:val="19"/>
              </w:rPr>
              <w:t>2,829 </w:t>
            </w:r>
          </w:p>
        </w:tc>
        <w:tc>
          <w:tcPr>
            <w:tcW w:w="0" w:type="auto"/>
            <w:shd w:val="clear" w:color="auto" w:fill="FFFFFF"/>
            <w:tcMar>
              <w:top w:w="40" w:type="dxa"/>
              <w:left w:w="0" w:type="dxa"/>
              <w:bottom w:w="40" w:type="dxa"/>
              <w:right w:w="20" w:type="dxa"/>
            </w:tcMar>
            <w:vAlign w:val="bottom"/>
          </w:tcPr>
          <w:p w14:paraId="7B66DEC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EC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ECD" w14:textId="77777777" w:rsidR="0040300B" w:rsidRDefault="00BB2D44">
            <w:pPr>
              <w:jc w:val="right"/>
              <w:textAlignment w:val="bottom"/>
            </w:pPr>
            <w:r>
              <w:rPr>
                <w:rFonts w:ascii="Times New Roman" w:eastAsia="宋体" w:hAnsi="Times New Roman"/>
                <w:color w:val="000000"/>
                <w:sz w:val="19"/>
                <w:szCs w:val="19"/>
              </w:rPr>
              <w:t>2,349 </w:t>
            </w:r>
          </w:p>
        </w:tc>
        <w:tc>
          <w:tcPr>
            <w:tcW w:w="0" w:type="auto"/>
            <w:shd w:val="clear" w:color="auto" w:fill="FFFFFF"/>
            <w:tcMar>
              <w:top w:w="40" w:type="dxa"/>
              <w:left w:w="0" w:type="dxa"/>
              <w:bottom w:w="40" w:type="dxa"/>
              <w:right w:w="20" w:type="dxa"/>
            </w:tcMar>
            <w:vAlign w:val="bottom"/>
          </w:tcPr>
          <w:p w14:paraId="7B66DECE" w14:textId="77777777" w:rsidR="0040300B" w:rsidRDefault="0040300B">
            <w:pPr>
              <w:jc w:val="right"/>
              <w:rPr>
                <w:rFonts w:ascii="宋体"/>
              </w:rPr>
            </w:pPr>
          </w:p>
        </w:tc>
      </w:tr>
      <w:tr w:rsidR="0040300B" w14:paraId="7B66DED6" w14:textId="77777777">
        <w:trPr>
          <w:jc w:val="center"/>
        </w:trPr>
        <w:tc>
          <w:tcPr>
            <w:tcW w:w="0" w:type="auto"/>
            <w:gridSpan w:val="3"/>
            <w:shd w:val="clear" w:color="auto" w:fill="CCEEFF"/>
            <w:tcMar>
              <w:top w:w="40" w:type="dxa"/>
              <w:left w:w="740" w:type="dxa"/>
              <w:bottom w:w="40" w:type="dxa"/>
              <w:right w:w="20" w:type="dxa"/>
            </w:tcMar>
            <w:vAlign w:val="bottom"/>
          </w:tcPr>
          <w:p w14:paraId="7B66DED0" w14:textId="77777777" w:rsidR="0040300B" w:rsidRDefault="00BB2D44">
            <w:pPr>
              <w:textAlignment w:val="bottom"/>
            </w:pPr>
            <w:r>
              <w:rPr>
                <w:rFonts w:ascii="Times New Roman" w:eastAsia="宋体" w:hAnsi="Times New Roman"/>
                <w:color w:val="000000"/>
                <w:sz w:val="19"/>
                <w:szCs w:val="19"/>
              </w:rPr>
              <w:t xml:space="preserve">Total </w:t>
            </w:r>
            <w:r>
              <w:rPr>
                <w:rFonts w:ascii="Times New Roman" w:eastAsia="宋体" w:hAnsi="Times New Roman"/>
                <w:color w:val="000000"/>
                <w:sz w:val="19"/>
                <w:szCs w:val="19"/>
              </w:rPr>
              <w:t>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DED1" w14:textId="77777777" w:rsidR="0040300B" w:rsidRDefault="00BB2D44">
            <w:pPr>
              <w:jc w:val="right"/>
              <w:textAlignment w:val="bottom"/>
            </w:pPr>
            <w:r>
              <w:rPr>
                <w:rFonts w:ascii="Times New Roman" w:eastAsia="宋体" w:hAnsi="Times New Roman"/>
                <w:color w:val="000000"/>
                <w:sz w:val="19"/>
                <w:szCs w:val="19"/>
              </w:rPr>
              <w:t>37,060 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DED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D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DED4" w14:textId="77777777" w:rsidR="0040300B" w:rsidRDefault="00BB2D44">
            <w:pPr>
              <w:jc w:val="right"/>
              <w:textAlignment w:val="bottom"/>
            </w:pPr>
            <w:r>
              <w:rPr>
                <w:rFonts w:ascii="Times New Roman" w:eastAsia="宋体" w:hAnsi="Times New Roman"/>
                <w:color w:val="000000"/>
                <w:sz w:val="19"/>
                <w:szCs w:val="19"/>
              </w:rPr>
              <w:t>43,573 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DED5" w14:textId="77777777" w:rsidR="0040300B" w:rsidRDefault="0040300B">
            <w:pPr>
              <w:jc w:val="right"/>
              <w:rPr>
                <w:rFonts w:ascii="宋体"/>
              </w:rPr>
            </w:pPr>
          </w:p>
        </w:tc>
      </w:tr>
      <w:tr w:rsidR="0040300B" w14:paraId="7B66DEDD" w14:textId="77777777">
        <w:trPr>
          <w:jc w:val="center"/>
        </w:trPr>
        <w:tc>
          <w:tcPr>
            <w:tcW w:w="0" w:type="auto"/>
            <w:gridSpan w:val="3"/>
            <w:shd w:val="clear" w:color="auto" w:fill="FFFFFF"/>
            <w:tcMar>
              <w:top w:w="40" w:type="dxa"/>
              <w:left w:w="20" w:type="dxa"/>
              <w:bottom w:w="40" w:type="dxa"/>
              <w:right w:w="20" w:type="dxa"/>
            </w:tcMar>
            <w:vAlign w:val="bottom"/>
          </w:tcPr>
          <w:p w14:paraId="7B66DED7" w14:textId="77777777" w:rsidR="0040300B" w:rsidRDefault="00BB2D44">
            <w:pPr>
              <w:textAlignment w:val="bottom"/>
            </w:pPr>
            <w:r>
              <w:rPr>
                <w:rFonts w:ascii="Times New Roman" w:eastAsia="宋体" w:hAnsi="Times New Roman"/>
                <w:color w:val="000000"/>
                <w:sz w:val="19"/>
                <w:szCs w:val="19"/>
              </w:rPr>
              <w:t>Property and equipment, net</w:t>
            </w:r>
          </w:p>
        </w:tc>
        <w:tc>
          <w:tcPr>
            <w:tcW w:w="0" w:type="auto"/>
            <w:gridSpan w:val="2"/>
            <w:shd w:val="clear" w:color="auto" w:fill="FFFFFF"/>
            <w:tcMar>
              <w:top w:w="40" w:type="dxa"/>
              <w:left w:w="20" w:type="dxa"/>
              <w:bottom w:w="40" w:type="dxa"/>
              <w:right w:w="0" w:type="dxa"/>
            </w:tcMar>
            <w:vAlign w:val="bottom"/>
          </w:tcPr>
          <w:p w14:paraId="7B66DED8" w14:textId="77777777" w:rsidR="0040300B" w:rsidRDefault="00BB2D44">
            <w:pPr>
              <w:jc w:val="right"/>
              <w:textAlignment w:val="bottom"/>
            </w:pPr>
            <w:r>
              <w:rPr>
                <w:rFonts w:ascii="Times New Roman" w:eastAsia="宋体" w:hAnsi="Times New Roman"/>
                <w:color w:val="000000"/>
                <w:sz w:val="19"/>
                <w:szCs w:val="19"/>
              </w:rPr>
              <w:t>2,367 </w:t>
            </w:r>
          </w:p>
        </w:tc>
        <w:tc>
          <w:tcPr>
            <w:tcW w:w="0" w:type="auto"/>
            <w:shd w:val="clear" w:color="auto" w:fill="FFFFFF"/>
            <w:tcMar>
              <w:top w:w="40" w:type="dxa"/>
              <w:left w:w="0" w:type="dxa"/>
              <w:bottom w:w="40" w:type="dxa"/>
              <w:right w:w="20" w:type="dxa"/>
            </w:tcMar>
            <w:vAlign w:val="bottom"/>
          </w:tcPr>
          <w:p w14:paraId="7B66DED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ED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EDB" w14:textId="77777777" w:rsidR="0040300B" w:rsidRDefault="00BB2D44">
            <w:pPr>
              <w:jc w:val="right"/>
              <w:textAlignment w:val="bottom"/>
            </w:pPr>
            <w:r>
              <w:rPr>
                <w:rFonts w:ascii="Times New Roman" w:eastAsia="宋体" w:hAnsi="Times New Roman"/>
                <w:color w:val="000000"/>
                <w:sz w:val="19"/>
                <w:szCs w:val="19"/>
              </w:rPr>
              <w:t>2,453 </w:t>
            </w:r>
          </w:p>
        </w:tc>
        <w:tc>
          <w:tcPr>
            <w:tcW w:w="0" w:type="auto"/>
            <w:shd w:val="clear" w:color="auto" w:fill="FFFFFF"/>
            <w:tcMar>
              <w:top w:w="40" w:type="dxa"/>
              <w:left w:w="0" w:type="dxa"/>
              <w:bottom w:w="40" w:type="dxa"/>
              <w:right w:w="20" w:type="dxa"/>
            </w:tcMar>
            <w:vAlign w:val="bottom"/>
          </w:tcPr>
          <w:p w14:paraId="7B66DEDC" w14:textId="77777777" w:rsidR="0040300B" w:rsidRDefault="0040300B">
            <w:pPr>
              <w:jc w:val="right"/>
              <w:rPr>
                <w:rFonts w:ascii="宋体"/>
              </w:rPr>
            </w:pPr>
          </w:p>
        </w:tc>
      </w:tr>
      <w:tr w:rsidR="0040300B" w14:paraId="7B66DEE4" w14:textId="77777777">
        <w:trPr>
          <w:jc w:val="center"/>
        </w:trPr>
        <w:tc>
          <w:tcPr>
            <w:tcW w:w="0" w:type="auto"/>
            <w:gridSpan w:val="3"/>
            <w:shd w:val="clear" w:color="auto" w:fill="CCEEFF"/>
            <w:tcMar>
              <w:top w:w="40" w:type="dxa"/>
              <w:left w:w="20" w:type="dxa"/>
              <w:bottom w:w="40" w:type="dxa"/>
              <w:right w:w="20" w:type="dxa"/>
            </w:tcMar>
            <w:vAlign w:val="bottom"/>
          </w:tcPr>
          <w:p w14:paraId="7B66DEDE" w14:textId="77777777" w:rsidR="0040300B" w:rsidRDefault="00BB2D44">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7B66DEDF" w14:textId="77777777" w:rsidR="0040300B" w:rsidRDefault="00BB2D44">
            <w:pPr>
              <w:jc w:val="right"/>
              <w:textAlignment w:val="bottom"/>
            </w:pPr>
            <w:r>
              <w:rPr>
                <w:rFonts w:ascii="Times New Roman" w:eastAsia="宋体" w:hAnsi="Times New Roman"/>
                <w:color w:val="000000"/>
                <w:sz w:val="19"/>
                <w:szCs w:val="19"/>
              </w:rPr>
              <w:t>5,068 </w:t>
            </w:r>
          </w:p>
        </w:tc>
        <w:tc>
          <w:tcPr>
            <w:tcW w:w="0" w:type="auto"/>
            <w:shd w:val="clear" w:color="auto" w:fill="CCEEFF"/>
            <w:tcMar>
              <w:top w:w="40" w:type="dxa"/>
              <w:left w:w="0" w:type="dxa"/>
              <w:bottom w:w="40" w:type="dxa"/>
              <w:right w:w="20" w:type="dxa"/>
            </w:tcMar>
            <w:vAlign w:val="bottom"/>
          </w:tcPr>
          <w:p w14:paraId="7B66DE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E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EE2" w14:textId="77777777" w:rsidR="0040300B" w:rsidRDefault="00BB2D44">
            <w:pPr>
              <w:jc w:val="right"/>
              <w:textAlignment w:val="bottom"/>
            </w:pPr>
            <w:r>
              <w:rPr>
                <w:rFonts w:ascii="Times New Roman" w:eastAsia="宋体" w:hAnsi="Times New Roman"/>
                <w:color w:val="000000"/>
                <w:sz w:val="19"/>
                <w:szCs w:val="19"/>
              </w:rPr>
              <w:t>5,714 </w:t>
            </w:r>
          </w:p>
        </w:tc>
        <w:tc>
          <w:tcPr>
            <w:tcW w:w="0" w:type="auto"/>
            <w:shd w:val="clear" w:color="auto" w:fill="CCEEFF"/>
            <w:tcMar>
              <w:top w:w="40" w:type="dxa"/>
              <w:left w:w="0" w:type="dxa"/>
              <w:bottom w:w="40" w:type="dxa"/>
              <w:right w:w="20" w:type="dxa"/>
            </w:tcMar>
            <w:vAlign w:val="bottom"/>
          </w:tcPr>
          <w:p w14:paraId="7B66DEE3" w14:textId="77777777" w:rsidR="0040300B" w:rsidRDefault="0040300B">
            <w:pPr>
              <w:jc w:val="right"/>
              <w:rPr>
                <w:rFonts w:ascii="宋体"/>
              </w:rPr>
            </w:pPr>
          </w:p>
        </w:tc>
      </w:tr>
      <w:tr w:rsidR="0040300B" w14:paraId="7B66DEEB" w14:textId="77777777">
        <w:trPr>
          <w:jc w:val="center"/>
        </w:trPr>
        <w:tc>
          <w:tcPr>
            <w:tcW w:w="0" w:type="auto"/>
            <w:gridSpan w:val="3"/>
            <w:shd w:val="clear" w:color="auto" w:fill="FFFFFF"/>
            <w:tcMar>
              <w:top w:w="40" w:type="dxa"/>
              <w:left w:w="20" w:type="dxa"/>
              <w:bottom w:w="40" w:type="dxa"/>
              <w:right w:w="20" w:type="dxa"/>
            </w:tcMar>
            <w:vAlign w:val="bottom"/>
          </w:tcPr>
          <w:p w14:paraId="7B66DEE5" w14:textId="77777777" w:rsidR="0040300B" w:rsidRDefault="00BB2D44">
            <w:pPr>
              <w:textAlignment w:val="bottom"/>
            </w:pPr>
            <w:r>
              <w:rPr>
                <w:rFonts w:ascii="Times New Roman" w:eastAsia="宋体" w:hAnsi="Times New Roman"/>
                <w:color w:val="000000"/>
                <w:sz w:val="19"/>
                <w:szCs w:val="19"/>
              </w:rPr>
              <w:t>Goodwill</w:t>
            </w:r>
          </w:p>
        </w:tc>
        <w:tc>
          <w:tcPr>
            <w:tcW w:w="0" w:type="auto"/>
            <w:gridSpan w:val="2"/>
            <w:shd w:val="clear" w:color="auto" w:fill="FFFFFF"/>
            <w:tcMar>
              <w:top w:w="40" w:type="dxa"/>
              <w:left w:w="20" w:type="dxa"/>
              <w:bottom w:w="40" w:type="dxa"/>
              <w:right w:w="0" w:type="dxa"/>
            </w:tcMar>
            <w:vAlign w:val="bottom"/>
          </w:tcPr>
          <w:p w14:paraId="7B66DEE6" w14:textId="77777777" w:rsidR="0040300B" w:rsidRDefault="00BB2D44">
            <w:pPr>
              <w:jc w:val="right"/>
              <w:textAlignment w:val="bottom"/>
            </w:pPr>
            <w:r>
              <w:rPr>
                <w:rFonts w:ascii="Times New Roman" w:eastAsia="宋体" w:hAnsi="Times New Roman"/>
                <w:color w:val="000000"/>
                <w:sz w:val="19"/>
                <w:szCs w:val="19"/>
              </w:rPr>
              <w:t>37,690 </w:t>
            </w:r>
          </w:p>
        </w:tc>
        <w:tc>
          <w:tcPr>
            <w:tcW w:w="0" w:type="auto"/>
            <w:shd w:val="clear" w:color="auto" w:fill="FFFFFF"/>
            <w:tcMar>
              <w:top w:w="40" w:type="dxa"/>
              <w:left w:w="0" w:type="dxa"/>
              <w:bottom w:w="40" w:type="dxa"/>
              <w:right w:w="20" w:type="dxa"/>
            </w:tcMar>
            <w:vAlign w:val="bottom"/>
          </w:tcPr>
          <w:p w14:paraId="7B66DEE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EE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EE9" w14:textId="77777777" w:rsidR="0040300B" w:rsidRDefault="00BB2D44">
            <w:pPr>
              <w:jc w:val="right"/>
              <w:textAlignment w:val="bottom"/>
            </w:pPr>
            <w:r>
              <w:rPr>
                <w:rFonts w:ascii="Times New Roman" w:eastAsia="宋体" w:hAnsi="Times New Roman"/>
                <w:color w:val="000000"/>
                <w:sz w:val="19"/>
                <w:szCs w:val="19"/>
              </w:rPr>
              <w:t>33,806 </w:t>
            </w:r>
          </w:p>
        </w:tc>
        <w:tc>
          <w:tcPr>
            <w:tcW w:w="0" w:type="auto"/>
            <w:shd w:val="clear" w:color="auto" w:fill="FFFFFF"/>
            <w:tcMar>
              <w:top w:w="40" w:type="dxa"/>
              <w:left w:w="0" w:type="dxa"/>
              <w:bottom w:w="40" w:type="dxa"/>
              <w:right w:w="20" w:type="dxa"/>
            </w:tcMar>
            <w:vAlign w:val="bottom"/>
          </w:tcPr>
          <w:p w14:paraId="7B66DEEA" w14:textId="77777777" w:rsidR="0040300B" w:rsidRDefault="0040300B">
            <w:pPr>
              <w:jc w:val="right"/>
              <w:rPr>
                <w:rFonts w:ascii="宋体"/>
              </w:rPr>
            </w:pPr>
          </w:p>
        </w:tc>
      </w:tr>
      <w:tr w:rsidR="0040300B" w14:paraId="7B66DEF2" w14:textId="77777777">
        <w:trPr>
          <w:jc w:val="center"/>
        </w:trPr>
        <w:tc>
          <w:tcPr>
            <w:tcW w:w="0" w:type="auto"/>
            <w:gridSpan w:val="3"/>
            <w:shd w:val="clear" w:color="auto" w:fill="CCEEFF"/>
            <w:tcMar>
              <w:top w:w="40" w:type="dxa"/>
              <w:left w:w="20" w:type="dxa"/>
              <w:bottom w:w="40" w:type="dxa"/>
              <w:right w:w="20" w:type="dxa"/>
            </w:tcMar>
            <w:vAlign w:val="bottom"/>
          </w:tcPr>
          <w:p w14:paraId="7B66DEEC" w14:textId="77777777" w:rsidR="0040300B" w:rsidRDefault="00BB2D44">
            <w:pPr>
              <w:textAlignment w:val="bottom"/>
            </w:pPr>
            <w:r>
              <w:rPr>
                <w:rFonts w:ascii="Times New Roman" w:eastAsia="宋体" w:hAnsi="Times New Roman"/>
                <w:color w:val="000000"/>
                <w:sz w:val="19"/>
                <w:szCs w:val="19"/>
              </w:rPr>
              <w:t>Purchased intangible assets, net</w:t>
            </w:r>
          </w:p>
        </w:tc>
        <w:tc>
          <w:tcPr>
            <w:tcW w:w="0" w:type="auto"/>
            <w:gridSpan w:val="2"/>
            <w:shd w:val="clear" w:color="auto" w:fill="CCEEFF"/>
            <w:tcMar>
              <w:top w:w="40" w:type="dxa"/>
              <w:left w:w="20" w:type="dxa"/>
              <w:bottom w:w="40" w:type="dxa"/>
              <w:right w:w="0" w:type="dxa"/>
            </w:tcMar>
            <w:vAlign w:val="bottom"/>
          </w:tcPr>
          <w:p w14:paraId="7B66DEED" w14:textId="77777777" w:rsidR="0040300B" w:rsidRDefault="00BB2D44">
            <w:pPr>
              <w:jc w:val="right"/>
              <w:textAlignment w:val="bottom"/>
            </w:pPr>
            <w:r>
              <w:rPr>
                <w:rFonts w:ascii="Times New Roman" w:eastAsia="宋体" w:hAnsi="Times New Roman"/>
                <w:color w:val="000000"/>
                <w:sz w:val="19"/>
                <w:szCs w:val="19"/>
              </w:rPr>
              <w:t>3,716 </w:t>
            </w:r>
          </w:p>
        </w:tc>
        <w:tc>
          <w:tcPr>
            <w:tcW w:w="0" w:type="auto"/>
            <w:shd w:val="clear" w:color="auto" w:fill="CCEEFF"/>
            <w:tcMar>
              <w:top w:w="40" w:type="dxa"/>
              <w:left w:w="0" w:type="dxa"/>
              <w:bottom w:w="40" w:type="dxa"/>
              <w:right w:w="20" w:type="dxa"/>
            </w:tcMar>
            <w:vAlign w:val="bottom"/>
          </w:tcPr>
          <w:p w14:paraId="7B66DE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E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EF0" w14:textId="77777777" w:rsidR="0040300B" w:rsidRDefault="00BB2D44">
            <w:pPr>
              <w:jc w:val="right"/>
              <w:textAlignment w:val="bottom"/>
            </w:pPr>
            <w:r>
              <w:rPr>
                <w:rFonts w:ascii="Times New Roman" w:eastAsia="宋体" w:hAnsi="Times New Roman"/>
                <w:color w:val="000000"/>
                <w:sz w:val="19"/>
                <w:szCs w:val="19"/>
              </w:rPr>
              <w:t>1,576 </w:t>
            </w:r>
          </w:p>
        </w:tc>
        <w:tc>
          <w:tcPr>
            <w:tcW w:w="0" w:type="auto"/>
            <w:shd w:val="clear" w:color="auto" w:fill="CCEEFF"/>
            <w:tcMar>
              <w:top w:w="40" w:type="dxa"/>
              <w:left w:w="0" w:type="dxa"/>
              <w:bottom w:w="40" w:type="dxa"/>
              <w:right w:w="20" w:type="dxa"/>
            </w:tcMar>
            <w:vAlign w:val="bottom"/>
          </w:tcPr>
          <w:p w14:paraId="7B66DEF1" w14:textId="77777777" w:rsidR="0040300B" w:rsidRDefault="0040300B">
            <w:pPr>
              <w:jc w:val="right"/>
              <w:rPr>
                <w:rFonts w:ascii="宋体"/>
              </w:rPr>
            </w:pPr>
          </w:p>
        </w:tc>
      </w:tr>
      <w:tr w:rsidR="0040300B" w14:paraId="7B66DEF9" w14:textId="77777777">
        <w:trPr>
          <w:jc w:val="center"/>
        </w:trPr>
        <w:tc>
          <w:tcPr>
            <w:tcW w:w="0" w:type="auto"/>
            <w:gridSpan w:val="3"/>
            <w:shd w:val="clear" w:color="auto" w:fill="FFFFFF"/>
            <w:tcMar>
              <w:top w:w="40" w:type="dxa"/>
              <w:left w:w="20" w:type="dxa"/>
              <w:bottom w:w="40" w:type="dxa"/>
              <w:right w:w="20" w:type="dxa"/>
            </w:tcMar>
            <w:vAlign w:val="bottom"/>
          </w:tcPr>
          <w:p w14:paraId="7B66DEF3" w14:textId="77777777" w:rsidR="0040300B" w:rsidRDefault="00BB2D44">
            <w:pPr>
              <w:textAlignment w:val="bottom"/>
            </w:pPr>
            <w:r>
              <w:rPr>
                <w:rFonts w:ascii="Times New Roman" w:eastAsia="宋体" w:hAnsi="Times New Roman"/>
                <w:color w:val="000000"/>
                <w:sz w:val="19"/>
                <w:szCs w:val="19"/>
              </w:rPr>
              <w:t>Deferred tax assets</w:t>
            </w:r>
          </w:p>
        </w:tc>
        <w:tc>
          <w:tcPr>
            <w:tcW w:w="0" w:type="auto"/>
            <w:gridSpan w:val="2"/>
            <w:shd w:val="clear" w:color="auto" w:fill="FFFFFF"/>
            <w:tcMar>
              <w:top w:w="40" w:type="dxa"/>
              <w:left w:w="20" w:type="dxa"/>
              <w:bottom w:w="40" w:type="dxa"/>
              <w:right w:w="0" w:type="dxa"/>
            </w:tcMar>
            <w:vAlign w:val="bottom"/>
          </w:tcPr>
          <w:p w14:paraId="7B66DEF4" w14:textId="77777777" w:rsidR="0040300B" w:rsidRDefault="00BB2D44">
            <w:pPr>
              <w:jc w:val="right"/>
              <w:textAlignment w:val="bottom"/>
            </w:pPr>
            <w:r>
              <w:rPr>
                <w:rFonts w:ascii="Times New Roman" w:eastAsia="宋体" w:hAnsi="Times New Roman"/>
                <w:color w:val="000000"/>
                <w:sz w:val="19"/>
                <w:szCs w:val="19"/>
              </w:rPr>
              <w:t>4,070 </w:t>
            </w:r>
          </w:p>
        </w:tc>
        <w:tc>
          <w:tcPr>
            <w:tcW w:w="0" w:type="auto"/>
            <w:shd w:val="clear" w:color="auto" w:fill="FFFFFF"/>
            <w:tcMar>
              <w:top w:w="40" w:type="dxa"/>
              <w:left w:w="0" w:type="dxa"/>
              <w:bottom w:w="40" w:type="dxa"/>
              <w:right w:w="20" w:type="dxa"/>
            </w:tcMar>
            <w:vAlign w:val="bottom"/>
          </w:tcPr>
          <w:p w14:paraId="7B66DEF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DEF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DEF7" w14:textId="77777777" w:rsidR="0040300B" w:rsidRDefault="00BB2D44">
            <w:pPr>
              <w:jc w:val="right"/>
              <w:textAlignment w:val="bottom"/>
            </w:pPr>
            <w:r>
              <w:rPr>
                <w:rFonts w:ascii="Times New Roman" w:eastAsia="宋体" w:hAnsi="Times New Roman"/>
                <w:color w:val="000000"/>
                <w:sz w:val="20"/>
                <w:szCs w:val="20"/>
              </w:rPr>
              <w:t>3,990 </w:t>
            </w:r>
          </w:p>
        </w:tc>
        <w:tc>
          <w:tcPr>
            <w:tcW w:w="0" w:type="auto"/>
            <w:shd w:val="clear" w:color="auto" w:fill="auto"/>
            <w:tcMar>
              <w:top w:w="40" w:type="dxa"/>
              <w:left w:w="0" w:type="dxa"/>
              <w:bottom w:w="40" w:type="dxa"/>
              <w:right w:w="20" w:type="dxa"/>
            </w:tcMar>
            <w:vAlign w:val="bottom"/>
          </w:tcPr>
          <w:p w14:paraId="7B66DEF8" w14:textId="77777777" w:rsidR="0040300B" w:rsidRDefault="0040300B">
            <w:pPr>
              <w:jc w:val="right"/>
              <w:rPr>
                <w:rFonts w:ascii="宋体"/>
              </w:rPr>
            </w:pPr>
          </w:p>
        </w:tc>
      </w:tr>
      <w:tr w:rsidR="0040300B" w14:paraId="7B66DF00" w14:textId="77777777">
        <w:trPr>
          <w:jc w:val="center"/>
        </w:trPr>
        <w:tc>
          <w:tcPr>
            <w:tcW w:w="0" w:type="auto"/>
            <w:gridSpan w:val="3"/>
            <w:shd w:val="clear" w:color="auto" w:fill="CCEEFF"/>
            <w:tcMar>
              <w:top w:w="40" w:type="dxa"/>
              <w:left w:w="20" w:type="dxa"/>
              <w:bottom w:w="40" w:type="dxa"/>
              <w:right w:w="20" w:type="dxa"/>
            </w:tcMar>
            <w:vAlign w:val="bottom"/>
          </w:tcPr>
          <w:p w14:paraId="7B66DEFA" w14:textId="77777777" w:rsidR="0040300B" w:rsidRDefault="00BB2D44">
            <w:pPr>
              <w:textAlignment w:val="bottom"/>
            </w:pPr>
            <w:r>
              <w:rPr>
                <w:rFonts w:ascii="Times New Roman" w:eastAsia="宋体" w:hAnsi="Times New Roman"/>
                <w:color w:val="000000"/>
                <w:sz w:val="19"/>
                <w:szCs w:val="19"/>
              </w:rPr>
              <w:t xml:space="preserve">Other </w:t>
            </w:r>
            <w:r>
              <w:rPr>
                <w:rFonts w:ascii="Times New Roman" w:eastAsia="宋体" w:hAnsi="Times New Roman"/>
                <w:color w:val="000000"/>
                <w:sz w:val="19"/>
                <w:szCs w:val="19"/>
              </w:rPr>
              <w:t>assets</w:t>
            </w:r>
          </w:p>
        </w:tc>
        <w:tc>
          <w:tcPr>
            <w:tcW w:w="0" w:type="auto"/>
            <w:gridSpan w:val="2"/>
            <w:shd w:val="clear" w:color="auto" w:fill="CCEEFF"/>
            <w:tcMar>
              <w:top w:w="40" w:type="dxa"/>
              <w:left w:w="20" w:type="dxa"/>
              <w:bottom w:w="40" w:type="dxa"/>
              <w:right w:w="0" w:type="dxa"/>
            </w:tcMar>
            <w:vAlign w:val="bottom"/>
          </w:tcPr>
          <w:p w14:paraId="7B66DEFB" w14:textId="77777777" w:rsidR="0040300B" w:rsidRDefault="00BB2D44">
            <w:pPr>
              <w:jc w:val="right"/>
              <w:textAlignment w:val="bottom"/>
            </w:pPr>
            <w:r>
              <w:rPr>
                <w:rFonts w:ascii="Times New Roman" w:eastAsia="宋体" w:hAnsi="Times New Roman"/>
                <w:color w:val="000000"/>
                <w:sz w:val="19"/>
                <w:szCs w:val="19"/>
              </w:rPr>
              <w:t>3,925 </w:t>
            </w:r>
          </w:p>
        </w:tc>
        <w:tc>
          <w:tcPr>
            <w:tcW w:w="0" w:type="auto"/>
            <w:shd w:val="clear" w:color="auto" w:fill="CCEEFF"/>
            <w:tcMar>
              <w:top w:w="40" w:type="dxa"/>
              <w:left w:w="0" w:type="dxa"/>
              <w:bottom w:w="40" w:type="dxa"/>
              <w:right w:w="20" w:type="dxa"/>
            </w:tcMar>
            <w:vAlign w:val="bottom"/>
          </w:tcPr>
          <w:p w14:paraId="7B66DEF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EF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EFE" w14:textId="77777777" w:rsidR="0040300B" w:rsidRDefault="00BB2D44">
            <w:pPr>
              <w:jc w:val="right"/>
              <w:textAlignment w:val="bottom"/>
            </w:pPr>
            <w:r>
              <w:rPr>
                <w:rFonts w:ascii="Times New Roman" w:eastAsia="宋体" w:hAnsi="Times New Roman"/>
                <w:color w:val="000000"/>
                <w:sz w:val="19"/>
                <w:szCs w:val="19"/>
              </w:rPr>
              <w:t>3,741 </w:t>
            </w:r>
          </w:p>
        </w:tc>
        <w:tc>
          <w:tcPr>
            <w:tcW w:w="0" w:type="auto"/>
            <w:shd w:val="clear" w:color="auto" w:fill="CCEEFF"/>
            <w:tcMar>
              <w:top w:w="40" w:type="dxa"/>
              <w:left w:w="0" w:type="dxa"/>
              <w:bottom w:w="40" w:type="dxa"/>
              <w:right w:w="20" w:type="dxa"/>
            </w:tcMar>
            <w:vAlign w:val="bottom"/>
          </w:tcPr>
          <w:p w14:paraId="7B66DEFF" w14:textId="77777777" w:rsidR="0040300B" w:rsidRDefault="0040300B">
            <w:pPr>
              <w:jc w:val="right"/>
              <w:rPr>
                <w:rFonts w:ascii="宋体"/>
              </w:rPr>
            </w:pPr>
          </w:p>
        </w:tc>
      </w:tr>
      <w:tr w:rsidR="0040300B" w14:paraId="7B66DF09" w14:textId="77777777">
        <w:trPr>
          <w:jc w:val="center"/>
        </w:trPr>
        <w:tc>
          <w:tcPr>
            <w:tcW w:w="0" w:type="auto"/>
            <w:gridSpan w:val="3"/>
            <w:shd w:val="clear" w:color="auto" w:fill="FFFFFF"/>
            <w:tcMar>
              <w:top w:w="40" w:type="dxa"/>
              <w:left w:w="740" w:type="dxa"/>
              <w:bottom w:w="40" w:type="dxa"/>
              <w:right w:w="20" w:type="dxa"/>
            </w:tcMar>
            <w:vAlign w:val="bottom"/>
          </w:tcPr>
          <w:p w14:paraId="7B66DF01" w14:textId="77777777" w:rsidR="0040300B" w:rsidRDefault="00BB2D44">
            <w:pPr>
              <w:textAlignment w:val="bottom"/>
            </w:pPr>
            <w:r>
              <w:rPr>
                <w:rFonts w:ascii="Times New Roman" w:eastAsia="宋体" w:hAnsi="Times New Roman"/>
                <w:b/>
                <w:bCs/>
                <w:color w:val="000000"/>
                <w:sz w:val="19"/>
                <w:szCs w:val="19"/>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B66DF02"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DF03" w14:textId="77777777" w:rsidR="0040300B" w:rsidRDefault="00BB2D44">
            <w:pPr>
              <w:jc w:val="right"/>
              <w:textAlignment w:val="bottom"/>
            </w:pPr>
            <w:r>
              <w:rPr>
                <w:rFonts w:ascii="Times New Roman" w:eastAsia="宋体" w:hAnsi="Times New Roman"/>
                <w:color w:val="000000"/>
                <w:sz w:val="19"/>
                <w:szCs w:val="19"/>
              </w:rPr>
              <w:t>93,896 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0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05"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DF06"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DF07" w14:textId="77777777" w:rsidR="0040300B" w:rsidRDefault="00BB2D44">
            <w:pPr>
              <w:jc w:val="right"/>
              <w:textAlignment w:val="bottom"/>
            </w:pPr>
            <w:r>
              <w:rPr>
                <w:rFonts w:ascii="Times New Roman" w:eastAsia="宋体" w:hAnsi="Times New Roman"/>
                <w:color w:val="000000"/>
                <w:sz w:val="19"/>
                <w:szCs w:val="19"/>
              </w:rPr>
              <w:t>94,853 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08" w14:textId="77777777" w:rsidR="0040300B" w:rsidRDefault="0040300B">
            <w:pPr>
              <w:jc w:val="right"/>
              <w:rPr>
                <w:rFonts w:ascii="宋体"/>
              </w:rPr>
            </w:pPr>
          </w:p>
        </w:tc>
      </w:tr>
      <w:tr w:rsidR="0040300B" w14:paraId="7B66DF0E" w14:textId="77777777">
        <w:trPr>
          <w:jc w:val="center"/>
        </w:trPr>
        <w:tc>
          <w:tcPr>
            <w:tcW w:w="0" w:type="auto"/>
            <w:gridSpan w:val="3"/>
            <w:shd w:val="clear" w:color="auto" w:fill="CCEEFF"/>
            <w:tcMar>
              <w:top w:w="40" w:type="dxa"/>
              <w:left w:w="20" w:type="dxa"/>
              <w:bottom w:w="40" w:type="dxa"/>
              <w:right w:w="20" w:type="dxa"/>
            </w:tcMar>
            <w:vAlign w:val="bottom"/>
          </w:tcPr>
          <w:p w14:paraId="7B66DF0A" w14:textId="77777777" w:rsidR="0040300B" w:rsidRDefault="00BB2D44">
            <w:pPr>
              <w:textAlignment w:val="bottom"/>
            </w:pPr>
            <w:r>
              <w:rPr>
                <w:rFonts w:ascii="Times New Roman" w:eastAsia="宋体" w:hAnsi="Times New Roman"/>
                <w:b/>
                <w:bCs/>
                <w:color w:val="00000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tcPr>
          <w:p w14:paraId="7B66DF0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0C"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DF0D" w14:textId="77777777" w:rsidR="0040300B" w:rsidRDefault="0040300B">
            <w:pPr>
              <w:rPr>
                <w:rFonts w:ascii="宋体"/>
              </w:rPr>
            </w:pPr>
          </w:p>
        </w:tc>
      </w:tr>
      <w:tr w:rsidR="0040300B" w14:paraId="7B66DF13" w14:textId="77777777">
        <w:trPr>
          <w:jc w:val="center"/>
        </w:trPr>
        <w:tc>
          <w:tcPr>
            <w:tcW w:w="0" w:type="auto"/>
            <w:gridSpan w:val="3"/>
            <w:shd w:val="clear" w:color="auto" w:fill="FFFFFF"/>
            <w:tcMar>
              <w:top w:w="40" w:type="dxa"/>
              <w:left w:w="20" w:type="dxa"/>
              <w:bottom w:w="40" w:type="dxa"/>
              <w:right w:w="20" w:type="dxa"/>
            </w:tcMar>
            <w:vAlign w:val="bottom"/>
          </w:tcPr>
          <w:p w14:paraId="7B66DF0F" w14:textId="77777777" w:rsidR="0040300B" w:rsidRDefault="00BB2D44">
            <w:pPr>
              <w:textAlignment w:val="bottom"/>
            </w:pPr>
            <w:r>
              <w:rPr>
                <w:rFonts w:ascii="Times New Roman" w:eastAsia="宋体" w:hAnsi="Times New Roman"/>
                <w:color w:val="000000"/>
                <w:sz w:val="19"/>
                <w:szCs w:val="19"/>
              </w:rPr>
              <w:t>Current liabilities:</w:t>
            </w:r>
          </w:p>
        </w:tc>
        <w:tc>
          <w:tcPr>
            <w:tcW w:w="0" w:type="auto"/>
            <w:gridSpan w:val="3"/>
            <w:shd w:val="clear" w:color="auto" w:fill="FFFFFF"/>
            <w:tcMar>
              <w:top w:w="0" w:type="dxa"/>
              <w:left w:w="20" w:type="dxa"/>
              <w:bottom w:w="0" w:type="dxa"/>
              <w:right w:w="20" w:type="dxa"/>
            </w:tcMar>
          </w:tcPr>
          <w:p w14:paraId="7B66DF1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F1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F12" w14:textId="77777777" w:rsidR="0040300B" w:rsidRDefault="0040300B">
            <w:pPr>
              <w:rPr>
                <w:rFonts w:ascii="宋体"/>
              </w:rPr>
            </w:pPr>
          </w:p>
        </w:tc>
      </w:tr>
      <w:tr w:rsidR="0040300B" w14:paraId="7B66DF1C" w14:textId="77777777">
        <w:trPr>
          <w:jc w:val="center"/>
        </w:trPr>
        <w:tc>
          <w:tcPr>
            <w:tcW w:w="0" w:type="auto"/>
            <w:gridSpan w:val="3"/>
            <w:shd w:val="clear" w:color="auto" w:fill="CCEEFF"/>
            <w:tcMar>
              <w:top w:w="40" w:type="dxa"/>
              <w:left w:w="380" w:type="dxa"/>
              <w:bottom w:w="40" w:type="dxa"/>
              <w:right w:w="20" w:type="dxa"/>
            </w:tcMar>
            <w:vAlign w:val="bottom"/>
          </w:tcPr>
          <w:p w14:paraId="7B66DF14" w14:textId="77777777" w:rsidR="0040300B" w:rsidRDefault="00BB2D44">
            <w:pPr>
              <w:textAlignment w:val="bottom"/>
            </w:pPr>
            <w:r>
              <w:rPr>
                <w:rFonts w:ascii="Times New Roman" w:eastAsia="宋体" w:hAnsi="Times New Roman"/>
                <w:color w:val="000000"/>
                <w:sz w:val="19"/>
                <w:szCs w:val="19"/>
              </w:rPr>
              <w:t>Short-term debt</w:t>
            </w:r>
          </w:p>
        </w:tc>
        <w:tc>
          <w:tcPr>
            <w:tcW w:w="0" w:type="auto"/>
            <w:shd w:val="clear" w:color="auto" w:fill="CCEEFF"/>
            <w:tcMar>
              <w:top w:w="40" w:type="dxa"/>
              <w:left w:w="20" w:type="dxa"/>
              <w:bottom w:w="40" w:type="dxa"/>
              <w:right w:w="0" w:type="dxa"/>
            </w:tcMar>
            <w:vAlign w:val="bottom"/>
          </w:tcPr>
          <w:p w14:paraId="7B66DF1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DF16" w14:textId="77777777" w:rsidR="0040300B" w:rsidRDefault="00BB2D44">
            <w:pPr>
              <w:jc w:val="right"/>
              <w:textAlignment w:val="bottom"/>
            </w:pPr>
            <w:r>
              <w:rPr>
                <w:rFonts w:ascii="Times New Roman" w:eastAsia="宋体" w:hAnsi="Times New Roman"/>
                <w:color w:val="000000"/>
                <w:sz w:val="19"/>
                <w:szCs w:val="19"/>
              </w:rPr>
              <w:t>2,000 </w:t>
            </w:r>
          </w:p>
        </w:tc>
        <w:tc>
          <w:tcPr>
            <w:tcW w:w="0" w:type="auto"/>
            <w:shd w:val="clear" w:color="auto" w:fill="CCEEFF"/>
            <w:tcMar>
              <w:top w:w="40" w:type="dxa"/>
              <w:left w:w="0" w:type="dxa"/>
              <w:bottom w:w="40" w:type="dxa"/>
              <w:right w:w="20" w:type="dxa"/>
            </w:tcMar>
            <w:vAlign w:val="bottom"/>
          </w:tcPr>
          <w:p w14:paraId="7B66DF1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1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DF1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DF1A" w14:textId="77777777" w:rsidR="0040300B" w:rsidRDefault="00BB2D44">
            <w:pPr>
              <w:jc w:val="right"/>
              <w:textAlignment w:val="bottom"/>
            </w:pPr>
            <w:r>
              <w:rPr>
                <w:rFonts w:ascii="Times New Roman" w:eastAsia="宋体" w:hAnsi="Times New Roman"/>
                <w:color w:val="000000"/>
                <w:sz w:val="19"/>
                <w:szCs w:val="19"/>
              </w:rPr>
              <w:t>3,005 </w:t>
            </w:r>
          </w:p>
        </w:tc>
        <w:tc>
          <w:tcPr>
            <w:tcW w:w="0" w:type="auto"/>
            <w:shd w:val="clear" w:color="auto" w:fill="CCEEFF"/>
            <w:tcMar>
              <w:top w:w="40" w:type="dxa"/>
              <w:left w:w="0" w:type="dxa"/>
              <w:bottom w:w="40" w:type="dxa"/>
              <w:right w:w="20" w:type="dxa"/>
            </w:tcMar>
            <w:vAlign w:val="bottom"/>
          </w:tcPr>
          <w:p w14:paraId="7B66DF1B" w14:textId="77777777" w:rsidR="0040300B" w:rsidRDefault="0040300B">
            <w:pPr>
              <w:jc w:val="right"/>
              <w:rPr>
                <w:rFonts w:ascii="宋体"/>
              </w:rPr>
            </w:pPr>
          </w:p>
        </w:tc>
      </w:tr>
      <w:tr w:rsidR="0040300B" w14:paraId="7B66DF23" w14:textId="77777777">
        <w:trPr>
          <w:jc w:val="center"/>
        </w:trPr>
        <w:tc>
          <w:tcPr>
            <w:tcW w:w="0" w:type="auto"/>
            <w:gridSpan w:val="3"/>
            <w:shd w:val="clear" w:color="auto" w:fill="FFFFFF"/>
            <w:tcMar>
              <w:top w:w="40" w:type="dxa"/>
              <w:left w:w="380" w:type="dxa"/>
              <w:bottom w:w="40" w:type="dxa"/>
              <w:right w:w="20" w:type="dxa"/>
            </w:tcMar>
            <w:vAlign w:val="bottom"/>
          </w:tcPr>
          <w:p w14:paraId="7B66DF1D" w14:textId="77777777" w:rsidR="0040300B" w:rsidRDefault="00BB2D44">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7B66DF1E" w14:textId="77777777" w:rsidR="0040300B" w:rsidRDefault="00BB2D44">
            <w:pPr>
              <w:jc w:val="right"/>
              <w:textAlignment w:val="bottom"/>
            </w:pPr>
            <w:r>
              <w:rPr>
                <w:rFonts w:ascii="Times New Roman" w:eastAsia="宋体" w:hAnsi="Times New Roman"/>
                <w:color w:val="000000"/>
                <w:sz w:val="19"/>
                <w:szCs w:val="19"/>
              </w:rPr>
              <w:t>2,440 </w:t>
            </w:r>
          </w:p>
        </w:tc>
        <w:tc>
          <w:tcPr>
            <w:tcW w:w="0" w:type="auto"/>
            <w:shd w:val="clear" w:color="auto" w:fill="FFFFFF"/>
            <w:tcMar>
              <w:top w:w="40" w:type="dxa"/>
              <w:left w:w="0" w:type="dxa"/>
              <w:bottom w:w="40" w:type="dxa"/>
              <w:right w:w="20" w:type="dxa"/>
            </w:tcMar>
            <w:vAlign w:val="bottom"/>
          </w:tcPr>
          <w:p w14:paraId="7B66DF1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2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21" w14:textId="77777777" w:rsidR="0040300B" w:rsidRDefault="00BB2D44">
            <w:pPr>
              <w:jc w:val="right"/>
              <w:textAlignment w:val="bottom"/>
            </w:pPr>
            <w:r>
              <w:rPr>
                <w:rFonts w:ascii="Times New Roman" w:eastAsia="宋体" w:hAnsi="Times New Roman"/>
                <w:color w:val="000000"/>
                <w:sz w:val="19"/>
                <w:szCs w:val="19"/>
              </w:rPr>
              <w:t>2,218 </w:t>
            </w:r>
          </w:p>
        </w:tc>
        <w:tc>
          <w:tcPr>
            <w:tcW w:w="0" w:type="auto"/>
            <w:shd w:val="clear" w:color="auto" w:fill="FFFFFF"/>
            <w:tcMar>
              <w:top w:w="40" w:type="dxa"/>
              <w:left w:w="0" w:type="dxa"/>
              <w:bottom w:w="40" w:type="dxa"/>
              <w:right w:w="20" w:type="dxa"/>
            </w:tcMar>
            <w:vAlign w:val="bottom"/>
          </w:tcPr>
          <w:p w14:paraId="7B66DF22" w14:textId="77777777" w:rsidR="0040300B" w:rsidRDefault="0040300B">
            <w:pPr>
              <w:jc w:val="right"/>
              <w:rPr>
                <w:rFonts w:ascii="宋体"/>
              </w:rPr>
            </w:pPr>
          </w:p>
        </w:tc>
      </w:tr>
      <w:tr w:rsidR="0040300B" w14:paraId="7B66DF2A" w14:textId="77777777">
        <w:trPr>
          <w:jc w:val="center"/>
        </w:trPr>
        <w:tc>
          <w:tcPr>
            <w:tcW w:w="0" w:type="auto"/>
            <w:gridSpan w:val="3"/>
            <w:shd w:val="clear" w:color="auto" w:fill="CCEEFF"/>
            <w:tcMar>
              <w:top w:w="40" w:type="dxa"/>
              <w:left w:w="380" w:type="dxa"/>
              <w:bottom w:w="40" w:type="dxa"/>
              <w:right w:w="20" w:type="dxa"/>
            </w:tcMar>
            <w:vAlign w:val="bottom"/>
          </w:tcPr>
          <w:p w14:paraId="7B66DF24" w14:textId="77777777" w:rsidR="0040300B" w:rsidRDefault="00BB2D44">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7B66DF25" w14:textId="77777777" w:rsidR="0040300B" w:rsidRDefault="00BB2D44">
            <w:pPr>
              <w:jc w:val="right"/>
              <w:textAlignment w:val="bottom"/>
            </w:pPr>
            <w:r>
              <w:rPr>
                <w:rFonts w:ascii="Times New Roman" w:eastAsia="宋体" w:hAnsi="Times New Roman"/>
                <w:color w:val="000000"/>
                <w:sz w:val="19"/>
                <w:szCs w:val="19"/>
              </w:rPr>
              <w:t>753 </w:t>
            </w:r>
          </w:p>
        </w:tc>
        <w:tc>
          <w:tcPr>
            <w:tcW w:w="0" w:type="auto"/>
            <w:shd w:val="clear" w:color="auto" w:fill="CCEEFF"/>
            <w:tcMar>
              <w:top w:w="40" w:type="dxa"/>
              <w:left w:w="0" w:type="dxa"/>
              <w:bottom w:w="40" w:type="dxa"/>
              <w:right w:w="20" w:type="dxa"/>
            </w:tcMar>
            <w:vAlign w:val="bottom"/>
          </w:tcPr>
          <w:p w14:paraId="7B66DF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2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28" w14:textId="77777777" w:rsidR="0040300B" w:rsidRDefault="00BB2D44">
            <w:pPr>
              <w:jc w:val="right"/>
              <w:textAlignment w:val="bottom"/>
            </w:pPr>
            <w:r>
              <w:rPr>
                <w:rFonts w:ascii="Times New Roman" w:eastAsia="宋体" w:hAnsi="Times New Roman"/>
                <w:color w:val="000000"/>
                <w:sz w:val="19"/>
                <w:szCs w:val="19"/>
              </w:rPr>
              <w:t>839 </w:t>
            </w:r>
          </w:p>
        </w:tc>
        <w:tc>
          <w:tcPr>
            <w:tcW w:w="0" w:type="auto"/>
            <w:shd w:val="clear" w:color="auto" w:fill="CCEEFF"/>
            <w:tcMar>
              <w:top w:w="40" w:type="dxa"/>
              <w:left w:w="0" w:type="dxa"/>
              <w:bottom w:w="40" w:type="dxa"/>
              <w:right w:w="20" w:type="dxa"/>
            </w:tcMar>
            <w:vAlign w:val="bottom"/>
          </w:tcPr>
          <w:p w14:paraId="7B66DF29" w14:textId="77777777" w:rsidR="0040300B" w:rsidRDefault="0040300B">
            <w:pPr>
              <w:jc w:val="right"/>
              <w:rPr>
                <w:rFonts w:ascii="宋体"/>
              </w:rPr>
            </w:pPr>
          </w:p>
        </w:tc>
      </w:tr>
      <w:tr w:rsidR="0040300B" w14:paraId="7B66DF31" w14:textId="77777777">
        <w:trPr>
          <w:jc w:val="center"/>
        </w:trPr>
        <w:tc>
          <w:tcPr>
            <w:tcW w:w="0" w:type="auto"/>
            <w:gridSpan w:val="3"/>
            <w:shd w:val="clear" w:color="auto" w:fill="FFFFFF"/>
            <w:tcMar>
              <w:top w:w="40" w:type="dxa"/>
              <w:left w:w="380" w:type="dxa"/>
              <w:bottom w:w="40" w:type="dxa"/>
              <w:right w:w="20" w:type="dxa"/>
            </w:tcMar>
            <w:vAlign w:val="bottom"/>
          </w:tcPr>
          <w:p w14:paraId="7B66DF2B" w14:textId="77777777" w:rsidR="0040300B" w:rsidRDefault="00BB2D44">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7B66DF2C" w14:textId="77777777" w:rsidR="0040300B" w:rsidRDefault="00BB2D44">
            <w:pPr>
              <w:jc w:val="right"/>
              <w:textAlignment w:val="bottom"/>
            </w:pPr>
            <w:r>
              <w:rPr>
                <w:rFonts w:ascii="Times New Roman" w:eastAsia="宋体" w:hAnsi="Times New Roman"/>
                <w:color w:val="000000"/>
                <w:sz w:val="19"/>
                <w:szCs w:val="19"/>
              </w:rPr>
              <w:t>3,327 </w:t>
            </w:r>
          </w:p>
        </w:tc>
        <w:tc>
          <w:tcPr>
            <w:tcW w:w="0" w:type="auto"/>
            <w:shd w:val="clear" w:color="auto" w:fill="FFFFFF"/>
            <w:tcMar>
              <w:top w:w="40" w:type="dxa"/>
              <w:left w:w="0" w:type="dxa"/>
              <w:bottom w:w="40" w:type="dxa"/>
              <w:right w:w="20" w:type="dxa"/>
            </w:tcMar>
            <w:vAlign w:val="bottom"/>
          </w:tcPr>
          <w:p w14:paraId="7B66DF2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2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2F" w14:textId="77777777" w:rsidR="0040300B" w:rsidRDefault="00BB2D44">
            <w:pPr>
              <w:jc w:val="right"/>
              <w:textAlignment w:val="bottom"/>
            </w:pPr>
            <w:r>
              <w:rPr>
                <w:rFonts w:ascii="Times New Roman" w:eastAsia="宋体" w:hAnsi="Times New Roman"/>
                <w:color w:val="000000"/>
                <w:sz w:val="19"/>
                <w:szCs w:val="19"/>
              </w:rPr>
              <w:t>3,122 </w:t>
            </w:r>
          </w:p>
        </w:tc>
        <w:tc>
          <w:tcPr>
            <w:tcW w:w="0" w:type="auto"/>
            <w:shd w:val="clear" w:color="auto" w:fill="FFFFFF"/>
            <w:tcMar>
              <w:top w:w="40" w:type="dxa"/>
              <w:left w:w="0" w:type="dxa"/>
              <w:bottom w:w="40" w:type="dxa"/>
              <w:right w:w="20" w:type="dxa"/>
            </w:tcMar>
            <w:vAlign w:val="bottom"/>
          </w:tcPr>
          <w:p w14:paraId="7B66DF30" w14:textId="77777777" w:rsidR="0040300B" w:rsidRDefault="0040300B">
            <w:pPr>
              <w:jc w:val="right"/>
              <w:rPr>
                <w:rFonts w:ascii="宋体"/>
              </w:rPr>
            </w:pPr>
          </w:p>
        </w:tc>
      </w:tr>
      <w:tr w:rsidR="0040300B" w14:paraId="7B66DF38" w14:textId="77777777">
        <w:trPr>
          <w:jc w:val="center"/>
        </w:trPr>
        <w:tc>
          <w:tcPr>
            <w:tcW w:w="0" w:type="auto"/>
            <w:gridSpan w:val="3"/>
            <w:shd w:val="clear" w:color="auto" w:fill="CCEEFF"/>
            <w:tcMar>
              <w:top w:w="40" w:type="dxa"/>
              <w:left w:w="380" w:type="dxa"/>
              <w:bottom w:w="40" w:type="dxa"/>
              <w:right w:w="20" w:type="dxa"/>
            </w:tcMar>
            <w:vAlign w:val="bottom"/>
          </w:tcPr>
          <w:p w14:paraId="7B66DF32" w14:textId="77777777" w:rsidR="0040300B" w:rsidRDefault="00BB2D44">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7B66DF33" w14:textId="77777777" w:rsidR="0040300B" w:rsidRDefault="00BB2D44">
            <w:pPr>
              <w:jc w:val="right"/>
              <w:textAlignment w:val="bottom"/>
            </w:pPr>
            <w:r>
              <w:rPr>
                <w:rFonts w:ascii="Times New Roman" w:eastAsia="宋体" w:hAnsi="Times New Roman"/>
                <w:color w:val="000000"/>
                <w:sz w:val="19"/>
                <w:szCs w:val="19"/>
              </w:rPr>
              <w:t>11,492 </w:t>
            </w:r>
          </w:p>
        </w:tc>
        <w:tc>
          <w:tcPr>
            <w:tcW w:w="0" w:type="auto"/>
            <w:shd w:val="clear" w:color="auto" w:fill="CCEEFF"/>
            <w:tcMar>
              <w:top w:w="40" w:type="dxa"/>
              <w:left w:w="0" w:type="dxa"/>
              <w:bottom w:w="40" w:type="dxa"/>
              <w:right w:w="20" w:type="dxa"/>
            </w:tcMar>
            <w:vAlign w:val="bottom"/>
          </w:tcPr>
          <w:p w14:paraId="7B66DF3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3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36" w14:textId="77777777" w:rsidR="0040300B" w:rsidRDefault="00BB2D44">
            <w:pPr>
              <w:jc w:val="right"/>
              <w:textAlignment w:val="bottom"/>
            </w:pPr>
            <w:r>
              <w:rPr>
                <w:rFonts w:ascii="Times New Roman" w:eastAsia="宋体" w:hAnsi="Times New Roman"/>
                <w:color w:val="000000"/>
                <w:sz w:val="19"/>
                <w:szCs w:val="19"/>
              </w:rPr>
              <w:t>11,406 </w:t>
            </w:r>
          </w:p>
        </w:tc>
        <w:tc>
          <w:tcPr>
            <w:tcW w:w="0" w:type="auto"/>
            <w:shd w:val="clear" w:color="auto" w:fill="CCEEFF"/>
            <w:tcMar>
              <w:top w:w="40" w:type="dxa"/>
              <w:left w:w="0" w:type="dxa"/>
              <w:bottom w:w="40" w:type="dxa"/>
              <w:right w:w="20" w:type="dxa"/>
            </w:tcMar>
            <w:vAlign w:val="bottom"/>
          </w:tcPr>
          <w:p w14:paraId="7B66DF37" w14:textId="77777777" w:rsidR="0040300B" w:rsidRDefault="0040300B">
            <w:pPr>
              <w:jc w:val="right"/>
              <w:rPr>
                <w:rFonts w:ascii="宋体"/>
              </w:rPr>
            </w:pPr>
          </w:p>
        </w:tc>
      </w:tr>
      <w:tr w:rsidR="0040300B" w14:paraId="7B66DF3F" w14:textId="77777777">
        <w:trPr>
          <w:jc w:val="center"/>
        </w:trPr>
        <w:tc>
          <w:tcPr>
            <w:tcW w:w="0" w:type="auto"/>
            <w:gridSpan w:val="3"/>
            <w:shd w:val="clear" w:color="auto" w:fill="FFFFFF"/>
            <w:tcMar>
              <w:top w:w="40" w:type="dxa"/>
              <w:left w:w="380" w:type="dxa"/>
              <w:bottom w:w="40" w:type="dxa"/>
              <w:right w:w="20" w:type="dxa"/>
            </w:tcMar>
            <w:vAlign w:val="bottom"/>
          </w:tcPr>
          <w:p w14:paraId="7B66DF39" w14:textId="77777777" w:rsidR="0040300B" w:rsidRDefault="00BB2D44">
            <w:pPr>
              <w:textAlignment w:val="bottom"/>
            </w:pPr>
            <w:r>
              <w:rPr>
                <w:rFonts w:ascii="Times New Roman" w:eastAsia="宋体" w:hAnsi="Times New Roman"/>
                <w:color w:val="000000"/>
                <w:sz w:val="19"/>
                <w:szCs w:val="19"/>
              </w:rPr>
              <w:t>Other current liabilities</w:t>
            </w:r>
          </w:p>
        </w:tc>
        <w:tc>
          <w:tcPr>
            <w:tcW w:w="0" w:type="auto"/>
            <w:gridSpan w:val="2"/>
            <w:shd w:val="clear" w:color="auto" w:fill="FFFFFF"/>
            <w:tcMar>
              <w:top w:w="40" w:type="dxa"/>
              <w:left w:w="20" w:type="dxa"/>
              <w:bottom w:w="40" w:type="dxa"/>
              <w:right w:w="0" w:type="dxa"/>
            </w:tcMar>
            <w:vAlign w:val="bottom"/>
          </w:tcPr>
          <w:p w14:paraId="7B66DF3A" w14:textId="77777777" w:rsidR="0040300B" w:rsidRDefault="00BB2D44">
            <w:pPr>
              <w:jc w:val="right"/>
              <w:textAlignment w:val="bottom"/>
            </w:pPr>
            <w:r>
              <w:rPr>
                <w:rFonts w:ascii="Times New Roman" w:eastAsia="宋体" w:hAnsi="Times New Roman"/>
                <w:color w:val="000000"/>
                <w:sz w:val="19"/>
                <w:szCs w:val="19"/>
              </w:rPr>
              <w:t>4,250 </w:t>
            </w:r>
          </w:p>
        </w:tc>
        <w:tc>
          <w:tcPr>
            <w:tcW w:w="0" w:type="auto"/>
            <w:shd w:val="clear" w:color="auto" w:fill="FFFFFF"/>
            <w:tcMar>
              <w:top w:w="40" w:type="dxa"/>
              <w:left w:w="0" w:type="dxa"/>
              <w:bottom w:w="40" w:type="dxa"/>
              <w:right w:w="20" w:type="dxa"/>
            </w:tcMar>
            <w:vAlign w:val="bottom"/>
          </w:tcPr>
          <w:p w14:paraId="7B66DF3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3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3D" w14:textId="77777777" w:rsidR="0040300B" w:rsidRDefault="00BB2D44">
            <w:pPr>
              <w:jc w:val="right"/>
              <w:textAlignment w:val="bottom"/>
            </w:pPr>
            <w:r>
              <w:rPr>
                <w:rFonts w:ascii="Times New Roman" w:eastAsia="宋体" w:hAnsi="Times New Roman"/>
                <w:color w:val="000000"/>
                <w:sz w:val="19"/>
                <w:szCs w:val="19"/>
              </w:rPr>
              <w:t>4,741 </w:t>
            </w:r>
          </w:p>
        </w:tc>
        <w:tc>
          <w:tcPr>
            <w:tcW w:w="0" w:type="auto"/>
            <w:shd w:val="clear" w:color="auto" w:fill="FFFFFF"/>
            <w:tcMar>
              <w:top w:w="40" w:type="dxa"/>
              <w:left w:w="0" w:type="dxa"/>
              <w:bottom w:w="40" w:type="dxa"/>
              <w:right w:w="20" w:type="dxa"/>
            </w:tcMar>
            <w:vAlign w:val="bottom"/>
          </w:tcPr>
          <w:p w14:paraId="7B66DF3E" w14:textId="77777777" w:rsidR="0040300B" w:rsidRDefault="0040300B">
            <w:pPr>
              <w:jc w:val="right"/>
              <w:rPr>
                <w:rFonts w:ascii="宋体"/>
              </w:rPr>
            </w:pPr>
          </w:p>
        </w:tc>
      </w:tr>
      <w:tr w:rsidR="0040300B" w14:paraId="7B66DF46" w14:textId="77777777">
        <w:trPr>
          <w:jc w:val="center"/>
        </w:trPr>
        <w:tc>
          <w:tcPr>
            <w:tcW w:w="0" w:type="auto"/>
            <w:gridSpan w:val="3"/>
            <w:shd w:val="clear" w:color="auto" w:fill="CCEEFF"/>
            <w:tcMar>
              <w:top w:w="40" w:type="dxa"/>
              <w:left w:w="740" w:type="dxa"/>
              <w:bottom w:w="40" w:type="dxa"/>
              <w:right w:w="20" w:type="dxa"/>
            </w:tcMar>
            <w:vAlign w:val="bottom"/>
          </w:tcPr>
          <w:p w14:paraId="7B66DF40" w14:textId="77777777" w:rsidR="0040300B" w:rsidRDefault="00BB2D44">
            <w:pPr>
              <w:textAlignment w:val="bottom"/>
            </w:pPr>
            <w:r>
              <w:rPr>
                <w:rFonts w:ascii="Times New Roman" w:eastAsia="宋体" w:hAnsi="Times New Roman"/>
                <w:color w:val="000000"/>
                <w:sz w:val="19"/>
                <w:szCs w:val="19"/>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DF41" w14:textId="77777777" w:rsidR="0040300B" w:rsidRDefault="00BB2D44">
            <w:pPr>
              <w:jc w:val="right"/>
              <w:textAlignment w:val="bottom"/>
            </w:pPr>
            <w:r>
              <w:rPr>
                <w:rFonts w:ascii="Times New Roman" w:eastAsia="宋体" w:hAnsi="Times New Roman"/>
                <w:color w:val="000000"/>
                <w:sz w:val="19"/>
                <w:szCs w:val="19"/>
              </w:rPr>
              <w:t>24,262 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DF4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4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DF44" w14:textId="77777777" w:rsidR="0040300B" w:rsidRDefault="00BB2D44">
            <w:pPr>
              <w:jc w:val="right"/>
              <w:textAlignment w:val="bottom"/>
            </w:pPr>
            <w:r>
              <w:rPr>
                <w:rFonts w:ascii="Times New Roman" w:eastAsia="宋体" w:hAnsi="Times New Roman"/>
                <w:color w:val="000000"/>
                <w:sz w:val="19"/>
                <w:szCs w:val="19"/>
              </w:rPr>
              <w:t>25,331 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DF45" w14:textId="77777777" w:rsidR="0040300B" w:rsidRDefault="0040300B">
            <w:pPr>
              <w:jc w:val="right"/>
              <w:rPr>
                <w:rFonts w:ascii="宋体"/>
              </w:rPr>
            </w:pPr>
          </w:p>
        </w:tc>
      </w:tr>
      <w:tr w:rsidR="0040300B" w14:paraId="7B66DF4D" w14:textId="77777777">
        <w:trPr>
          <w:jc w:val="center"/>
        </w:trPr>
        <w:tc>
          <w:tcPr>
            <w:tcW w:w="0" w:type="auto"/>
            <w:gridSpan w:val="3"/>
            <w:shd w:val="clear" w:color="auto" w:fill="FFFFFF"/>
            <w:tcMar>
              <w:top w:w="40" w:type="dxa"/>
              <w:left w:w="20" w:type="dxa"/>
              <w:bottom w:w="40" w:type="dxa"/>
              <w:right w:w="20" w:type="dxa"/>
            </w:tcMar>
            <w:vAlign w:val="bottom"/>
          </w:tcPr>
          <w:p w14:paraId="7B66DF47" w14:textId="77777777" w:rsidR="0040300B" w:rsidRDefault="00BB2D44">
            <w:pPr>
              <w:textAlignment w:val="bottom"/>
            </w:pPr>
            <w:r>
              <w:rPr>
                <w:rFonts w:ascii="Times New Roman" w:eastAsia="宋体" w:hAnsi="Times New Roman"/>
                <w:color w:val="000000"/>
                <w:sz w:val="19"/>
                <w:szCs w:val="19"/>
              </w:rPr>
              <w:t>Long-term debt</w:t>
            </w:r>
          </w:p>
        </w:tc>
        <w:tc>
          <w:tcPr>
            <w:tcW w:w="0" w:type="auto"/>
            <w:gridSpan w:val="2"/>
            <w:shd w:val="clear" w:color="auto" w:fill="FFFFFF"/>
            <w:tcMar>
              <w:top w:w="40" w:type="dxa"/>
              <w:left w:w="20" w:type="dxa"/>
              <w:bottom w:w="40" w:type="dxa"/>
              <w:right w:w="0" w:type="dxa"/>
            </w:tcMar>
            <w:vAlign w:val="bottom"/>
          </w:tcPr>
          <w:p w14:paraId="7B66DF48" w14:textId="77777777" w:rsidR="0040300B" w:rsidRDefault="00BB2D44">
            <w:pPr>
              <w:jc w:val="right"/>
              <w:textAlignment w:val="bottom"/>
            </w:pPr>
            <w:r>
              <w:rPr>
                <w:rFonts w:ascii="Times New Roman" w:eastAsia="宋体" w:hAnsi="Times New Roman"/>
                <w:color w:val="000000"/>
                <w:sz w:val="19"/>
                <w:szCs w:val="19"/>
              </w:rPr>
              <w:t>9,532 </w:t>
            </w:r>
          </w:p>
        </w:tc>
        <w:tc>
          <w:tcPr>
            <w:tcW w:w="0" w:type="auto"/>
            <w:shd w:val="clear" w:color="auto" w:fill="FFFFFF"/>
            <w:tcMar>
              <w:top w:w="40" w:type="dxa"/>
              <w:left w:w="0" w:type="dxa"/>
              <w:bottom w:w="40" w:type="dxa"/>
              <w:right w:w="20" w:type="dxa"/>
            </w:tcMar>
            <w:vAlign w:val="bottom"/>
          </w:tcPr>
          <w:p w14:paraId="7B66DF4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4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4B" w14:textId="77777777" w:rsidR="0040300B" w:rsidRDefault="00BB2D44">
            <w:pPr>
              <w:jc w:val="right"/>
              <w:textAlignment w:val="bottom"/>
            </w:pPr>
            <w:r>
              <w:rPr>
                <w:rFonts w:ascii="Times New Roman" w:eastAsia="宋体" w:hAnsi="Times New Roman"/>
                <w:color w:val="000000"/>
                <w:sz w:val="19"/>
                <w:szCs w:val="19"/>
              </w:rPr>
              <w:t>11,578 </w:t>
            </w:r>
          </w:p>
        </w:tc>
        <w:tc>
          <w:tcPr>
            <w:tcW w:w="0" w:type="auto"/>
            <w:shd w:val="clear" w:color="auto" w:fill="FFFFFF"/>
            <w:tcMar>
              <w:top w:w="40" w:type="dxa"/>
              <w:left w:w="0" w:type="dxa"/>
              <w:bottom w:w="40" w:type="dxa"/>
              <w:right w:w="20" w:type="dxa"/>
            </w:tcMar>
            <w:vAlign w:val="bottom"/>
          </w:tcPr>
          <w:p w14:paraId="7B66DF4C" w14:textId="77777777" w:rsidR="0040300B" w:rsidRDefault="0040300B">
            <w:pPr>
              <w:jc w:val="right"/>
              <w:rPr>
                <w:rFonts w:ascii="宋体"/>
              </w:rPr>
            </w:pPr>
          </w:p>
        </w:tc>
      </w:tr>
      <w:tr w:rsidR="0040300B" w14:paraId="7B66DF54" w14:textId="77777777">
        <w:trPr>
          <w:jc w:val="center"/>
        </w:trPr>
        <w:tc>
          <w:tcPr>
            <w:tcW w:w="0" w:type="auto"/>
            <w:gridSpan w:val="3"/>
            <w:shd w:val="clear" w:color="auto" w:fill="CCEEFF"/>
            <w:tcMar>
              <w:top w:w="40" w:type="dxa"/>
              <w:left w:w="20" w:type="dxa"/>
              <w:bottom w:w="40" w:type="dxa"/>
              <w:right w:w="20" w:type="dxa"/>
            </w:tcMar>
            <w:vAlign w:val="bottom"/>
          </w:tcPr>
          <w:p w14:paraId="7B66DF4E" w14:textId="77777777" w:rsidR="0040300B" w:rsidRDefault="00BB2D44">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7B66DF4F" w14:textId="77777777" w:rsidR="0040300B" w:rsidRDefault="00BB2D44">
            <w:pPr>
              <w:jc w:val="right"/>
              <w:textAlignment w:val="bottom"/>
            </w:pPr>
            <w:r>
              <w:rPr>
                <w:rFonts w:ascii="Times New Roman" w:eastAsia="宋体" w:hAnsi="Times New Roman"/>
                <w:color w:val="000000"/>
                <w:sz w:val="19"/>
                <w:szCs w:val="19"/>
              </w:rPr>
              <w:t>8,247 </w:t>
            </w:r>
          </w:p>
        </w:tc>
        <w:tc>
          <w:tcPr>
            <w:tcW w:w="0" w:type="auto"/>
            <w:shd w:val="clear" w:color="auto" w:fill="CCEEFF"/>
            <w:tcMar>
              <w:top w:w="40" w:type="dxa"/>
              <w:left w:w="0" w:type="dxa"/>
              <w:bottom w:w="40" w:type="dxa"/>
              <w:right w:w="20" w:type="dxa"/>
            </w:tcMar>
            <w:vAlign w:val="bottom"/>
          </w:tcPr>
          <w:p w14:paraId="7B66DF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52" w14:textId="77777777" w:rsidR="0040300B" w:rsidRDefault="00BB2D44">
            <w:pPr>
              <w:jc w:val="right"/>
              <w:textAlignment w:val="bottom"/>
            </w:pPr>
            <w:r>
              <w:rPr>
                <w:rFonts w:ascii="Times New Roman" w:eastAsia="宋体" w:hAnsi="Times New Roman"/>
                <w:color w:val="000000"/>
                <w:sz w:val="19"/>
                <w:szCs w:val="19"/>
              </w:rPr>
              <w:t>8,837 </w:t>
            </w:r>
          </w:p>
        </w:tc>
        <w:tc>
          <w:tcPr>
            <w:tcW w:w="0" w:type="auto"/>
            <w:shd w:val="clear" w:color="auto" w:fill="CCEEFF"/>
            <w:tcMar>
              <w:top w:w="40" w:type="dxa"/>
              <w:left w:w="0" w:type="dxa"/>
              <w:bottom w:w="40" w:type="dxa"/>
              <w:right w:w="20" w:type="dxa"/>
            </w:tcMar>
            <w:vAlign w:val="bottom"/>
          </w:tcPr>
          <w:p w14:paraId="7B66DF53" w14:textId="77777777" w:rsidR="0040300B" w:rsidRDefault="0040300B">
            <w:pPr>
              <w:jc w:val="right"/>
              <w:rPr>
                <w:rFonts w:ascii="宋体"/>
              </w:rPr>
            </w:pPr>
          </w:p>
        </w:tc>
      </w:tr>
      <w:tr w:rsidR="0040300B" w14:paraId="7B66DF5B" w14:textId="77777777">
        <w:trPr>
          <w:jc w:val="center"/>
        </w:trPr>
        <w:tc>
          <w:tcPr>
            <w:tcW w:w="0" w:type="auto"/>
            <w:gridSpan w:val="3"/>
            <w:shd w:val="clear" w:color="auto" w:fill="FFFFFF"/>
            <w:tcMar>
              <w:top w:w="40" w:type="dxa"/>
              <w:left w:w="20" w:type="dxa"/>
              <w:bottom w:w="40" w:type="dxa"/>
              <w:right w:w="20" w:type="dxa"/>
            </w:tcMar>
            <w:vAlign w:val="bottom"/>
          </w:tcPr>
          <w:p w14:paraId="7B66DF55" w14:textId="77777777" w:rsidR="0040300B" w:rsidRDefault="00BB2D44">
            <w:pPr>
              <w:textAlignment w:val="bottom"/>
            </w:pPr>
            <w:r>
              <w:rPr>
                <w:rFonts w:ascii="Times New Roman" w:eastAsia="宋体" w:hAnsi="Times New Roman"/>
                <w:color w:val="000000"/>
                <w:sz w:val="19"/>
                <w:szCs w:val="19"/>
              </w:rPr>
              <w:t>Deferred revenue</w:t>
            </w:r>
          </w:p>
        </w:tc>
        <w:tc>
          <w:tcPr>
            <w:tcW w:w="0" w:type="auto"/>
            <w:gridSpan w:val="2"/>
            <w:shd w:val="clear" w:color="auto" w:fill="FFFFFF"/>
            <w:tcMar>
              <w:top w:w="40" w:type="dxa"/>
              <w:left w:w="20" w:type="dxa"/>
              <w:bottom w:w="40" w:type="dxa"/>
              <w:right w:w="0" w:type="dxa"/>
            </w:tcMar>
            <w:vAlign w:val="bottom"/>
          </w:tcPr>
          <w:p w14:paraId="7B66DF56" w14:textId="77777777" w:rsidR="0040300B" w:rsidRDefault="00BB2D44">
            <w:pPr>
              <w:jc w:val="right"/>
              <w:textAlignment w:val="bottom"/>
            </w:pPr>
            <w:r>
              <w:rPr>
                <w:rFonts w:ascii="Times New Roman" w:eastAsia="宋体" w:hAnsi="Times New Roman"/>
                <w:color w:val="000000"/>
                <w:sz w:val="19"/>
                <w:szCs w:val="19"/>
              </w:rPr>
              <w:t>9,397 </w:t>
            </w:r>
          </w:p>
        </w:tc>
        <w:tc>
          <w:tcPr>
            <w:tcW w:w="0" w:type="auto"/>
            <w:shd w:val="clear" w:color="auto" w:fill="FFFFFF"/>
            <w:tcMar>
              <w:top w:w="40" w:type="dxa"/>
              <w:left w:w="0" w:type="dxa"/>
              <w:bottom w:w="40" w:type="dxa"/>
              <w:right w:w="20" w:type="dxa"/>
            </w:tcMar>
            <w:vAlign w:val="bottom"/>
          </w:tcPr>
          <w:p w14:paraId="7B66DF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5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59" w14:textId="77777777" w:rsidR="0040300B" w:rsidRDefault="00BB2D44">
            <w:pPr>
              <w:jc w:val="right"/>
              <w:textAlignment w:val="bottom"/>
            </w:pPr>
            <w:r>
              <w:rPr>
                <w:rFonts w:ascii="Times New Roman" w:eastAsia="宋体" w:hAnsi="Times New Roman"/>
                <w:color w:val="000000"/>
                <w:sz w:val="19"/>
                <w:szCs w:val="19"/>
              </w:rPr>
              <w:t>9,040 </w:t>
            </w:r>
          </w:p>
        </w:tc>
        <w:tc>
          <w:tcPr>
            <w:tcW w:w="0" w:type="auto"/>
            <w:shd w:val="clear" w:color="auto" w:fill="FFFFFF"/>
            <w:tcMar>
              <w:top w:w="40" w:type="dxa"/>
              <w:left w:w="0" w:type="dxa"/>
              <w:bottom w:w="40" w:type="dxa"/>
              <w:right w:w="20" w:type="dxa"/>
            </w:tcMar>
            <w:vAlign w:val="bottom"/>
          </w:tcPr>
          <w:p w14:paraId="7B66DF5A" w14:textId="77777777" w:rsidR="0040300B" w:rsidRDefault="0040300B">
            <w:pPr>
              <w:jc w:val="right"/>
              <w:rPr>
                <w:rFonts w:ascii="宋体"/>
              </w:rPr>
            </w:pPr>
          </w:p>
        </w:tc>
      </w:tr>
      <w:tr w:rsidR="0040300B" w14:paraId="7B66DF62" w14:textId="77777777">
        <w:trPr>
          <w:jc w:val="center"/>
        </w:trPr>
        <w:tc>
          <w:tcPr>
            <w:tcW w:w="0" w:type="auto"/>
            <w:gridSpan w:val="3"/>
            <w:shd w:val="clear" w:color="auto" w:fill="CCEEFF"/>
            <w:tcMar>
              <w:top w:w="40" w:type="dxa"/>
              <w:left w:w="20" w:type="dxa"/>
              <w:bottom w:w="40" w:type="dxa"/>
              <w:right w:w="20" w:type="dxa"/>
            </w:tcMar>
            <w:vAlign w:val="bottom"/>
          </w:tcPr>
          <w:p w14:paraId="7B66DF5C" w14:textId="77777777" w:rsidR="0040300B" w:rsidRDefault="00BB2D44">
            <w:pPr>
              <w:textAlignment w:val="bottom"/>
            </w:pPr>
            <w:r>
              <w:rPr>
                <w:rFonts w:ascii="Times New Roman" w:eastAsia="宋体" w:hAnsi="Times New Roman"/>
                <w:color w:val="000000"/>
                <w:sz w:val="19"/>
                <w:szCs w:val="19"/>
              </w:rPr>
              <w:t xml:space="preserve">Other </w:t>
            </w:r>
            <w:r>
              <w:rPr>
                <w:rFonts w:ascii="Times New Roman" w:eastAsia="宋体" w:hAnsi="Times New Roman"/>
                <w:color w:val="000000"/>
                <w:sz w:val="19"/>
                <w:szCs w:val="19"/>
              </w:rPr>
              <w:t>long-term liabilities</w:t>
            </w:r>
          </w:p>
        </w:tc>
        <w:tc>
          <w:tcPr>
            <w:tcW w:w="0" w:type="auto"/>
            <w:gridSpan w:val="2"/>
            <w:shd w:val="clear" w:color="auto" w:fill="CCEEFF"/>
            <w:tcMar>
              <w:top w:w="40" w:type="dxa"/>
              <w:left w:w="20" w:type="dxa"/>
              <w:bottom w:w="40" w:type="dxa"/>
              <w:right w:w="0" w:type="dxa"/>
            </w:tcMar>
            <w:vAlign w:val="bottom"/>
          </w:tcPr>
          <w:p w14:paraId="7B66DF5D" w14:textId="77777777" w:rsidR="0040300B" w:rsidRDefault="00BB2D44">
            <w:pPr>
              <w:jc w:val="right"/>
              <w:textAlignment w:val="bottom"/>
            </w:pPr>
            <w:r>
              <w:rPr>
                <w:rFonts w:ascii="Times New Roman" w:eastAsia="宋体" w:hAnsi="Times New Roman"/>
                <w:color w:val="000000"/>
                <w:sz w:val="19"/>
                <w:szCs w:val="19"/>
              </w:rPr>
              <w:t>2,253 </w:t>
            </w:r>
          </w:p>
        </w:tc>
        <w:tc>
          <w:tcPr>
            <w:tcW w:w="0" w:type="auto"/>
            <w:shd w:val="clear" w:color="auto" w:fill="CCEEFF"/>
            <w:tcMar>
              <w:top w:w="40" w:type="dxa"/>
              <w:left w:w="0" w:type="dxa"/>
              <w:bottom w:w="40" w:type="dxa"/>
              <w:right w:w="20" w:type="dxa"/>
            </w:tcMar>
            <w:vAlign w:val="bottom"/>
          </w:tcPr>
          <w:p w14:paraId="7B66DF5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5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60" w14:textId="77777777" w:rsidR="0040300B" w:rsidRDefault="00BB2D44">
            <w:pPr>
              <w:jc w:val="right"/>
              <w:textAlignment w:val="bottom"/>
            </w:pPr>
            <w:r>
              <w:rPr>
                <w:rFonts w:ascii="Times New Roman" w:eastAsia="宋体" w:hAnsi="Times New Roman"/>
                <w:color w:val="000000"/>
                <w:sz w:val="19"/>
                <w:szCs w:val="19"/>
              </w:rPr>
              <w:t>2,147 </w:t>
            </w:r>
          </w:p>
        </w:tc>
        <w:tc>
          <w:tcPr>
            <w:tcW w:w="0" w:type="auto"/>
            <w:shd w:val="clear" w:color="auto" w:fill="CCEEFF"/>
            <w:tcMar>
              <w:top w:w="40" w:type="dxa"/>
              <w:left w:w="0" w:type="dxa"/>
              <w:bottom w:w="40" w:type="dxa"/>
              <w:right w:w="20" w:type="dxa"/>
            </w:tcMar>
            <w:vAlign w:val="bottom"/>
          </w:tcPr>
          <w:p w14:paraId="7B66DF61" w14:textId="77777777" w:rsidR="0040300B" w:rsidRDefault="0040300B">
            <w:pPr>
              <w:jc w:val="right"/>
              <w:rPr>
                <w:rFonts w:ascii="宋体"/>
              </w:rPr>
            </w:pPr>
          </w:p>
        </w:tc>
      </w:tr>
      <w:tr w:rsidR="0040300B" w14:paraId="7B66DF69" w14:textId="77777777">
        <w:trPr>
          <w:jc w:val="center"/>
        </w:trPr>
        <w:tc>
          <w:tcPr>
            <w:tcW w:w="0" w:type="auto"/>
            <w:gridSpan w:val="3"/>
            <w:shd w:val="clear" w:color="auto" w:fill="FFFFFF"/>
            <w:tcMar>
              <w:top w:w="40" w:type="dxa"/>
              <w:left w:w="740" w:type="dxa"/>
              <w:bottom w:w="40" w:type="dxa"/>
              <w:right w:w="20" w:type="dxa"/>
            </w:tcMar>
            <w:vAlign w:val="bottom"/>
          </w:tcPr>
          <w:p w14:paraId="7B66DF63" w14:textId="77777777" w:rsidR="0040300B" w:rsidRDefault="00BB2D44">
            <w:pPr>
              <w:textAlignment w:val="bottom"/>
            </w:pPr>
            <w:r>
              <w:rPr>
                <w:rFonts w:ascii="Times New Roman" w:eastAsia="宋体" w:hAnsi="Times New Roman"/>
                <w:color w:val="000000"/>
                <w:sz w:val="19"/>
                <w:szCs w:val="19"/>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64" w14:textId="77777777" w:rsidR="0040300B" w:rsidRDefault="00BB2D44">
            <w:pPr>
              <w:jc w:val="right"/>
              <w:textAlignment w:val="bottom"/>
            </w:pPr>
            <w:r>
              <w:rPr>
                <w:rFonts w:ascii="Times New Roman" w:eastAsia="宋体" w:hAnsi="Times New Roman"/>
                <w:color w:val="000000"/>
                <w:sz w:val="19"/>
                <w:szCs w:val="19"/>
              </w:rPr>
              <w:t>53,691 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6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66"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67" w14:textId="77777777" w:rsidR="0040300B" w:rsidRDefault="00BB2D44">
            <w:pPr>
              <w:jc w:val="right"/>
              <w:textAlignment w:val="bottom"/>
            </w:pPr>
            <w:r>
              <w:rPr>
                <w:rFonts w:ascii="Times New Roman" w:eastAsia="宋体" w:hAnsi="Times New Roman"/>
                <w:color w:val="000000"/>
                <w:sz w:val="19"/>
                <w:szCs w:val="19"/>
              </w:rPr>
              <w:t>56,933 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68" w14:textId="77777777" w:rsidR="0040300B" w:rsidRDefault="0040300B">
            <w:pPr>
              <w:jc w:val="right"/>
              <w:rPr>
                <w:rFonts w:ascii="宋体"/>
              </w:rPr>
            </w:pPr>
          </w:p>
        </w:tc>
      </w:tr>
      <w:tr w:rsidR="0040300B" w14:paraId="7B66DF6E" w14:textId="77777777">
        <w:trPr>
          <w:jc w:val="center"/>
        </w:trPr>
        <w:tc>
          <w:tcPr>
            <w:tcW w:w="0" w:type="auto"/>
            <w:gridSpan w:val="3"/>
            <w:shd w:val="clear" w:color="auto" w:fill="CCEEFF"/>
            <w:tcMar>
              <w:top w:w="40" w:type="dxa"/>
              <w:left w:w="20" w:type="dxa"/>
              <w:bottom w:w="40" w:type="dxa"/>
              <w:right w:w="20" w:type="dxa"/>
            </w:tcMar>
            <w:vAlign w:val="bottom"/>
          </w:tcPr>
          <w:p w14:paraId="7B66DF6A" w14:textId="77777777" w:rsidR="0040300B" w:rsidRDefault="00BB2D44">
            <w:pPr>
              <w:textAlignment w:val="bottom"/>
            </w:pPr>
            <w:r>
              <w:rPr>
                <w:rFonts w:ascii="Times New Roman" w:eastAsia="宋体" w:hAnsi="Times New Roman"/>
                <w:color w:val="000000"/>
                <w:sz w:val="19"/>
                <w:szCs w:val="19"/>
              </w:rPr>
              <w:t>Commitments and contingencies (Note 14)</w:t>
            </w:r>
          </w:p>
        </w:tc>
        <w:tc>
          <w:tcPr>
            <w:tcW w:w="0" w:type="auto"/>
            <w:gridSpan w:val="3"/>
            <w:tcBorders>
              <w:top w:val="single" w:sz="8" w:space="0" w:color="000000"/>
            </w:tcBorders>
            <w:shd w:val="clear" w:color="auto" w:fill="CCEEFF"/>
            <w:tcMar>
              <w:top w:w="0" w:type="dxa"/>
              <w:left w:w="20" w:type="dxa"/>
              <w:bottom w:w="0" w:type="dxa"/>
              <w:right w:w="20" w:type="dxa"/>
            </w:tcMar>
          </w:tcPr>
          <w:p w14:paraId="7B66DF6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6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DF6D" w14:textId="77777777" w:rsidR="0040300B" w:rsidRDefault="0040300B">
            <w:pPr>
              <w:rPr>
                <w:rFonts w:ascii="宋体"/>
              </w:rPr>
            </w:pPr>
          </w:p>
        </w:tc>
      </w:tr>
      <w:tr w:rsidR="0040300B" w14:paraId="7B66DF73" w14:textId="77777777">
        <w:trPr>
          <w:jc w:val="center"/>
        </w:trPr>
        <w:tc>
          <w:tcPr>
            <w:tcW w:w="0" w:type="auto"/>
            <w:gridSpan w:val="3"/>
            <w:shd w:val="clear" w:color="auto" w:fill="FFFFFF"/>
            <w:tcMar>
              <w:top w:w="40" w:type="dxa"/>
              <w:left w:w="20" w:type="dxa"/>
              <w:bottom w:w="40" w:type="dxa"/>
              <w:right w:w="20" w:type="dxa"/>
            </w:tcMar>
            <w:vAlign w:val="bottom"/>
          </w:tcPr>
          <w:p w14:paraId="7B66DF6F" w14:textId="77777777" w:rsidR="0040300B" w:rsidRDefault="00BB2D44">
            <w:pPr>
              <w:textAlignment w:val="bottom"/>
            </w:pPr>
            <w:r>
              <w:rPr>
                <w:rFonts w:ascii="Times New Roman" w:eastAsia="宋体" w:hAnsi="Times New Roman"/>
                <w:color w:val="000000"/>
                <w:sz w:val="19"/>
                <w:szCs w:val="19"/>
              </w:rPr>
              <w:t>Equity:</w:t>
            </w:r>
          </w:p>
        </w:tc>
        <w:tc>
          <w:tcPr>
            <w:tcW w:w="0" w:type="auto"/>
            <w:gridSpan w:val="3"/>
            <w:shd w:val="clear" w:color="auto" w:fill="FFFFFF"/>
            <w:tcMar>
              <w:top w:w="0" w:type="dxa"/>
              <w:left w:w="20" w:type="dxa"/>
              <w:bottom w:w="0" w:type="dxa"/>
              <w:right w:w="20" w:type="dxa"/>
            </w:tcMar>
          </w:tcPr>
          <w:p w14:paraId="7B66DF7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F7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DF72" w14:textId="77777777" w:rsidR="0040300B" w:rsidRDefault="0040300B">
            <w:pPr>
              <w:rPr>
                <w:rFonts w:ascii="宋体"/>
              </w:rPr>
            </w:pPr>
          </w:p>
        </w:tc>
      </w:tr>
      <w:tr w:rsidR="0040300B" w14:paraId="7B66DF78" w14:textId="77777777">
        <w:trPr>
          <w:jc w:val="center"/>
        </w:trPr>
        <w:tc>
          <w:tcPr>
            <w:tcW w:w="0" w:type="auto"/>
            <w:gridSpan w:val="3"/>
            <w:shd w:val="clear" w:color="auto" w:fill="CCEEFF"/>
            <w:tcMar>
              <w:top w:w="40" w:type="dxa"/>
              <w:left w:w="380" w:type="dxa"/>
              <w:bottom w:w="40" w:type="dxa"/>
              <w:right w:w="20" w:type="dxa"/>
            </w:tcMar>
            <w:vAlign w:val="bottom"/>
          </w:tcPr>
          <w:p w14:paraId="7B66DF74" w14:textId="77777777" w:rsidR="0040300B" w:rsidRDefault="00BB2D44">
            <w:pPr>
              <w:textAlignment w:val="bottom"/>
            </w:pPr>
            <w:r>
              <w:rPr>
                <w:rFonts w:ascii="Times New Roman" w:eastAsia="宋体" w:hAnsi="Times New Roman"/>
                <w:color w:val="000000"/>
                <w:sz w:val="19"/>
                <w:szCs w:val="19"/>
              </w:rPr>
              <w:t>Cisco stockholders’ equity:</w:t>
            </w:r>
          </w:p>
        </w:tc>
        <w:tc>
          <w:tcPr>
            <w:tcW w:w="0" w:type="auto"/>
            <w:gridSpan w:val="3"/>
            <w:shd w:val="clear" w:color="auto" w:fill="CCEEFF"/>
            <w:tcMar>
              <w:top w:w="0" w:type="dxa"/>
              <w:left w:w="20" w:type="dxa"/>
              <w:bottom w:w="0" w:type="dxa"/>
              <w:right w:w="20" w:type="dxa"/>
            </w:tcMar>
          </w:tcPr>
          <w:p w14:paraId="7B66DF7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7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77" w14:textId="77777777" w:rsidR="0040300B" w:rsidRDefault="0040300B">
            <w:pPr>
              <w:rPr>
                <w:rFonts w:ascii="宋体"/>
              </w:rPr>
            </w:pPr>
          </w:p>
        </w:tc>
      </w:tr>
      <w:tr w:rsidR="0040300B" w14:paraId="7B66DF7F" w14:textId="77777777">
        <w:trPr>
          <w:jc w:val="center"/>
        </w:trPr>
        <w:tc>
          <w:tcPr>
            <w:tcW w:w="0" w:type="auto"/>
            <w:gridSpan w:val="3"/>
            <w:shd w:val="clear" w:color="auto" w:fill="FFFFFF"/>
            <w:tcMar>
              <w:top w:w="40" w:type="dxa"/>
              <w:left w:w="20" w:type="dxa"/>
              <w:bottom w:w="40" w:type="dxa"/>
              <w:right w:w="20" w:type="dxa"/>
            </w:tcMar>
            <w:vAlign w:val="bottom"/>
          </w:tcPr>
          <w:p w14:paraId="7B66DF79" w14:textId="77777777" w:rsidR="0040300B" w:rsidRDefault="00BB2D44">
            <w:pPr>
              <w:textAlignment w:val="bottom"/>
            </w:pPr>
            <w:r>
              <w:rPr>
                <w:rFonts w:ascii="Times New Roman" w:eastAsia="宋体" w:hAnsi="Times New Roman"/>
                <w:color w:val="000000"/>
                <w:sz w:val="19"/>
                <w:szCs w:val="19"/>
              </w:rPr>
              <w:t xml:space="preserve">Preferred stock, $0.001 par value: 5 shares authorized; none issued and </w:t>
            </w:r>
            <w:r>
              <w:rPr>
                <w:rFonts w:ascii="Times New Roman" w:eastAsia="宋体" w:hAnsi="Times New Roman"/>
                <w:color w:val="000000"/>
                <w:sz w:val="19"/>
                <w:szCs w:val="19"/>
              </w:rPr>
              <w:t>outstanding</w:t>
            </w:r>
          </w:p>
        </w:tc>
        <w:tc>
          <w:tcPr>
            <w:tcW w:w="0" w:type="auto"/>
            <w:gridSpan w:val="2"/>
            <w:shd w:val="clear" w:color="auto" w:fill="FFFFFF"/>
            <w:tcMar>
              <w:top w:w="40" w:type="dxa"/>
              <w:left w:w="20" w:type="dxa"/>
              <w:bottom w:w="40" w:type="dxa"/>
              <w:right w:w="0" w:type="dxa"/>
            </w:tcMar>
            <w:vAlign w:val="bottom"/>
          </w:tcPr>
          <w:p w14:paraId="7B66DF7A"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DF7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7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7D"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DF7E" w14:textId="77777777" w:rsidR="0040300B" w:rsidRDefault="0040300B">
            <w:pPr>
              <w:jc w:val="right"/>
              <w:rPr>
                <w:rFonts w:ascii="宋体"/>
              </w:rPr>
            </w:pPr>
          </w:p>
        </w:tc>
      </w:tr>
      <w:tr w:rsidR="0040300B" w14:paraId="7B66DF86" w14:textId="77777777">
        <w:trPr>
          <w:jc w:val="center"/>
        </w:trPr>
        <w:tc>
          <w:tcPr>
            <w:tcW w:w="0" w:type="auto"/>
            <w:gridSpan w:val="3"/>
            <w:shd w:val="clear" w:color="auto" w:fill="CCEEFF"/>
            <w:tcMar>
              <w:top w:w="40" w:type="dxa"/>
              <w:left w:w="20" w:type="dxa"/>
              <w:bottom w:w="40" w:type="dxa"/>
              <w:right w:w="20" w:type="dxa"/>
            </w:tcMar>
            <w:vAlign w:val="bottom"/>
          </w:tcPr>
          <w:p w14:paraId="7B66DF80" w14:textId="77777777" w:rsidR="0040300B" w:rsidRDefault="00BB2D44">
            <w:pPr>
              <w:textAlignment w:val="bottom"/>
            </w:pPr>
            <w:r>
              <w:rPr>
                <w:rFonts w:ascii="Times New Roman" w:eastAsia="宋体" w:hAnsi="Times New Roman"/>
                <w:color w:val="000000"/>
                <w:sz w:val="19"/>
                <w:szCs w:val="19"/>
              </w:rPr>
              <w:t>Common stock, $0.001 par value, and additional paid-in capital: 20,000 shares authorized; 4,215 and 4,237 shares issued and outstanding at May 1, 2021 and July 25, 2020, respectively</w:t>
            </w:r>
          </w:p>
        </w:tc>
        <w:tc>
          <w:tcPr>
            <w:tcW w:w="0" w:type="auto"/>
            <w:gridSpan w:val="2"/>
            <w:shd w:val="clear" w:color="auto" w:fill="CCEEFF"/>
            <w:tcMar>
              <w:top w:w="40" w:type="dxa"/>
              <w:left w:w="20" w:type="dxa"/>
              <w:bottom w:w="40" w:type="dxa"/>
              <w:right w:w="0" w:type="dxa"/>
            </w:tcMar>
            <w:vAlign w:val="bottom"/>
          </w:tcPr>
          <w:p w14:paraId="7B66DF81" w14:textId="77777777" w:rsidR="0040300B" w:rsidRDefault="00BB2D44">
            <w:pPr>
              <w:jc w:val="right"/>
              <w:textAlignment w:val="bottom"/>
            </w:pPr>
            <w:r>
              <w:rPr>
                <w:rFonts w:ascii="Times New Roman" w:eastAsia="宋体" w:hAnsi="Times New Roman"/>
                <w:color w:val="000000"/>
                <w:sz w:val="19"/>
                <w:szCs w:val="19"/>
              </w:rPr>
              <w:t>41,949 </w:t>
            </w:r>
          </w:p>
        </w:tc>
        <w:tc>
          <w:tcPr>
            <w:tcW w:w="0" w:type="auto"/>
            <w:shd w:val="clear" w:color="auto" w:fill="CCEEFF"/>
            <w:tcMar>
              <w:top w:w="40" w:type="dxa"/>
              <w:left w:w="0" w:type="dxa"/>
              <w:bottom w:w="40" w:type="dxa"/>
              <w:right w:w="20" w:type="dxa"/>
            </w:tcMar>
            <w:vAlign w:val="bottom"/>
          </w:tcPr>
          <w:p w14:paraId="7B66DF8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8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84" w14:textId="77777777" w:rsidR="0040300B" w:rsidRDefault="00BB2D44">
            <w:pPr>
              <w:jc w:val="right"/>
              <w:textAlignment w:val="bottom"/>
            </w:pPr>
            <w:r>
              <w:rPr>
                <w:rFonts w:ascii="Times New Roman" w:eastAsia="宋体" w:hAnsi="Times New Roman"/>
                <w:color w:val="000000"/>
                <w:sz w:val="19"/>
                <w:szCs w:val="19"/>
              </w:rPr>
              <w:t>41,202 </w:t>
            </w:r>
          </w:p>
        </w:tc>
        <w:tc>
          <w:tcPr>
            <w:tcW w:w="0" w:type="auto"/>
            <w:shd w:val="clear" w:color="auto" w:fill="CCEEFF"/>
            <w:tcMar>
              <w:top w:w="40" w:type="dxa"/>
              <w:left w:w="0" w:type="dxa"/>
              <w:bottom w:w="40" w:type="dxa"/>
              <w:right w:w="20" w:type="dxa"/>
            </w:tcMar>
            <w:vAlign w:val="bottom"/>
          </w:tcPr>
          <w:p w14:paraId="7B66DF85" w14:textId="77777777" w:rsidR="0040300B" w:rsidRDefault="0040300B">
            <w:pPr>
              <w:jc w:val="right"/>
              <w:rPr>
                <w:rFonts w:ascii="宋体"/>
              </w:rPr>
            </w:pPr>
          </w:p>
        </w:tc>
      </w:tr>
      <w:tr w:rsidR="0040300B" w14:paraId="7B66DF8D" w14:textId="77777777">
        <w:trPr>
          <w:jc w:val="center"/>
        </w:trPr>
        <w:tc>
          <w:tcPr>
            <w:tcW w:w="0" w:type="auto"/>
            <w:gridSpan w:val="3"/>
            <w:shd w:val="clear" w:color="auto" w:fill="FFFFFF"/>
            <w:tcMar>
              <w:top w:w="40" w:type="dxa"/>
              <w:left w:w="380" w:type="dxa"/>
              <w:bottom w:w="40" w:type="dxa"/>
              <w:right w:w="20" w:type="dxa"/>
            </w:tcMar>
            <w:vAlign w:val="bottom"/>
          </w:tcPr>
          <w:p w14:paraId="7B66DF87" w14:textId="77777777" w:rsidR="0040300B" w:rsidRDefault="00BB2D44">
            <w:pPr>
              <w:textAlignment w:val="bottom"/>
            </w:pPr>
            <w:r>
              <w:rPr>
                <w:rFonts w:ascii="Times New Roman" w:eastAsia="宋体" w:hAnsi="Times New Roman"/>
                <w:color w:val="000000"/>
                <w:sz w:val="19"/>
                <w:szCs w:val="19"/>
              </w:rPr>
              <w:t>Accumulated deficit</w:t>
            </w:r>
          </w:p>
        </w:tc>
        <w:tc>
          <w:tcPr>
            <w:tcW w:w="0" w:type="auto"/>
            <w:gridSpan w:val="2"/>
            <w:shd w:val="clear" w:color="auto" w:fill="FFFFFF"/>
            <w:tcMar>
              <w:top w:w="40" w:type="dxa"/>
              <w:left w:w="20" w:type="dxa"/>
              <w:bottom w:w="40" w:type="dxa"/>
              <w:right w:w="0" w:type="dxa"/>
            </w:tcMar>
            <w:vAlign w:val="bottom"/>
          </w:tcPr>
          <w:p w14:paraId="7B66DF88" w14:textId="77777777" w:rsidR="0040300B" w:rsidRDefault="00BB2D44">
            <w:pPr>
              <w:jc w:val="right"/>
              <w:textAlignment w:val="bottom"/>
            </w:pPr>
            <w:r>
              <w:rPr>
                <w:rFonts w:ascii="Times New Roman" w:eastAsia="宋体" w:hAnsi="Times New Roman"/>
                <w:color w:val="000000"/>
                <w:sz w:val="19"/>
                <w:szCs w:val="19"/>
              </w:rPr>
              <w:t>(1,456)</w:t>
            </w:r>
          </w:p>
        </w:tc>
        <w:tc>
          <w:tcPr>
            <w:tcW w:w="0" w:type="auto"/>
            <w:shd w:val="clear" w:color="auto" w:fill="FFFFFF"/>
            <w:tcMar>
              <w:top w:w="40" w:type="dxa"/>
              <w:left w:w="0" w:type="dxa"/>
              <w:bottom w:w="40" w:type="dxa"/>
              <w:right w:w="20" w:type="dxa"/>
            </w:tcMar>
            <w:vAlign w:val="bottom"/>
          </w:tcPr>
          <w:p w14:paraId="7B66DF8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8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DF8B" w14:textId="77777777" w:rsidR="0040300B" w:rsidRDefault="00BB2D44">
            <w:pPr>
              <w:jc w:val="right"/>
              <w:textAlignment w:val="bottom"/>
            </w:pPr>
            <w:r>
              <w:rPr>
                <w:rFonts w:ascii="Times New Roman" w:eastAsia="宋体" w:hAnsi="Times New Roman"/>
                <w:color w:val="000000"/>
                <w:sz w:val="19"/>
                <w:szCs w:val="19"/>
              </w:rPr>
              <w:t>(2,763)</w:t>
            </w:r>
          </w:p>
        </w:tc>
        <w:tc>
          <w:tcPr>
            <w:tcW w:w="0" w:type="auto"/>
            <w:shd w:val="clear" w:color="auto" w:fill="FFFFFF"/>
            <w:tcMar>
              <w:top w:w="40" w:type="dxa"/>
              <w:left w:w="0" w:type="dxa"/>
              <w:bottom w:w="40" w:type="dxa"/>
              <w:right w:w="20" w:type="dxa"/>
            </w:tcMar>
            <w:vAlign w:val="bottom"/>
          </w:tcPr>
          <w:p w14:paraId="7B66DF8C" w14:textId="77777777" w:rsidR="0040300B" w:rsidRDefault="0040300B">
            <w:pPr>
              <w:jc w:val="right"/>
              <w:rPr>
                <w:rFonts w:ascii="宋体"/>
              </w:rPr>
            </w:pPr>
          </w:p>
        </w:tc>
      </w:tr>
      <w:tr w:rsidR="0040300B" w14:paraId="7B66DF94" w14:textId="77777777">
        <w:trPr>
          <w:jc w:val="center"/>
        </w:trPr>
        <w:tc>
          <w:tcPr>
            <w:tcW w:w="0" w:type="auto"/>
            <w:gridSpan w:val="3"/>
            <w:shd w:val="clear" w:color="auto" w:fill="CCEEFF"/>
            <w:tcMar>
              <w:top w:w="40" w:type="dxa"/>
              <w:left w:w="380" w:type="dxa"/>
              <w:bottom w:w="40" w:type="dxa"/>
              <w:right w:w="20" w:type="dxa"/>
            </w:tcMar>
            <w:vAlign w:val="bottom"/>
          </w:tcPr>
          <w:p w14:paraId="7B66DF8E" w14:textId="77777777" w:rsidR="0040300B" w:rsidRDefault="00BB2D44">
            <w:pPr>
              <w:textAlignment w:val="bottom"/>
            </w:pPr>
            <w:r>
              <w:rPr>
                <w:rFonts w:ascii="Times New Roman" w:eastAsia="宋体" w:hAnsi="Times New Roman"/>
                <w:color w:val="000000"/>
                <w:sz w:val="19"/>
                <w:szCs w:val="19"/>
              </w:rPr>
              <w:t>Accumulated other comprehensive loss</w:t>
            </w:r>
          </w:p>
        </w:tc>
        <w:tc>
          <w:tcPr>
            <w:tcW w:w="0" w:type="auto"/>
            <w:gridSpan w:val="2"/>
            <w:shd w:val="clear" w:color="auto" w:fill="CCEEFF"/>
            <w:tcMar>
              <w:top w:w="40" w:type="dxa"/>
              <w:left w:w="20" w:type="dxa"/>
              <w:bottom w:w="40" w:type="dxa"/>
              <w:right w:w="0" w:type="dxa"/>
            </w:tcMar>
            <w:vAlign w:val="bottom"/>
          </w:tcPr>
          <w:p w14:paraId="7B66DF8F" w14:textId="77777777" w:rsidR="0040300B" w:rsidRDefault="00BB2D44">
            <w:pPr>
              <w:jc w:val="right"/>
              <w:textAlignment w:val="bottom"/>
            </w:pPr>
            <w:r>
              <w:rPr>
                <w:rFonts w:ascii="Times New Roman" w:eastAsia="宋体" w:hAnsi="Times New Roman"/>
                <w:color w:val="000000"/>
                <w:sz w:val="19"/>
                <w:szCs w:val="19"/>
              </w:rPr>
              <w:t>(288)</w:t>
            </w:r>
          </w:p>
        </w:tc>
        <w:tc>
          <w:tcPr>
            <w:tcW w:w="0" w:type="auto"/>
            <w:shd w:val="clear" w:color="auto" w:fill="CCEEFF"/>
            <w:tcMar>
              <w:top w:w="40" w:type="dxa"/>
              <w:left w:w="0" w:type="dxa"/>
              <w:bottom w:w="40" w:type="dxa"/>
              <w:right w:w="20" w:type="dxa"/>
            </w:tcMar>
            <w:vAlign w:val="bottom"/>
          </w:tcPr>
          <w:p w14:paraId="7B66DF9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9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92" w14:textId="77777777" w:rsidR="0040300B" w:rsidRDefault="00BB2D44">
            <w:pPr>
              <w:jc w:val="right"/>
              <w:textAlignment w:val="bottom"/>
            </w:pPr>
            <w:r>
              <w:rPr>
                <w:rFonts w:ascii="Times New Roman" w:eastAsia="宋体" w:hAnsi="Times New Roman"/>
                <w:color w:val="000000"/>
                <w:sz w:val="19"/>
                <w:szCs w:val="19"/>
              </w:rPr>
              <w:t>(519)</w:t>
            </w:r>
          </w:p>
        </w:tc>
        <w:tc>
          <w:tcPr>
            <w:tcW w:w="0" w:type="auto"/>
            <w:shd w:val="clear" w:color="auto" w:fill="CCEEFF"/>
            <w:tcMar>
              <w:top w:w="40" w:type="dxa"/>
              <w:left w:w="0" w:type="dxa"/>
              <w:bottom w:w="40" w:type="dxa"/>
              <w:right w:w="20" w:type="dxa"/>
            </w:tcMar>
            <w:vAlign w:val="bottom"/>
          </w:tcPr>
          <w:p w14:paraId="7B66DF93" w14:textId="77777777" w:rsidR="0040300B" w:rsidRDefault="0040300B">
            <w:pPr>
              <w:jc w:val="right"/>
              <w:rPr>
                <w:rFonts w:ascii="宋体"/>
              </w:rPr>
            </w:pPr>
          </w:p>
        </w:tc>
      </w:tr>
      <w:tr w:rsidR="0040300B" w14:paraId="7B66DF9B" w14:textId="77777777">
        <w:trPr>
          <w:jc w:val="center"/>
        </w:trPr>
        <w:tc>
          <w:tcPr>
            <w:tcW w:w="0" w:type="auto"/>
            <w:gridSpan w:val="3"/>
            <w:shd w:val="clear" w:color="auto" w:fill="FFFFFF"/>
            <w:tcMar>
              <w:top w:w="40" w:type="dxa"/>
              <w:left w:w="740" w:type="dxa"/>
              <w:bottom w:w="40" w:type="dxa"/>
              <w:right w:w="20" w:type="dxa"/>
            </w:tcMar>
            <w:vAlign w:val="bottom"/>
          </w:tcPr>
          <w:p w14:paraId="7B66DF95" w14:textId="77777777" w:rsidR="0040300B" w:rsidRDefault="00BB2D44">
            <w:pPr>
              <w:textAlignment w:val="bottom"/>
            </w:pPr>
            <w:r>
              <w:rPr>
                <w:rFonts w:ascii="Times New Roman" w:eastAsia="宋体" w:hAnsi="Times New Roman"/>
                <w:color w:val="000000"/>
                <w:sz w:val="19"/>
                <w:szCs w:val="19"/>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96" w14:textId="77777777" w:rsidR="0040300B" w:rsidRDefault="00BB2D44">
            <w:pPr>
              <w:jc w:val="right"/>
              <w:textAlignment w:val="bottom"/>
            </w:pPr>
            <w:r>
              <w:rPr>
                <w:rFonts w:ascii="Times New Roman" w:eastAsia="宋体" w:hAnsi="Times New Roman"/>
                <w:color w:val="000000"/>
                <w:sz w:val="19"/>
                <w:szCs w:val="19"/>
              </w:rPr>
              <w:t>40,205 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98"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99" w14:textId="77777777" w:rsidR="0040300B" w:rsidRDefault="00BB2D44">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9A" w14:textId="77777777" w:rsidR="0040300B" w:rsidRDefault="0040300B">
            <w:pPr>
              <w:jc w:val="right"/>
              <w:rPr>
                <w:rFonts w:ascii="宋体"/>
              </w:rPr>
            </w:pPr>
          </w:p>
        </w:tc>
      </w:tr>
      <w:tr w:rsidR="0040300B" w14:paraId="7B66DFA4" w14:textId="77777777">
        <w:trPr>
          <w:jc w:val="center"/>
        </w:trPr>
        <w:tc>
          <w:tcPr>
            <w:tcW w:w="0" w:type="auto"/>
            <w:gridSpan w:val="3"/>
            <w:shd w:val="clear" w:color="auto" w:fill="CCEEFF"/>
            <w:tcMar>
              <w:top w:w="40" w:type="dxa"/>
              <w:left w:w="740" w:type="dxa"/>
              <w:bottom w:w="40" w:type="dxa"/>
              <w:right w:w="20" w:type="dxa"/>
            </w:tcMar>
            <w:vAlign w:val="bottom"/>
          </w:tcPr>
          <w:p w14:paraId="7B66DF9C" w14:textId="77777777" w:rsidR="0040300B" w:rsidRDefault="00BB2D44">
            <w:pPr>
              <w:textAlignment w:val="bottom"/>
            </w:pPr>
            <w:r>
              <w:rPr>
                <w:rFonts w:ascii="Times New Roman" w:eastAsia="宋体" w:hAnsi="Times New Roman"/>
                <w:b/>
                <w:bCs/>
                <w:color w:val="000000"/>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DF9D"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DF9E" w14:textId="77777777" w:rsidR="0040300B" w:rsidRDefault="00BB2D44">
            <w:pPr>
              <w:jc w:val="right"/>
              <w:textAlignment w:val="bottom"/>
            </w:pPr>
            <w:r>
              <w:rPr>
                <w:rFonts w:ascii="Times New Roman" w:eastAsia="宋体" w:hAnsi="Times New Roman"/>
                <w:color w:val="000000"/>
                <w:sz w:val="19"/>
                <w:szCs w:val="19"/>
              </w:rPr>
              <w:t>93,896 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DF9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A0"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DFA1"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DFA2" w14:textId="77777777" w:rsidR="0040300B" w:rsidRDefault="00BB2D44">
            <w:pPr>
              <w:jc w:val="right"/>
              <w:textAlignment w:val="bottom"/>
            </w:pPr>
            <w:r>
              <w:rPr>
                <w:rFonts w:ascii="Times New Roman" w:eastAsia="宋体" w:hAnsi="Times New Roman"/>
                <w:color w:val="000000"/>
                <w:sz w:val="19"/>
                <w:szCs w:val="19"/>
              </w:rPr>
              <w:t>94,853 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DFA3" w14:textId="77777777" w:rsidR="0040300B" w:rsidRDefault="0040300B">
            <w:pPr>
              <w:jc w:val="right"/>
              <w:rPr>
                <w:rFonts w:ascii="宋体"/>
              </w:rPr>
            </w:pPr>
          </w:p>
        </w:tc>
      </w:tr>
    </w:tbl>
    <w:p w14:paraId="7B66DFA5" w14:textId="77777777" w:rsidR="0040300B" w:rsidRDefault="00BB2D44">
      <w:pPr>
        <w:spacing w:before="120"/>
        <w:jc w:val="center"/>
      </w:pPr>
      <w:r>
        <w:rPr>
          <w:rFonts w:ascii="Times New Roman" w:eastAsia="宋体" w:hAnsi="Times New Roman"/>
          <w:color w:val="000000"/>
          <w:sz w:val="20"/>
          <w:szCs w:val="20"/>
        </w:rPr>
        <w:t>See Notes to Consolidated Financial Statements.</w:t>
      </w:r>
    </w:p>
    <w:p w14:paraId="7B66DFA6" w14:textId="77777777" w:rsidR="0040300B" w:rsidRDefault="00BB2D44">
      <w:pPr>
        <w:jc w:val="center"/>
      </w:pPr>
      <w:r>
        <w:rPr>
          <w:rFonts w:ascii="Times New Roman" w:eastAsia="宋体" w:hAnsi="Times New Roman"/>
          <w:color w:val="000000"/>
          <w:sz w:val="20"/>
          <w:szCs w:val="20"/>
        </w:rPr>
        <w:t>3</w:t>
      </w:r>
    </w:p>
    <w:p w14:paraId="7B66DFA7" w14:textId="77777777" w:rsidR="0040300B" w:rsidRDefault="00BB2D44">
      <w:r>
        <w:pict w14:anchorId="7B671C13">
          <v:rect id="_x0000_i1027" style="width:415.3pt;height:1.5pt" o:hralign="center" o:hrstd="t" o:hr="t" fillcolor="#a0a0a0" stroked="f"/>
        </w:pict>
      </w:r>
    </w:p>
    <w:p w14:paraId="7B66DFA8" w14:textId="77777777" w:rsidR="0040300B" w:rsidRDefault="00BB2D44">
      <w:hyperlink r:id="rId49" w:anchor="i52d5b40dbad7426a9806a2fd5167029f_7" w:history="1">
        <w:r>
          <w:rPr>
            <w:rStyle w:val="a5"/>
            <w:rFonts w:ascii="Times New Roman" w:eastAsia="宋体" w:hAnsi="Times New Roman"/>
            <w:sz w:val="18"/>
            <w:szCs w:val="18"/>
          </w:rPr>
          <w:t>Table of Contents</w:t>
        </w:r>
      </w:hyperlink>
    </w:p>
    <w:p w14:paraId="7B66DFA9" w14:textId="77777777" w:rsidR="0040300B" w:rsidRDefault="00BB2D44">
      <w:pPr>
        <w:jc w:val="center"/>
      </w:pPr>
      <w:r>
        <w:rPr>
          <w:rFonts w:ascii="Times New Roman" w:eastAsia="宋体" w:hAnsi="Times New Roman"/>
          <w:b/>
          <w:bCs/>
          <w:color w:val="000000"/>
          <w:sz w:val="19"/>
          <w:szCs w:val="19"/>
        </w:rPr>
        <w:t>CISCO SYSTEMS, INC.</w:t>
      </w:r>
    </w:p>
    <w:p w14:paraId="7B66DFAA" w14:textId="77777777" w:rsidR="0040300B" w:rsidRDefault="00BB2D44">
      <w:pPr>
        <w:jc w:val="center"/>
      </w:pPr>
      <w:r>
        <w:rPr>
          <w:rFonts w:ascii="Times New Roman" w:eastAsia="宋体" w:hAnsi="Times New Roman"/>
          <w:b/>
          <w:bCs/>
          <w:color w:val="000000"/>
          <w:sz w:val="19"/>
          <w:szCs w:val="19"/>
        </w:rPr>
        <w:t>CONSOLIDATED STATEMENTS OF OPERATIONS</w:t>
      </w:r>
    </w:p>
    <w:p w14:paraId="7B66DFAB" w14:textId="77777777" w:rsidR="0040300B" w:rsidRDefault="00BB2D44">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7B66DFAC" w14:textId="77777777" w:rsidR="0040300B" w:rsidRDefault="00BB2D44">
      <w:pPr>
        <w:jc w:val="center"/>
      </w:pPr>
      <w:r>
        <w:rPr>
          <w:rFonts w:ascii="Times New Roman" w:eastAsia="宋体" w:hAnsi="Times New Roman"/>
          <w:color w:val="000000"/>
          <w:sz w:val="18"/>
          <w:szCs w:val="18"/>
        </w:rPr>
        <w:t>(Unaudited) </w:t>
      </w:r>
    </w:p>
    <w:tbl>
      <w:tblPr>
        <w:tblW w:w="4993" w:type="pct"/>
        <w:tblCellMar>
          <w:top w:w="15" w:type="dxa"/>
          <w:left w:w="15" w:type="dxa"/>
          <w:bottom w:w="15" w:type="dxa"/>
          <w:right w:w="15" w:type="dxa"/>
        </w:tblCellMar>
        <w:tblLook w:val="04A0" w:firstRow="1" w:lastRow="0" w:firstColumn="1" w:lastColumn="0" w:noHBand="0" w:noVBand="1"/>
      </w:tblPr>
      <w:tblGrid>
        <w:gridCol w:w="39"/>
        <w:gridCol w:w="4094"/>
        <w:gridCol w:w="37"/>
        <w:gridCol w:w="120"/>
        <w:gridCol w:w="833"/>
        <w:gridCol w:w="36"/>
        <w:gridCol w:w="36"/>
        <w:gridCol w:w="36"/>
        <w:gridCol w:w="36"/>
        <w:gridCol w:w="120"/>
        <w:gridCol w:w="791"/>
        <w:gridCol w:w="36"/>
        <w:gridCol w:w="36"/>
        <w:gridCol w:w="36"/>
        <w:gridCol w:w="36"/>
        <w:gridCol w:w="120"/>
        <w:gridCol w:w="791"/>
        <w:gridCol w:w="36"/>
        <w:gridCol w:w="36"/>
        <w:gridCol w:w="36"/>
        <w:gridCol w:w="36"/>
        <w:gridCol w:w="120"/>
        <w:gridCol w:w="791"/>
        <w:gridCol w:w="36"/>
      </w:tblGrid>
      <w:tr w:rsidR="0040300B" w14:paraId="7B66DFC5" w14:textId="77777777">
        <w:tc>
          <w:tcPr>
            <w:tcW w:w="50" w:type="pct"/>
            <w:shd w:val="clear" w:color="auto" w:fill="auto"/>
          </w:tcPr>
          <w:p w14:paraId="7B66DFAD" w14:textId="77777777" w:rsidR="0040300B" w:rsidRDefault="0040300B">
            <w:pPr>
              <w:rPr>
                <w:rFonts w:ascii="宋体"/>
              </w:rPr>
            </w:pPr>
          </w:p>
        </w:tc>
        <w:tc>
          <w:tcPr>
            <w:tcW w:w="2492" w:type="pct"/>
            <w:shd w:val="clear" w:color="auto" w:fill="auto"/>
          </w:tcPr>
          <w:p w14:paraId="7B66DFAE" w14:textId="77777777" w:rsidR="0040300B" w:rsidRDefault="0040300B">
            <w:pPr>
              <w:rPr>
                <w:rFonts w:ascii="宋体"/>
              </w:rPr>
            </w:pPr>
          </w:p>
        </w:tc>
        <w:tc>
          <w:tcPr>
            <w:tcW w:w="5" w:type="pct"/>
            <w:shd w:val="clear" w:color="auto" w:fill="auto"/>
          </w:tcPr>
          <w:p w14:paraId="7B66DFAF" w14:textId="77777777" w:rsidR="0040300B" w:rsidRDefault="0040300B">
            <w:pPr>
              <w:rPr>
                <w:rFonts w:ascii="宋体"/>
              </w:rPr>
            </w:pPr>
          </w:p>
        </w:tc>
        <w:tc>
          <w:tcPr>
            <w:tcW w:w="50" w:type="pct"/>
            <w:shd w:val="clear" w:color="auto" w:fill="auto"/>
          </w:tcPr>
          <w:p w14:paraId="7B66DFB0" w14:textId="77777777" w:rsidR="0040300B" w:rsidRDefault="0040300B">
            <w:pPr>
              <w:rPr>
                <w:rFonts w:ascii="宋体"/>
              </w:rPr>
            </w:pPr>
          </w:p>
        </w:tc>
        <w:tc>
          <w:tcPr>
            <w:tcW w:w="530" w:type="pct"/>
            <w:shd w:val="clear" w:color="auto" w:fill="auto"/>
          </w:tcPr>
          <w:p w14:paraId="7B66DFB1" w14:textId="77777777" w:rsidR="0040300B" w:rsidRDefault="0040300B">
            <w:pPr>
              <w:rPr>
                <w:rFonts w:ascii="宋体"/>
              </w:rPr>
            </w:pPr>
          </w:p>
        </w:tc>
        <w:tc>
          <w:tcPr>
            <w:tcW w:w="5" w:type="pct"/>
            <w:shd w:val="clear" w:color="auto" w:fill="auto"/>
          </w:tcPr>
          <w:p w14:paraId="7B66DFB2" w14:textId="77777777" w:rsidR="0040300B" w:rsidRDefault="0040300B">
            <w:pPr>
              <w:rPr>
                <w:rFonts w:ascii="宋体"/>
              </w:rPr>
            </w:pPr>
          </w:p>
        </w:tc>
        <w:tc>
          <w:tcPr>
            <w:tcW w:w="5" w:type="pct"/>
            <w:shd w:val="clear" w:color="auto" w:fill="auto"/>
          </w:tcPr>
          <w:p w14:paraId="7B66DFB3" w14:textId="77777777" w:rsidR="0040300B" w:rsidRDefault="0040300B">
            <w:pPr>
              <w:rPr>
                <w:rFonts w:ascii="宋体"/>
              </w:rPr>
            </w:pPr>
          </w:p>
        </w:tc>
        <w:tc>
          <w:tcPr>
            <w:tcW w:w="26" w:type="pct"/>
            <w:shd w:val="clear" w:color="auto" w:fill="auto"/>
          </w:tcPr>
          <w:p w14:paraId="7B66DFB4" w14:textId="77777777" w:rsidR="0040300B" w:rsidRDefault="0040300B">
            <w:pPr>
              <w:rPr>
                <w:rFonts w:ascii="宋体"/>
              </w:rPr>
            </w:pPr>
          </w:p>
        </w:tc>
        <w:tc>
          <w:tcPr>
            <w:tcW w:w="5" w:type="pct"/>
            <w:shd w:val="clear" w:color="auto" w:fill="auto"/>
          </w:tcPr>
          <w:p w14:paraId="7B66DFB5" w14:textId="77777777" w:rsidR="0040300B" w:rsidRDefault="0040300B">
            <w:pPr>
              <w:rPr>
                <w:rFonts w:ascii="宋体"/>
              </w:rPr>
            </w:pPr>
          </w:p>
        </w:tc>
        <w:tc>
          <w:tcPr>
            <w:tcW w:w="50" w:type="pct"/>
            <w:shd w:val="clear" w:color="auto" w:fill="auto"/>
          </w:tcPr>
          <w:p w14:paraId="7B66DFB6" w14:textId="77777777" w:rsidR="0040300B" w:rsidRDefault="0040300B">
            <w:pPr>
              <w:rPr>
                <w:rFonts w:ascii="宋体"/>
              </w:rPr>
            </w:pPr>
          </w:p>
        </w:tc>
        <w:tc>
          <w:tcPr>
            <w:tcW w:w="530" w:type="pct"/>
            <w:shd w:val="clear" w:color="auto" w:fill="auto"/>
          </w:tcPr>
          <w:p w14:paraId="7B66DFB7" w14:textId="77777777" w:rsidR="0040300B" w:rsidRDefault="0040300B">
            <w:pPr>
              <w:rPr>
                <w:rFonts w:ascii="宋体"/>
              </w:rPr>
            </w:pPr>
          </w:p>
        </w:tc>
        <w:tc>
          <w:tcPr>
            <w:tcW w:w="5" w:type="pct"/>
            <w:shd w:val="clear" w:color="auto" w:fill="auto"/>
          </w:tcPr>
          <w:p w14:paraId="7B66DFB8" w14:textId="77777777" w:rsidR="0040300B" w:rsidRDefault="0040300B">
            <w:pPr>
              <w:rPr>
                <w:rFonts w:ascii="宋体"/>
              </w:rPr>
            </w:pPr>
          </w:p>
        </w:tc>
        <w:tc>
          <w:tcPr>
            <w:tcW w:w="5" w:type="pct"/>
            <w:shd w:val="clear" w:color="auto" w:fill="auto"/>
          </w:tcPr>
          <w:p w14:paraId="7B66DFB9" w14:textId="77777777" w:rsidR="0040300B" w:rsidRDefault="0040300B">
            <w:pPr>
              <w:rPr>
                <w:rFonts w:ascii="宋体"/>
              </w:rPr>
            </w:pPr>
          </w:p>
        </w:tc>
        <w:tc>
          <w:tcPr>
            <w:tcW w:w="26" w:type="pct"/>
            <w:shd w:val="clear" w:color="auto" w:fill="auto"/>
          </w:tcPr>
          <w:p w14:paraId="7B66DFBA" w14:textId="77777777" w:rsidR="0040300B" w:rsidRDefault="0040300B">
            <w:pPr>
              <w:rPr>
                <w:rFonts w:ascii="宋体"/>
              </w:rPr>
            </w:pPr>
          </w:p>
        </w:tc>
        <w:tc>
          <w:tcPr>
            <w:tcW w:w="5" w:type="pct"/>
            <w:shd w:val="clear" w:color="auto" w:fill="auto"/>
          </w:tcPr>
          <w:p w14:paraId="7B66DFBB" w14:textId="77777777" w:rsidR="0040300B" w:rsidRDefault="0040300B">
            <w:pPr>
              <w:rPr>
                <w:rFonts w:ascii="宋体"/>
              </w:rPr>
            </w:pPr>
          </w:p>
        </w:tc>
        <w:tc>
          <w:tcPr>
            <w:tcW w:w="50" w:type="pct"/>
            <w:shd w:val="clear" w:color="auto" w:fill="auto"/>
          </w:tcPr>
          <w:p w14:paraId="7B66DFBC" w14:textId="77777777" w:rsidR="0040300B" w:rsidRDefault="0040300B">
            <w:pPr>
              <w:rPr>
                <w:rFonts w:ascii="宋体"/>
              </w:rPr>
            </w:pPr>
          </w:p>
        </w:tc>
        <w:tc>
          <w:tcPr>
            <w:tcW w:w="530" w:type="pct"/>
            <w:shd w:val="clear" w:color="auto" w:fill="auto"/>
          </w:tcPr>
          <w:p w14:paraId="7B66DFBD" w14:textId="77777777" w:rsidR="0040300B" w:rsidRDefault="0040300B">
            <w:pPr>
              <w:rPr>
                <w:rFonts w:ascii="宋体"/>
              </w:rPr>
            </w:pPr>
          </w:p>
        </w:tc>
        <w:tc>
          <w:tcPr>
            <w:tcW w:w="5" w:type="pct"/>
            <w:shd w:val="clear" w:color="auto" w:fill="auto"/>
          </w:tcPr>
          <w:p w14:paraId="7B66DFBE" w14:textId="77777777" w:rsidR="0040300B" w:rsidRDefault="0040300B">
            <w:pPr>
              <w:rPr>
                <w:rFonts w:ascii="宋体"/>
              </w:rPr>
            </w:pPr>
          </w:p>
        </w:tc>
        <w:tc>
          <w:tcPr>
            <w:tcW w:w="5" w:type="pct"/>
            <w:shd w:val="clear" w:color="auto" w:fill="auto"/>
          </w:tcPr>
          <w:p w14:paraId="7B66DFBF" w14:textId="77777777" w:rsidR="0040300B" w:rsidRDefault="0040300B">
            <w:pPr>
              <w:rPr>
                <w:rFonts w:ascii="宋体"/>
              </w:rPr>
            </w:pPr>
          </w:p>
        </w:tc>
        <w:tc>
          <w:tcPr>
            <w:tcW w:w="26" w:type="pct"/>
            <w:shd w:val="clear" w:color="auto" w:fill="auto"/>
          </w:tcPr>
          <w:p w14:paraId="7B66DFC0" w14:textId="77777777" w:rsidR="0040300B" w:rsidRDefault="0040300B">
            <w:pPr>
              <w:rPr>
                <w:rFonts w:ascii="宋体"/>
              </w:rPr>
            </w:pPr>
          </w:p>
        </w:tc>
        <w:tc>
          <w:tcPr>
            <w:tcW w:w="5" w:type="pct"/>
            <w:shd w:val="clear" w:color="auto" w:fill="auto"/>
          </w:tcPr>
          <w:p w14:paraId="7B66DFC1" w14:textId="77777777" w:rsidR="0040300B" w:rsidRDefault="0040300B">
            <w:pPr>
              <w:rPr>
                <w:rFonts w:ascii="宋体"/>
              </w:rPr>
            </w:pPr>
          </w:p>
        </w:tc>
        <w:tc>
          <w:tcPr>
            <w:tcW w:w="50" w:type="pct"/>
            <w:shd w:val="clear" w:color="auto" w:fill="auto"/>
          </w:tcPr>
          <w:p w14:paraId="7B66DFC2" w14:textId="77777777" w:rsidR="0040300B" w:rsidRDefault="0040300B">
            <w:pPr>
              <w:rPr>
                <w:rFonts w:ascii="宋体"/>
              </w:rPr>
            </w:pPr>
          </w:p>
        </w:tc>
        <w:tc>
          <w:tcPr>
            <w:tcW w:w="530" w:type="pct"/>
            <w:shd w:val="clear" w:color="auto" w:fill="auto"/>
          </w:tcPr>
          <w:p w14:paraId="7B66DFC3" w14:textId="77777777" w:rsidR="0040300B" w:rsidRDefault="0040300B">
            <w:pPr>
              <w:rPr>
                <w:rFonts w:ascii="宋体"/>
              </w:rPr>
            </w:pPr>
          </w:p>
        </w:tc>
        <w:tc>
          <w:tcPr>
            <w:tcW w:w="5" w:type="pct"/>
            <w:shd w:val="clear" w:color="auto" w:fill="auto"/>
          </w:tcPr>
          <w:p w14:paraId="7B66DFC4" w14:textId="77777777" w:rsidR="0040300B" w:rsidRDefault="0040300B">
            <w:pPr>
              <w:rPr>
                <w:rFonts w:ascii="宋体"/>
              </w:rPr>
            </w:pPr>
          </w:p>
        </w:tc>
      </w:tr>
      <w:tr w:rsidR="0040300B" w14:paraId="7B66DFCA" w14:textId="77777777">
        <w:tc>
          <w:tcPr>
            <w:tcW w:w="0" w:type="auto"/>
            <w:gridSpan w:val="3"/>
            <w:shd w:val="clear" w:color="auto" w:fill="auto"/>
            <w:tcMar>
              <w:top w:w="0" w:type="dxa"/>
              <w:left w:w="20" w:type="dxa"/>
              <w:bottom w:w="0" w:type="dxa"/>
              <w:right w:w="20" w:type="dxa"/>
            </w:tcMar>
          </w:tcPr>
          <w:p w14:paraId="7B66DFC6"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DFC7"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DFC8"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DFC9"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DFD3" w14:textId="77777777">
        <w:tc>
          <w:tcPr>
            <w:tcW w:w="0" w:type="auto"/>
            <w:gridSpan w:val="3"/>
            <w:shd w:val="clear" w:color="auto" w:fill="auto"/>
            <w:tcMar>
              <w:top w:w="0" w:type="dxa"/>
              <w:left w:w="20" w:type="dxa"/>
              <w:bottom w:w="0" w:type="dxa"/>
              <w:right w:w="20" w:type="dxa"/>
            </w:tcMar>
          </w:tcPr>
          <w:p w14:paraId="7B66DFC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DFCC"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DFC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DFCE"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DFC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DFD0"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DFD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DFD2"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DFDC" w14:textId="77777777">
        <w:tc>
          <w:tcPr>
            <w:tcW w:w="0" w:type="auto"/>
            <w:gridSpan w:val="3"/>
            <w:shd w:val="clear" w:color="auto" w:fill="CCEEFF"/>
            <w:tcMar>
              <w:top w:w="40" w:type="dxa"/>
              <w:left w:w="20" w:type="dxa"/>
              <w:bottom w:w="40" w:type="dxa"/>
              <w:right w:w="20" w:type="dxa"/>
            </w:tcMar>
            <w:vAlign w:val="bottom"/>
          </w:tcPr>
          <w:p w14:paraId="7B66DFD4" w14:textId="77777777" w:rsidR="0040300B" w:rsidRDefault="00BB2D44">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B66DFD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D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DFD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D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DFD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DFD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DFDB" w14:textId="77777777" w:rsidR="0040300B" w:rsidRDefault="0040300B">
            <w:pPr>
              <w:rPr>
                <w:rFonts w:ascii="宋体"/>
              </w:rPr>
            </w:pPr>
          </w:p>
        </w:tc>
      </w:tr>
      <w:tr w:rsidR="0040300B" w14:paraId="7B66DFED" w14:textId="77777777">
        <w:tc>
          <w:tcPr>
            <w:tcW w:w="0" w:type="auto"/>
            <w:gridSpan w:val="3"/>
            <w:shd w:val="clear" w:color="auto" w:fill="FFFFFF"/>
            <w:tcMar>
              <w:top w:w="40" w:type="dxa"/>
              <w:left w:w="380" w:type="dxa"/>
              <w:bottom w:w="40" w:type="dxa"/>
              <w:right w:w="20" w:type="dxa"/>
            </w:tcMar>
            <w:vAlign w:val="bottom"/>
          </w:tcPr>
          <w:p w14:paraId="7B66DFDD" w14:textId="77777777" w:rsidR="0040300B" w:rsidRDefault="00BB2D44">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7B66DFD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DFDF" w14:textId="77777777" w:rsidR="0040300B" w:rsidRDefault="00BB2D44">
            <w:pPr>
              <w:jc w:val="right"/>
              <w:textAlignment w:val="bottom"/>
            </w:pPr>
            <w:r>
              <w:rPr>
                <w:rFonts w:ascii="Times New Roman" w:eastAsia="宋体" w:hAnsi="Times New Roman"/>
                <w:color w:val="000000"/>
                <w:sz w:val="20"/>
                <w:szCs w:val="20"/>
              </w:rPr>
              <w:t>9,139 </w:t>
            </w:r>
          </w:p>
        </w:tc>
        <w:tc>
          <w:tcPr>
            <w:tcW w:w="0" w:type="auto"/>
            <w:shd w:val="clear" w:color="auto" w:fill="FFFFFF"/>
            <w:tcMar>
              <w:top w:w="40" w:type="dxa"/>
              <w:left w:w="0" w:type="dxa"/>
              <w:bottom w:w="40" w:type="dxa"/>
              <w:right w:w="20" w:type="dxa"/>
            </w:tcMar>
            <w:vAlign w:val="bottom"/>
          </w:tcPr>
          <w:p w14:paraId="7B66DF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E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DFE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DFE3" w14:textId="77777777" w:rsidR="0040300B" w:rsidRDefault="00BB2D44">
            <w:pPr>
              <w:jc w:val="right"/>
              <w:textAlignment w:val="bottom"/>
            </w:pPr>
            <w:r>
              <w:rPr>
                <w:rFonts w:ascii="Times New Roman" w:eastAsia="宋体" w:hAnsi="Times New Roman"/>
                <w:color w:val="000000"/>
                <w:sz w:val="20"/>
                <w:szCs w:val="20"/>
              </w:rPr>
              <w:t>8,597 </w:t>
            </w:r>
          </w:p>
        </w:tc>
        <w:tc>
          <w:tcPr>
            <w:tcW w:w="0" w:type="auto"/>
            <w:shd w:val="clear" w:color="auto" w:fill="FFFFFF"/>
            <w:tcMar>
              <w:top w:w="40" w:type="dxa"/>
              <w:left w:w="0" w:type="dxa"/>
              <w:bottom w:w="40" w:type="dxa"/>
              <w:right w:w="20" w:type="dxa"/>
            </w:tcMar>
            <w:vAlign w:val="bottom"/>
          </w:tcPr>
          <w:p w14:paraId="7B66DFE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E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DFE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DFE7"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shd w:val="clear" w:color="auto" w:fill="FFFFFF"/>
            <w:tcMar>
              <w:top w:w="40" w:type="dxa"/>
              <w:left w:w="0" w:type="dxa"/>
              <w:bottom w:w="40" w:type="dxa"/>
              <w:right w:w="20" w:type="dxa"/>
            </w:tcMar>
            <w:vAlign w:val="bottom"/>
          </w:tcPr>
          <w:p w14:paraId="7B66DFE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E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DFE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DFEB"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shd w:val="clear" w:color="auto" w:fill="FFFFFF"/>
            <w:tcMar>
              <w:top w:w="40" w:type="dxa"/>
              <w:left w:w="0" w:type="dxa"/>
              <w:bottom w:w="40" w:type="dxa"/>
              <w:right w:w="20" w:type="dxa"/>
            </w:tcMar>
            <w:vAlign w:val="bottom"/>
          </w:tcPr>
          <w:p w14:paraId="7B66DFEC" w14:textId="77777777" w:rsidR="0040300B" w:rsidRDefault="0040300B">
            <w:pPr>
              <w:jc w:val="right"/>
              <w:rPr>
                <w:rFonts w:ascii="宋体"/>
              </w:rPr>
            </w:pPr>
          </w:p>
        </w:tc>
      </w:tr>
      <w:tr w:rsidR="0040300B" w14:paraId="7B66DFFA" w14:textId="77777777">
        <w:tc>
          <w:tcPr>
            <w:tcW w:w="0" w:type="auto"/>
            <w:gridSpan w:val="3"/>
            <w:shd w:val="clear" w:color="auto" w:fill="CCEEFF"/>
            <w:tcMar>
              <w:top w:w="40" w:type="dxa"/>
              <w:left w:w="380" w:type="dxa"/>
              <w:bottom w:w="40" w:type="dxa"/>
              <w:right w:w="20" w:type="dxa"/>
            </w:tcMar>
            <w:vAlign w:val="bottom"/>
          </w:tcPr>
          <w:p w14:paraId="7B66DFEE"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7B66DFEF" w14:textId="77777777" w:rsidR="0040300B" w:rsidRDefault="00BB2D44">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7B66DFF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F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F2" w14:textId="77777777" w:rsidR="0040300B" w:rsidRDefault="00BB2D44">
            <w:pPr>
              <w:jc w:val="right"/>
              <w:textAlignment w:val="bottom"/>
            </w:pPr>
            <w:r>
              <w:rPr>
                <w:rFonts w:ascii="Times New Roman" w:eastAsia="宋体" w:hAnsi="Times New Roman"/>
                <w:color w:val="000000"/>
                <w:sz w:val="20"/>
                <w:szCs w:val="20"/>
              </w:rPr>
              <w:t>3,386 </w:t>
            </w:r>
          </w:p>
        </w:tc>
        <w:tc>
          <w:tcPr>
            <w:tcW w:w="0" w:type="auto"/>
            <w:shd w:val="clear" w:color="auto" w:fill="CCEEFF"/>
            <w:tcMar>
              <w:top w:w="40" w:type="dxa"/>
              <w:left w:w="0" w:type="dxa"/>
              <w:bottom w:w="40" w:type="dxa"/>
              <w:right w:w="20" w:type="dxa"/>
            </w:tcMar>
            <w:vAlign w:val="bottom"/>
          </w:tcPr>
          <w:p w14:paraId="7B66DFF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F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F5" w14:textId="77777777" w:rsidR="0040300B" w:rsidRDefault="00BB2D44">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7B66DF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DFF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DFF8" w14:textId="77777777" w:rsidR="0040300B" w:rsidRDefault="00BB2D44">
            <w:pPr>
              <w:jc w:val="right"/>
              <w:textAlignment w:val="bottom"/>
            </w:pPr>
            <w:r>
              <w:rPr>
                <w:rFonts w:ascii="Times New Roman" w:eastAsia="宋体" w:hAnsi="Times New Roman"/>
                <w:color w:val="000000"/>
                <w:sz w:val="20"/>
                <w:szCs w:val="20"/>
              </w:rPr>
              <w:t>10,001 </w:t>
            </w:r>
          </w:p>
        </w:tc>
        <w:tc>
          <w:tcPr>
            <w:tcW w:w="0" w:type="auto"/>
            <w:shd w:val="clear" w:color="auto" w:fill="CCEEFF"/>
            <w:tcMar>
              <w:top w:w="40" w:type="dxa"/>
              <w:left w:w="0" w:type="dxa"/>
              <w:bottom w:w="40" w:type="dxa"/>
              <w:right w:w="20" w:type="dxa"/>
            </w:tcMar>
            <w:vAlign w:val="bottom"/>
          </w:tcPr>
          <w:p w14:paraId="7B66DFF9" w14:textId="77777777" w:rsidR="0040300B" w:rsidRDefault="0040300B">
            <w:pPr>
              <w:jc w:val="right"/>
              <w:rPr>
                <w:rFonts w:ascii="宋体"/>
              </w:rPr>
            </w:pPr>
          </w:p>
        </w:tc>
      </w:tr>
      <w:tr w:rsidR="0040300B" w14:paraId="7B66E007" w14:textId="77777777">
        <w:tc>
          <w:tcPr>
            <w:tcW w:w="0" w:type="auto"/>
            <w:gridSpan w:val="3"/>
            <w:shd w:val="clear" w:color="auto" w:fill="FFFFFF"/>
            <w:tcMar>
              <w:top w:w="40" w:type="dxa"/>
              <w:left w:w="740" w:type="dxa"/>
              <w:bottom w:w="40" w:type="dxa"/>
              <w:right w:w="20" w:type="dxa"/>
            </w:tcMar>
            <w:vAlign w:val="bottom"/>
          </w:tcPr>
          <w:p w14:paraId="7B66DFFB" w14:textId="77777777" w:rsidR="0040300B" w:rsidRDefault="00BB2D44">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FC"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DFF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DFFE"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DFFF"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0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01"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02"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0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04"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05"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06" w14:textId="77777777" w:rsidR="0040300B" w:rsidRDefault="0040300B">
            <w:pPr>
              <w:jc w:val="right"/>
              <w:rPr>
                <w:rFonts w:ascii="宋体"/>
              </w:rPr>
            </w:pPr>
          </w:p>
        </w:tc>
      </w:tr>
      <w:tr w:rsidR="0040300B" w14:paraId="7B66E010" w14:textId="77777777">
        <w:tc>
          <w:tcPr>
            <w:tcW w:w="0" w:type="auto"/>
            <w:gridSpan w:val="3"/>
            <w:shd w:val="clear" w:color="auto" w:fill="CCEEFF"/>
            <w:tcMar>
              <w:top w:w="40" w:type="dxa"/>
              <w:left w:w="20" w:type="dxa"/>
              <w:bottom w:w="40" w:type="dxa"/>
              <w:right w:w="20" w:type="dxa"/>
            </w:tcMar>
            <w:vAlign w:val="bottom"/>
          </w:tcPr>
          <w:p w14:paraId="7B66E008" w14:textId="77777777" w:rsidR="0040300B" w:rsidRDefault="00BB2D44">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tcPr>
          <w:p w14:paraId="7B66E00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00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00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00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00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00E"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00F" w14:textId="77777777" w:rsidR="0040300B" w:rsidRDefault="0040300B">
            <w:pPr>
              <w:rPr>
                <w:rFonts w:ascii="宋体"/>
              </w:rPr>
            </w:pPr>
          </w:p>
        </w:tc>
      </w:tr>
      <w:tr w:rsidR="0040300B" w14:paraId="7B66E01D" w14:textId="77777777">
        <w:tc>
          <w:tcPr>
            <w:tcW w:w="0" w:type="auto"/>
            <w:gridSpan w:val="3"/>
            <w:shd w:val="clear" w:color="auto" w:fill="FFFFFF"/>
            <w:tcMar>
              <w:top w:w="40" w:type="dxa"/>
              <w:left w:w="380" w:type="dxa"/>
              <w:bottom w:w="40" w:type="dxa"/>
              <w:right w:w="20" w:type="dxa"/>
            </w:tcMar>
            <w:vAlign w:val="bottom"/>
          </w:tcPr>
          <w:p w14:paraId="7B66E011" w14:textId="77777777" w:rsidR="0040300B" w:rsidRDefault="00BB2D44">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7B66E012" w14:textId="77777777" w:rsidR="0040300B" w:rsidRDefault="00BB2D44">
            <w:pPr>
              <w:jc w:val="right"/>
              <w:textAlignment w:val="bottom"/>
            </w:pPr>
            <w:r>
              <w:rPr>
                <w:rFonts w:ascii="Times New Roman" w:eastAsia="宋体" w:hAnsi="Times New Roman"/>
                <w:color w:val="000000"/>
                <w:sz w:val="20"/>
                <w:szCs w:val="20"/>
              </w:rPr>
              <w:t>3,422 </w:t>
            </w:r>
          </w:p>
        </w:tc>
        <w:tc>
          <w:tcPr>
            <w:tcW w:w="0" w:type="auto"/>
            <w:shd w:val="clear" w:color="auto" w:fill="FFFFFF"/>
            <w:tcMar>
              <w:top w:w="40" w:type="dxa"/>
              <w:left w:w="0" w:type="dxa"/>
              <w:bottom w:w="40" w:type="dxa"/>
              <w:right w:w="20" w:type="dxa"/>
            </w:tcMar>
            <w:vAlign w:val="bottom"/>
          </w:tcPr>
          <w:p w14:paraId="7B66E01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1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15" w14:textId="77777777" w:rsidR="0040300B" w:rsidRDefault="00BB2D44">
            <w:pPr>
              <w:jc w:val="right"/>
              <w:textAlignment w:val="bottom"/>
            </w:pPr>
            <w:r>
              <w:rPr>
                <w:rFonts w:ascii="Times New Roman" w:eastAsia="宋体" w:hAnsi="Times New Roman"/>
                <w:color w:val="000000"/>
                <w:sz w:val="20"/>
                <w:szCs w:val="20"/>
              </w:rPr>
              <w:t>3,120 </w:t>
            </w:r>
          </w:p>
        </w:tc>
        <w:tc>
          <w:tcPr>
            <w:tcW w:w="0" w:type="auto"/>
            <w:shd w:val="clear" w:color="auto" w:fill="FFFFFF"/>
            <w:tcMar>
              <w:top w:w="40" w:type="dxa"/>
              <w:left w:w="0" w:type="dxa"/>
              <w:bottom w:w="40" w:type="dxa"/>
              <w:right w:w="20" w:type="dxa"/>
            </w:tcMar>
            <w:vAlign w:val="bottom"/>
          </w:tcPr>
          <w:p w14:paraId="7B66E01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1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18" w14:textId="77777777" w:rsidR="0040300B" w:rsidRDefault="00BB2D44">
            <w:pPr>
              <w:jc w:val="right"/>
              <w:textAlignment w:val="bottom"/>
            </w:pPr>
            <w:r>
              <w:rPr>
                <w:rFonts w:ascii="Times New Roman" w:eastAsia="宋体" w:hAnsi="Times New Roman"/>
                <w:color w:val="000000"/>
                <w:sz w:val="20"/>
                <w:szCs w:val="20"/>
              </w:rPr>
              <w:t>9,672 </w:t>
            </w:r>
          </w:p>
        </w:tc>
        <w:tc>
          <w:tcPr>
            <w:tcW w:w="0" w:type="auto"/>
            <w:shd w:val="clear" w:color="auto" w:fill="FFFFFF"/>
            <w:tcMar>
              <w:top w:w="40" w:type="dxa"/>
              <w:left w:w="0" w:type="dxa"/>
              <w:bottom w:w="40" w:type="dxa"/>
              <w:right w:w="20" w:type="dxa"/>
            </w:tcMar>
            <w:vAlign w:val="bottom"/>
          </w:tcPr>
          <w:p w14:paraId="7B66E01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1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1B" w14:textId="77777777" w:rsidR="0040300B" w:rsidRDefault="00BB2D44">
            <w:pPr>
              <w:jc w:val="right"/>
              <w:textAlignment w:val="bottom"/>
            </w:pPr>
            <w:r>
              <w:rPr>
                <w:rFonts w:ascii="Times New Roman" w:eastAsia="宋体" w:hAnsi="Times New Roman"/>
                <w:color w:val="000000"/>
                <w:sz w:val="20"/>
                <w:szCs w:val="20"/>
              </w:rPr>
              <w:t>9,770 </w:t>
            </w:r>
          </w:p>
        </w:tc>
        <w:tc>
          <w:tcPr>
            <w:tcW w:w="0" w:type="auto"/>
            <w:shd w:val="clear" w:color="auto" w:fill="FFFFFF"/>
            <w:tcMar>
              <w:top w:w="40" w:type="dxa"/>
              <w:left w:w="0" w:type="dxa"/>
              <w:bottom w:w="40" w:type="dxa"/>
              <w:right w:w="20" w:type="dxa"/>
            </w:tcMar>
            <w:vAlign w:val="bottom"/>
          </w:tcPr>
          <w:p w14:paraId="7B66E01C" w14:textId="77777777" w:rsidR="0040300B" w:rsidRDefault="0040300B">
            <w:pPr>
              <w:jc w:val="right"/>
              <w:rPr>
                <w:rFonts w:ascii="宋体"/>
              </w:rPr>
            </w:pPr>
          </w:p>
        </w:tc>
      </w:tr>
      <w:tr w:rsidR="0040300B" w14:paraId="7B66E02A" w14:textId="77777777">
        <w:tc>
          <w:tcPr>
            <w:tcW w:w="0" w:type="auto"/>
            <w:gridSpan w:val="3"/>
            <w:shd w:val="clear" w:color="auto" w:fill="CCEEFF"/>
            <w:tcMar>
              <w:top w:w="40" w:type="dxa"/>
              <w:left w:w="380" w:type="dxa"/>
              <w:bottom w:w="40" w:type="dxa"/>
              <w:right w:w="20" w:type="dxa"/>
            </w:tcMar>
            <w:vAlign w:val="bottom"/>
          </w:tcPr>
          <w:p w14:paraId="7B66E01E"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7B66E01F" w14:textId="77777777" w:rsidR="0040300B" w:rsidRDefault="00BB2D44">
            <w:pPr>
              <w:jc w:val="right"/>
              <w:textAlignment w:val="bottom"/>
            </w:pPr>
            <w:r>
              <w:rPr>
                <w:rFonts w:ascii="Times New Roman" w:eastAsia="宋体" w:hAnsi="Times New Roman"/>
                <w:color w:val="000000"/>
                <w:sz w:val="20"/>
                <w:szCs w:val="20"/>
              </w:rPr>
              <w:t>1,196 </w:t>
            </w:r>
          </w:p>
        </w:tc>
        <w:tc>
          <w:tcPr>
            <w:tcW w:w="0" w:type="auto"/>
            <w:shd w:val="clear" w:color="auto" w:fill="CCEEFF"/>
            <w:tcMar>
              <w:top w:w="40" w:type="dxa"/>
              <w:left w:w="0" w:type="dxa"/>
              <w:bottom w:w="40" w:type="dxa"/>
              <w:right w:w="20" w:type="dxa"/>
            </w:tcMar>
            <w:vAlign w:val="bottom"/>
          </w:tcPr>
          <w:p w14:paraId="7B66E02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2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22" w14:textId="77777777" w:rsidR="0040300B" w:rsidRDefault="00BB2D44">
            <w:pPr>
              <w:jc w:val="right"/>
              <w:textAlignment w:val="bottom"/>
            </w:pPr>
            <w:r>
              <w:rPr>
                <w:rFonts w:ascii="Times New Roman" w:eastAsia="宋体" w:hAnsi="Times New Roman"/>
                <w:color w:val="000000"/>
                <w:sz w:val="20"/>
                <w:szCs w:val="20"/>
              </w:rPr>
              <w:t>1,092 </w:t>
            </w:r>
          </w:p>
        </w:tc>
        <w:tc>
          <w:tcPr>
            <w:tcW w:w="0" w:type="auto"/>
            <w:shd w:val="clear" w:color="auto" w:fill="CCEEFF"/>
            <w:tcMar>
              <w:top w:w="40" w:type="dxa"/>
              <w:left w:w="0" w:type="dxa"/>
              <w:bottom w:w="40" w:type="dxa"/>
              <w:right w:w="20" w:type="dxa"/>
            </w:tcMar>
            <w:vAlign w:val="bottom"/>
          </w:tcPr>
          <w:p w14:paraId="7B66E02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2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25" w14:textId="77777777" w:rsidR="0040300B" w:rsidRDefault="00BB2D44">
            <w:pPr>
              <w:jc w:val="right"/>
              <w:textAlignment w:val="bottom"/>
            </w:pPr>
            <w:r>
              <w:rPr>
                <w:rFonts w:ascii="Times New Roman" w:eastAsia="宋体" w:hAnsi="Times New Roman"/>
                <w:color w:val="000000"/>
                <w:sz w:val="20"/>
                <w:szCs w:val="20"/>
              </w:rPr>
              <w:t>3,470 </w:t>
            </w:r>
          </w:p>
        </w:tc>
        <w:tc>
          <w:tcPr>
            <w:tcW w:w="0" w:type="auto"/>
            <w:shd w:val="clear" w:color="auto" w:fill="CCEEFF"/>
            <w:tcMar>
              <w:top w:w="40" w:type="dxa"/>
              <w:left w:w="0" w:type="dxa"/>
              <w:bottom w:w="40" w:type="dxa"/>
              <w:right w:w="20" w:type="dxa"/>
            </w:tcMar>
            <w:vAlign w:val="bottom"/>
          </w:tcPr>
          <w:p w14:paraId="7B66E0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2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28" w14:textId="77777777" w:rsidR="0040300B" w:rsidRDefault="00BB2D44">
            <w:pPr>
              <w:jc w:val="right"/>
              <w:textAlignment w:val="bottom"/>
            </w:pPr>
            <w:r>
              <w:rPr>
                <w:rFonts w:ascii="Times New Roman" w:eastAsia="宋体" w:hAnsi="Times New Roman"/>
                <w:color w:val="000000"/>
                <w:sz w:val="20"/>
                <w:szCs w:val="20"/>
              </w:rPr>
              <w:t>3,378 </w:t>
            </w:r>
          </w:p>
        </w:tc>
        <w:tc>
          <w:tcPr>
            <w:tcW w:w="0" w:type="auto"/>
            <w:shd w:val="clear" w:color="auto" w:fill="CCEEFF"/>
            <w:tcMar>
              <w:top w:w="40" w:type="dxa"/>
              <w:left w:w="0" w:type="dxa"/>
              <w:bottom w:w="40" w:type="dxa"/>
              <w:right w:w="20" w:type="dxa"/>
            </w:tcMar>
            <w:vAlign w:val="bottom"/>
          </w:tcPr>
          <w:p w14:paraId="7B66E029" w14:textId="77777777" w:rsidR="0040300B" w:rsidRDefault="0040300B">
            <w:pPr>
              <w:jc w:val="right"/>
              <w:rPr>
                <w:rFonts w:ascii="宋体"/>
              </w:rPr>
            </w:pPr>
          </w:p>
        </w:tc>
      </w:tr>
      <w:tr w:rsidR="0040300B" w14:paraId="7B66E037" w14:textId="77777777">
        <w:tc>
          <w:tcPr>
            <w:tcW w:w="0" w:type="auto"/>
            <w:gridSpan w:val="3"/>
            <w:shd w:val="clear" w:color="auto" w:fill="FFFFFF"/>
            <w:tcMar>
              <w:top w:w="40" w:type="dxa"/>
              <w:left w:w="740" w:type="dxa"/>
              <w:bottom w:w="40" w:type="dxa"/>
              <w:right w:w="20" w:type="dxa"/>
            </w:tcMar>
            <w:vAlign w:val="bottom"/>
          </w:tcPr>
          <w:p w14:paraId="7B66E02B" w14:textId="77777777" w:rsidR="0040300B" w:rsidRDefault="00BB2D44">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2C" w14:textId="77777777" w:rsidR="0040300B" w:rsidRDefault="00BB2D44">
            <w:pPr>
              <w:jc w:val="right"/>
              <w:textAlignment w:val="bottom"/>
            </w:pPr>
            <w:r>
              <w:rPr>
                <w:rFonts w:ascii="Times New Roman" w:eastAsia="宋体" w:hAnsi="Times New Roman"/>
                <w:color w:val="000000"/>
                <w:sz w:val="20"/>
                <w:szCs w:val="20"/>
              </w:rPr>
              <w:t>4,618 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2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2E"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2F" w14:textId="77777777" w:rsidR="0040300B" w:rsidRDefault="00BB2D44">
            <w:pPr>
              <w:jc w:val="right"/>
              <w:textAlignment w:val="bottom"/>
            </w:pPr>
            <w:r>
              <w:rPr>
                <w:rFonts w:ascii="Times New Roman" w:eastAsia="宋体" w:hAnsi="Times New Roman"/>
                <w:color w:val="000000"/>
                <w:sz w:val="20"/>
                <w:szCs w:val="20"/>
              </w:rPr>
              <w:t>4,212 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3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31"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32" w14:textId="77777777" w:rsidR="0040300B" w:rsidRDefault="00BB2D44">
            <w:pPr>
              <w:jc w:val="right"/>
              <w:textAlignment w:val="bottom"/>
            </w:pPr>
            <w:r>
              <w:rPr>
                <w:rFonts w:ascii="Times New Roman" w:eastAsia="宋体" w:hAnsi="Times New Roman"/>
                <w:color w:val="000000"/>
                <w:sz w:val="20"/>
                <w:szCs w:val="20"/>
              </w:rPr>
              <w:t>13,142 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3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34"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35" w14:textId="77777777" w:rsidR="0040300B" w:rsidRDefault="00BB2D44">
            <w:pPr>
              <w:jc w:val="right"/>
              <w:textAlignment w:val="bottom"/>
            </w:pPr>
            <w:r>
              <w:rPr>
                <w:rFonts w:ascii="Times New Roman" w:eastAsia="宋体" w:hAnsi="Times New Roman"/>
                <w:color w:val="000000"/>
                <w:sz w:val="20"/>
                <w:szCs w:val="20"/>
              </w:rPr>
              <w:t>13,148 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36" w14:textId="77777777" w:rsidR="0040300B" w:rsidRDefault="0040300B">
            <w:pPr>
              <w:jc w:val="right"/>
              <w:rPr>
                <w:rFonts w:ascii="宋体"/>
              </w:rPr>
            </w:pPr>
          </w:p>
        </w:tc>
      </w:tr>
      <w:tr w:rsidR="0040300B" w14:paraId="7B66E044" w14:textId="77777777">
        <w:tc>
          <w:tcPr>
            <w:tcW w:w="0" w:type="auto"/>
            <w:gridSpan w:val="3"/>
            <w:shd w:val="clear" w:color="auto" w:fill="CCEEFF"/>
            <w:tcMar>
              <w:top w:w="40" w:type="dxa"/>
              <w:left w:w="20" w:type="dxa"/>
              <w:bottom w:w="40" w:type="dxa"/>
              <w:right w:w="20" w:type="dxa"/>
            </w:tcMar>
            <w:vAlign w:val="bottom"/>
          </w:tcPr>
          <w:p w14:paraId="7B66E038" w14:textId="77777777" w:rsidR="0040300B" w:rsidRDefault="00BB2D44">
            <w:pPr>
              <w:textAlignment w:val="bottom"/>
            </w:pPr>
            <w:r>
              <w:rPr>
                <w:rFonts w:ascii="Times New Roman" w:eastAsia="宋体" w:hAnsi="Times New Roman"/>
                <w:b/>
                <w:bCs/>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39" w14:textId="77777777" w:rsidR="0040300B" w:rsidRDefault="00BB2D44">
            <w:pPr>
              <w:jc w:val="right"/>
              <w:textAlignment w:val="bottom"/>
            </w:pPr>
            <w:r>
              <w:rPr>
                <w:rFonts w:ascii="Times New Roman" w:eastAsia="宋体" w:hAnsi="Times New Roman"/>
                <w:color w:val="000000"/>
                <w:sz w:val="20"/>
                <w:szCs w:val="20"/>
              </w:rPr>
              <w:t>8,185 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3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3B"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3C" w14:textId="77777777" w:rsidR="0040300B" w:rsidRDefault="00BB2D44">
            <w:pPr>
              <w:jc w:val="right"/>
              <w:textAlignment w:val="bottom"/>
            </w:pPr>
            <w:r>
              <w:rPr>
                <w:rFonts w:ascii="Times New Roman" w:eastAsia="宋体" w:hAnsi="Times New Roman"/>
                <w:color w:val="000000"/>
                <w:sz w:val="20"/>
                <w:szCs w:val="20"/>
              </w:rPr>
              <w:t>7,771 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3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3E"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3F" w14:textId="77777777" w:rsidR="0040300B" w:rsidRDefault="00BB2D44">
            <w:pPr>
              <w:jc w:val="right"/>
              <w:textAlignment w:val="bottom"/>
            </w:pPr>
            <w:r>
              <w:rPr>
                <w:rFonts w:ascii="Times New Roman" w:eastAsia="宋体" w:hAnsi="Times New Roman"/>
                <w:color w:val="000000"/>
                <w:sz w:val="20"/>
                <w:szCs w:val="20"/>
              </w:rPr>
              <w:t>23,550 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4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4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42" w14:textId="77777777" w:rsidR="0040300B" w:rsidRDefault="00BB2D44">
            <w:pPr>
              <w:jc w:val="right"/>
              <w:textAlignment w:val="bottom"/>
            </w:pPr>
            <w:r>
              <w:rPr>
                <w:rFonts w:ascii="Times New Roman" w:eastAsia="宋体" w:hAnsi="Times New Roman"/>
                <w:color w:val="000000"/>
                <w:sz w:val="20"/>
                <w:szCs w:val="20"/>
              </w:rPr>
              <w:t>23,999 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43" w14:textId="77777777" w:rsidR="0040300B" w:rsidRDefault="0040300B">
            <w:pPr>
              <w:jc w:val="right"/>
              <w:rPr>
                <w:rFonts w:ascii="宋体"/>
              </w:rPr>
            </w:pPr>
          </w:p>
        </w:tc>
      </w:tr>
      <w:tr w:rsidR="0040300B" w14:paraId="7B66E04D" w14:textId="77777777">
        <w:tc>
          <w:tcPr>
            <w:tcW w:w="0" w:type="auto"/>
            <w:gridSpan w:val="3"/>
            <w:shd w:val="clear" w:color="auto" w:fill="FFFFFF"/>
            <w:tcMar>
              <w:top w:w="40" w:type="dxa"/>
              <w:left w:w="20" w:type="dxa"/>
              <w:bottom w:w="40" w:type="dxa"/>
              <w:right w:w="20" w:type="dxa"/>
            </w:tcMar>
            <w:vAlign w:val="bottom"/>
          </w:tcPr>
          <w:p w14:paraId="7B66E045" w14:textId="77777777" w:rsidR="0040300B" w:rsidRDefault="00BB2D44">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tcPr>
          <w:p w14:paraId="7B66E04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04C" w14:textId="77777777" w:rsidR="0040300B" w:rsidRDefault="0040300B">
            <w:pPr>
              <w:rPr>
                <w:rFonts w:ascii="宋体"/>
              </w:rPr>
            </w:pPr>
          </w:p>
        </w:tc>
      </w:tr>
      <w:tr w:rsidR="0040300B" w14:paraId="7B66E05A" w14:textId="77777777">
        <w:tc>
          <w:tcPr>
            <w:tcW w:w="0" w:type="auto"/>
            <w:gridSpan w:val="3"/>
            <w:shd w:val="clear" w:color="auto" w:fill="CCEEFF"/>
            <w:tcMar>
              <w:top w:w="40" w:type="dxa"/>
              <w:left w:w="380" w:type="dxa"/>
              <w:bottom w:w="40" w:type="dxa"/>
              <w:right w:w="20" w:type="dxa"/>
            </w:tcMar>
            <w:vAlign w:val="bottom"/>
          </w:tcPr>
          <w:p w14:paraId="7B66E04E" w14:textId="77777777" w:rsidR="0040300B" w:rsidRDefault="00BB2D44">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7B66E04F" w14:textId="77777777" w:rsidR="0040300B" w:rsidRDefault="00BB2D44">
            <w:pPr>
              <w:jc w:val="right"/>
              <w:textAlignment w:val="bottom"/>
            </w:pPr>
            <w:r>
              <w:rPr>
                <w:rFonts w:ascii="Times New Roman" w:eastAsia="宋体" w:hAnsi="Times New Roman"/>
                <w:color w:val="000000"/>
                <w:sz w:val="20"/>
                <w:szCs w:val="20"/>
              </w:rPr>
              <w:t>1,697 </w:t>
            </w:r>
          </w:p>
        </w:tc>
        <w:tc>
          <w:tcPr>
            <w:tcW w:w="0" w:type="auto"/>
            <w:shd w:val="clear" w:color="auto" w:fill="CCEEFF"/>
            <w:tcMar>
              <w:top w:w="40" w:type="dxa"/>
              <w:left w:w="0" w:type="dxa"/>
              <w:bottom w:w="40" w:type="dxa"/>
              <w:right w:w="20" w:type="dxa"/>
            </w:tcMar>
            <w:vAlign w:val="bottom"/>
          </w:tcPr>
          <w:p w14:paraId="7B66E0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52" w14:textId="77777777" w:rsidR="0040300B" w:rsidRDefault="00BB2D44">
            <w:pPr>
              <w:jc w:val="right"/>
              <w:textAlignment w:val="bottom"/>
            </w:pPr>
            <w:r>
              <w:rPr>
                <w:rFonts w:ascii="Times New Roman" w:eastAsia="宋体" w:hAnsi="Times New Roman"/>
                <w:color w:val="000000"/>
                <w:sz w:val="20"/>
                <w:szCs w:val="20"/>
              </w:rPr>
              <w:t>1,546 </w:t>
            </w:r>
          </w:p>
        </w:tc>
        <w:tc>
          <w:tcPr>
            <w:tcW w:w="0" w:type="auto"/>
            <w:shd w:val="clear" w:color="auto" w:fill="CCEEFF"/>
            <w:tcMar>
              <w:top w:w="40" w:type="dxa"/>
              <w:left w:w="0" w:type="dxa"/>
              <w:bottom w:w="40" w:type="dxa"/>
              <w:right w:w="20" w:type="dxa"/>
            </w:tcMar>
            <w:vAlign w:val="bottom"/>
          </w:tcPr>
          <w:p w14:paraId="7B66E05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5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55" w14:textId="77777777" w:rsidR="0040300B" w:rsidRDefault="00BB2D44">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7B66E05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5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58" w14:textId="77777777" w:rsidR="0040300B" w:rsidRDefault="00BB2D44">
            <w:pPr>
              <w:jc w:val="right"/>
              <w:textAlignment w:val="bottom"/>
            </w:pPr>
            <w:r>
              <w:rPr>
                <w:rFonts w:ascii="Times New Roman" w:eastAsia="宋体" w:hAnsi="Times New Roman"/>
                <w:color w:val="000000"/>
                <w:sz w:val="20"/>
                <w:szCs w:val="20"/>
              </w:rPr>
              <w:t>4,782 </w:t>
            </w:r>
          </w:p>
        </w:tc>
        <w:tc>
          <w:tcPr>
            <w:tcW w:w="0" w:type="auto"/>
            <w:shd w:val="clear" w:color="auto" w:fill="CCEEFF"/>
            <w:tcMar>
              <w:top w:w="40" w:type="dxa"/>
              <w:left w:w="0" w:type="dxa"/>
              <w:bottom w:w="40" w:type="dxa"/>
              <w:right w:w="20" w:type="dxa"/>
            </w:tcMar>
            <w:vAlign w:val="bottom"/>
          </w:tcPr>
          <w:p w14:paraId="7B66E059" w14:textId="77777777" w:rsidR="0040300B" w:rsidRDefault="0040300B">
            <w:pPr>
              <w:jc w:val="right"/>
              <w:rPr>
                <w:rFonts w:ascii="宋体"/>
              </w:rPr>
            </w:pPr>
          </w:p>
        </w:tc>
      </w:tr>
      <w:tr w:rsidR="0040300B" w14:paraId="7B66E067" w14:textId="77777777">
        <w:tc>
          <w:tcPr>
            <w:tcW w:w="0" w:type="auto"/>
            <w:gridSpan w:val="3"/>
            <w:shd w:val="clear" w:color="auto" w:fill="FFFFFF"/>
            <w:tcMar>
              <w:top w:w="40" w:type="dxa"/>
              <w:left w:w="380" w:type="dxa"/>
              <w:bottom w:w="40" w:type="dxa"/>
              <w:right w:w="20" w:type="dxa"/>
            </w:tcMar>
            <w:vAlign w:val="bottom"/>
          </w:tcPr>
          <w:p w14:paraId="7B66E05B" w14:textId="77777777" w:rsidR="0040300B" w:rsidRDefault="00BB2D44">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7B66E05C" w14:textId="77777777" w:rsidR="0040300B" w:rsidRDefault="00BB2D44">
            <w:pPr>
              <w:jc w:val="right"/>
              <w:textAlignment w:val="bottom"/>
            </w:pPr>
            <w:r>
              <w:rPr>
                <w:rFonts w:ascii="Times New Roman" w:eastAsia="宋体" w:hAnsi="Times New Roman"/>
                <w:color w:val="000000"/>
                <w:sz w:val="20"/>
                <w:szCs w:val="20"/>
              </w:rPr>
              <w:t>2,317 </w:t>
            </w:r>
          </w:p>
        </w:tc>
        <w:tc>
          <w:tcPr>
            <w:tcW w:w="0" w:type="auto"/>
            <w:shd w:val="clear" w:color="auto" w:fill="FFFFFF"/>
            <w:tcMar>
              <w:top w:w="40" w:type="dxa"/>
              <w:left w:w="0" w:type="dxa"/>
              <w:bottom w:w="40" w:type="dxa"/>
              <w:right w:w="20" w:type="dxa"/>
            </w:tcMar>
            <w:vAlign w:val="bottom"/>
          </w:tcPr>
          <w:p w14:paraId="7B66E05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5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5F" w14:textId="77777777" w:rsidR="0040300B" w:rsidRDefault="00BB2D44">
            <w:pPr>
              <w:jc w:val="right"/>
              <w:textAlignment w:val="bottom"/>
            </w:pPr>
            <w:r>
              <w:rPr>
                <w:rFonts w:ascii="Times New Roman" w:eastAsia="宋体" w:hAnsi="Times New Roman"/>
                <w:color w:val="000000"/>
                <w:sz w:val="20"/>
                <w:szCs w:val="20"/>
              </w:rPr>
              <w:t>2,192 </w:t>
            </w:r>
          </w:p>
        </w:tc>
        <w:tc>
          <w:tcPr>
            <w:tcW w:w="0" w:type="auto"/>
            <w:shd w:val="clear" w:color="auto" w:fill="FFFFFF"/>
            <w:tcMar>
              <w:top w:w="40" w:type="dxa"/>
              <w:left w:w="0" w:type="dxa"/>
              <w:bottom w:w="40" w:type="dxa"/>
              <w:right w:w="20" w:type="dxa"/>
            </w:tcMar>
            <w:vAlign w:val="bottom"/>
          </w:tcPr>
          <w:p w14:paraId="7B66E06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6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62" w14:textId="77777777" w:rsidR="0040300B" w:rsidRDefault="00BB2D44">
            <w:pPr>
              <w:jc w:val="right"/>
              <w:textAlignment w:val="bottom"/>
            </w:pPr>
            <w:r>
              <w:rPr>
                <w:rFonts w:ascii="Times New Roman" w:eastAsia="宋体" w:hAnsi="Times New Roman"/>
                <w:color w:val="000000"/>
                <w:sz w:val="20"/>
                <w:szCs w:val="20"/>
              </w:rPr>
              <w:t>6,811 </w:t>
            </w:r>
          </w:p>
        </w:tc>
        <w:tc>
          <w:tcPr>
            <w:tcW w:w="0" w:type="auto"/>
            <w:shd w:val="clear" w:color="auto" w:fill="FFFFFF"/>
            <w:tcMar>
              <w:top w:w="40" w:type="dxa"/>
              <w:left w:w="0" w:type="dxa"/>
              <w:bottom w:w="40" w:type="dxa"/>
              <w:right w:w="20" w:type="dxa"/>
            </w:tcMar>
            <w:vAlign w:val="bottom"/>
          </w:tcPr>
          <w:p w14:paraId="7B66E06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6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65" w14:textId="77777777" w:rsidR="0040300B" w:rsidRDefault="00BB2D44">
            <w:pPr>
              <w:jc w:val="right"/>
              <w:textAlignment w:val="bottom"/>
            </w:pPr>
            <w:r>
              <w:rPr>
                <w:rFonts w:ascii="Times New Roman" w:eastAsia="宋体" w:hAnsi="Times New Roman"/>
                <w:color w:val="000000"/>
                <w:sz w:val="20"/>
                <w:szCs w:val="20"/>
              </w:rPr>
              <w:t>6,951 </w:t>
            </w:r>
          </w:p>
        </w:tc>
        <w:tc>
          <w:tcPr>
            <w:tcW w:w="0" w:type="auto"/>
            <w:shd w:val="clear" w:color="auto" w:fill="FFFFFF"/>
            <w:tcMar>
              <w:top w:w="40" w:type="dxa"/>
              <w:left w:w="0" w:type="dxa"/>
              <w:bottom w:w="40" w:type="dxa"/>
              <w:right w:w="20" w:type="dxa"/>
            </w:tcMar>
            <w:vAlign w:val="bottom"/>
          </w:tcPr>
          <w:p w14:paraId="7B66E066" w14:textId="77777777" w:rsidR="0040300B" w:rsidRDefault="0040300B">
            <w:pPr>
              <w:jc w:val="right"/>
              <w:rPr>
                <w:rFonts w:ascii="宋体"/>
              </w:rPr>
            </w:pPr>
          </w:p>
        </w:tc>
      </w:tr>
      <w:tr w:rsidR="0040300B" w14:paraId="7B66E074" w14:textId="77777777">
        <w:tc>
          <w:tcPr>
            <w:tcW w:w="0" w:type="auto"/>
            <w:gridSpan w:val="3"/>
            <w:shd w:val="clear" w:color="auto" w:fill="CCEEFF"/>
            <w:tcMar>
              <w:top w:w="40" w:type="dxa"/>
              <w:left w:w="380" w:type="dxa"/>
              <w:bottom w:w="40" w:type="dxa"/>
              <w:right w:w="20" w:type="dxa"/>
            </w:tcMar>
            <w:vAlign w:val="bottom"/>
          </w:tcPr>
          <w:p w14:paraId="7B66E068" w14:textId="77777777" w:rsidR="0040300B" w:rsidRDefault="00BB2D44">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7B66E069" w14:textId="77777777" w:rsidR="0040300B" w:rsidRDefault="00BB2D44">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7B66E06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6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6C" w14:textId="77777777" w:rsidR="0040300B" w:rsidRDefault="00BB2D44">
            <w:pPr>
              <w:jc w:val="right"/>
              <w:textAlignment w:val="bottom"/>
            </w:pPr>
            <w:r>
              <w:rPr>
                <w:rFonts w:ascii="Times New Roman" w:eastAsia="宋体" w:hAnsi="Times New Roman"/>
                <w:color w:val="000000"/>
                <w:sz w:val="20"/>
                <w:szCs w:val="20"/>
              </w:rPr>
              <w:t>457 </w:t>
            </w:r>
          </w:p>
        </w:tc>
        <w:tc>
          <w:tcPr>
            <w:tcW w:w="0" w:type="auto"/>
            <w:shd w:val="clear" w:color="auto" w:fill="CCEEFF"/>
            <w:tcMar>
              <w:top w:w="40" w:type="dxa"/>
              <w:left w:w="0" w:type="dxa"/>
              <w:bottom w:w="40" w:type="dxa"/>
              <w:right w:w="20" w:type="dxa"/>
            </w:tcMar>
            <w:vAlign w:val="bottom"/>
          </w:tcPr>
          <w:p w14:paraId="7B66E06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6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6F" w14:textId="77777777" w:rsidR="0040300B" w:rsidRDefault="00BB2D44">
            <w:pPr>
              <w:jc w:val="right"/>
              <w:textAlignment w:val="bottom"/>
            </w:pPr>
            <w:r>
              <w:rPr>
                <w:rFonts w:ascii="Times New Roman" w:eastAsia="宋体" w:hAnsi="Times New Roman"/>
                <w:color w:val="000000"/>
                <w:sz w:val="20"/>
                <w:szCs w:val="20"/>
              </w:rPr>
              <w:t>1,631 </w:t>
            </w:r>
          </w:p>
        </w:tc>
        <w:tc>
          <w:tcPr>
            <w:tcW w:w="0" w:type="auto"/>
            <w:shd w:val="clear" w:color="auto" w:fill="CCEEFF"/>
            <w:tcMar>
              <w:top w:w="40" w:type="dxa"/>
              <w:left w:w="0" w:type="dxa"/>
              <w:bottom w:w="40" w:type="dxa"/>
              <w:right w:w="20" w:type="dxa"/>
            </w:tcMar>
            <w:vAlign w:val="bottom"/>
          </w:tcPr>
          <w:p w14:paraId="7B66E07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7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72" w14:textId="77777777" w:rsidR="0040300B" w:rsidRDefault="00BB2D44">
            <w:pPr>
              <w:jc w:val="right"/>
              <w:textAlignment w:val="bottom"/>
            </w:pPr>
            <w:r>
              <w:rPr>
                <w:rFonts w:ascii="Times New Roman" w:eastAsia="宋体" w:hAnsi="Times New Roman"/>
                <w:color w:val="000000"/>
                <w:sz w:val="20"/>
                <w:szCs w:val="20"/>
              </w:rPr>
              <w:t>1,431 </w:t>
            </w:r>
          </w:p>
        </w:tc>
        <w:tc>
          <w:tcPr>
            <w:tcW w:w="0" w:type="auto"/>
            <w:shd w:val="clear" w:color="auto" w:fill="CCEEFF"/>
            <w:tcMar>
              <w:top w:w="40" w:type="dxa"/>
              <w:left w:w="0" w:type="dxa"/>
              <w:bottom w:w="40" w:type="dxa"/>
              <w:right w:w="20" w:type="dxa"/>
            </w:tcMar>
            <w:vAlign w:val="bottom"/>
          </w:tcPr>
          <w:p w14:paraId="7B66E073" w14:textId="77777777" w:rsidR="0040300B" w:rsidRDefault="0040300B">
            <w:pPr>
              <w:jc w:val="right"/>
              <w:rPr>
                <w:rFonts w:ascii="宋体"/>
              </w:rPr>
            </w:pPr>
          </w:p>
        </w:tc>
      </w:tr>
      <w:tr w:rsidR="0040300B" w14:paraId="7B66E081" w14:textId="77777777">
        <w:tc>
          <w:tcPr>
            <w:tcW w:w="0" w:type="auto"/>
            <w:gridSpan w:val="3"/>
            <w:shd w:val="clear" w:color="auto" w:fill="FFFFFF"/>
            <w:tcMar>
              <w:top w:w="40" w:type="dxa"/>
              <w:left w:w="380" w:type="dxa"/>
              <w:bottom w:w="40" w:type="dxa"/>
              <w:right w:w="20" w:type="dxa"/>
            </w:tcMar>
            <w:vAlign w:val="bottom"/>
          </w:tcPr>
          <w:p w14:paraId="7B66E075" w14:textId="77777777" w:rsidR="0040300B" w:rsidRDefault="00BB2D44">
            <w:pPr>
              <w:textAlignment w:val="bottom"/>
            </w:pPr>
            <w:r>
              <w:rPr>
                <w:rFonts w:ascii="Times New Roman" w:eastAsia="宋体" w:hAnsi="Times New Roman"/>
                <w:color w:val="000000"/>
                <w:sz w:val="20"/>
                <w:szCs w:val="20"/>
              </w:rPr>
              <w:t>Amortization of purchased intangible assets</w:t>
            </w:r>
          </w:p>
        </w:tc>
        <w:tc>
          <w:tcPr>
            <w:tcW w:w="0" w:type="auto"/>
            <w:gridSpan w:val="2"/>
            <w:shd w:val="clear" w:color="auto" w:fill="FFFFFF"/>
            <w:tcMar>
              <w:top w:w="40" w:type="dxa"/>
              <w:left w:w="20" w:type="dxa"/>
              <w:bottom w:w="40" w:type="dxa"/>
              <w:right w:w="0" w:type="dxa"/>
            </w:tcMar>
            <w:vAlign w:val="bottom"/>
          </w:tcPr>
          <w:p w14:paraId="7B66E076"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7B66E07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7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79" w14:textId="77777777" w:rsidR="0040300B" w:rsidRDefault="00BB2D44">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7B66E07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7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7C" w14:textId="77777777" w:rsidR="0040300B" w:rsidRDefault="00BB2D44">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B66E07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7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7F" w14:textId="77777777" w:rsidR="0040300B" w:rsidRDefault="00BB2D4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B66E080" w14:textId="77777777" w:rsidR="0040300B" w:rsidRDefault="0040300B">
            <w:pPr>
              <w:jc w:val="right"/>
              <w:rPr>
                <w:rFonts w:ascii="宋体"/>
              </w:rPr>
            </w:pPr>
          </w:p>
        </w:tc>
      </w:tr>
      <w:tr w:rsidR="0040300B" w14:paraId="7B66E08E" w14:textId="77777777">
        <w:tc>
          <w:tcPr>
            <w:tcW w:w="0" w:type="auto"/>
            <w:gridSpan w:val="3"/>
            <w:shd w:val="clear" w:color="auto" w:fill="CCEEFF"/>
            <w:tcMar>
              <w:top w:w="40" w:type="dxa"/>
              <w:left w:w="380" w:type="dxa"/>
              <w:bottom w:w="40" w:type="dxa"/>
              <w:right w:w="20" w:type="dxa"/>
            </w:tcMar>
            <w:vAlign w:val="bottom"/>
          </w:tcPr>
          <w:p w14:paraId="7B66E082" w14:textId="77777777" w:rsidR="0040300B" w:rsidRDefault="00BB2D44">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7B66E083" w14:textId="77777777" w:rsidR="0040300B" w:rsidRDefault="00BB2D44">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7B66E08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8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86" w14:textId="77777777" w:rsidR="0040300B" w:rsidRDefault="00BB2D44">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7B66E08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8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89" w14:textId="77777777" w:rsidR="0040300B" w:rsidRDefault="00BB2D44">
            <w:pPr>
              <w:jc w:val="right"/>
              <w:textAlignment w:val="bottom"/>
            </w:pPr>
            <w:r>
              <w:rPr>
                <w:rFonts w:ascii="Times New Roman" w:eastAsia="宋体" w:hAnsi="Times New Roman"/>
                <w:color w:val="000000"/>
                <w:sz w:val="20"/>
                <w:szCs w:val="20"/>
              </w:rPr>
              <w:t>878 </w:t>
            </w:r>
          </w:p>
        </w:tc>
        <w:tc>
          <w:tcPr>
            <w:tcW w:w="0" w:type="auto"/>
            <w:shd w:val="clear" w:color="auto" w:fill="CCEEFF"/>
            <w:tcMar>
              <w:top w:w="40" w:type="dxa"/>
              <w:left w:w="0" w:type="dxa"/>
              <w:bottom w:w="40" w:type="dxa"/>
              <w:right w:w="20" w:type="dxa"/>
            </w:tcMar>
            <w:vAlign w:val="bottom"/>
          </w:tcPr>
          <w:p w14:paraId="7B66E08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8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8C" w14:textId="77777777" w:rsidR="0040300B" w:rsidRDefault="00BB2D44">
            <w:pPr>
              <w:jc w:val="right"/>
              <w:textAlignment w:val="bottom"/>
            </w:pPr>
            <w:r>
              <w:rPr>
                <w:rFonts w:ascii="Times New Roman" w:eastAsia="宋体" w:hAnsi="Times New Roman"/>
                <w:color w:val="000000"/>
                <w:sz w:val="20"/>
                <w:szCs w:val="20"/>
              </w:rPr>
              <w:t>354 </w:t>
            </w:r>
          </w:p>
        </w:tc>
        <w:tc>
          <w:tcPr>
            <w:tcW w:w="0" w:type="auto"/>
            <w:shd w:val="clear" w:color="auto" w:fill="CCEEFF"/>
            <w:tcMar>
              <w:top w:w="40" w:type="dxa"/>
              <w:left w:w="0" w:type="dxa"/>
              <w:bottom w:w="40" w:type="dxa"/>
              <w:right w:w="20" w:type="dxa"/>
            </w:tcMar>
            <w:vAlign w:val="bottom"/>
          </w:tcPr>
          <w:p w14:paraId="7B66E08D" w14:textId="77777777" w:rsidR="0040300B" w:rsidRDefault="0040300B">
            <w:pPr>
              <w:jc w:val="right"/>
              <w:rPr>
                <w:rFonts w:ascii="宋体"/>
              </w:rPr>
            </w:pPr>
          </w:p>
        </w:tc>
      </w:tr>
      <w:tr w:rsidR="0040300B" w14:paraId="7B66E09B" w14:textId="77777777">
        <w:tc>
          <w:tcPr>
            <w:tcW w:w="0" w:type="auto"/>
            <w:gridSpan w:val="3"/>
            <w:shd w:val="clear" w:color="auto" w:fill="FFFFFF"/>
            <w:tcMar>
              <w:top w:w="40" w:type="dxa"/>
              <w:left w:w="740" w:type="dxa"/>
              <w:bottom w:w="40" w:type="dxa"/>
              <w:right w:w="20" w:type="dxa"/>
            </w:tcMar>
            <w:vAlign w:val="bottom"/>
          </w:tcPr>
          <w:p w14:paraId="7B66E08F" w14:textId="77777777" w:rsidR="0040300B" w:rsidRDefault="00BB2D44">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90" w14:textId="77777777" w:rsidR="0040300B" w:rsidRDefault="00BB2D44">
            <w:pPr>
              <w:jc w:val="right"/>
              <w:textAlignment w:val="bottom"/>
            </w:pPr>
            <w:r>
              <w:rPr>
                <w:rFonts w:ascii="Times New Roman" w:eastAsia="宋体" w:hAnsi="Times New Roman"/>
                <w:color w:val="000000"/>
                <w:sz w:val="20"/>
                <w:szCs w:val="20"/>
              </w:rPr>
              <w:t>4,720 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9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92"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93" w14:textId="77777777" w:rsidR="0040300B" w:rsidRDefault="00BB2D44">
            <w:pPr>
              <w:jc w:val="right"/>
              <w:textAlignment w:val="bottom"/>
            </w:pPr>
            <w:r>
              <w:rPr>
                <w:rFonts w:ascii="Times New Roman" w:eastAsia="宋体" w:hAnsi="Times New Roman"/>
                <w:color w:val="000000"/>
                <w:sz w:val="20"/>
                <w:szCs w:val="20"/>
              </w:rPr>
              <w:t>4,357 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9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95"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96" w14:textId="77777777" w:rsidR="0040300B" w:rsidRDefault="00BB2D44">
            <w:pPr>
              <w:jc w:val="right"/>
              <w:textAlignment w:val="bottom"/>
            </w:pPr>
            <w:r>
              <w:rPr>
                <w:rFonts w:ascii="Times New Roman" w:eastAsia="宋体" w:hAnsi="Times New Roman"/>
                <w:color w:val="000000"/>
                <w:sz w:val="20"/>
                <w:szCs w:val="20"/>
              </w:rPr>
              <w:t>14,292 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98"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99" w14:textId="77777777" w:rsidR="0040300B" w:rsidRDefault="00BB2D44">
            <w:pPr>
              <w:jc w:val="right"/>
              <w:textAlignment w:val="bottom"/>
            </w:pPr>
            <w:r>
              <w:rPr>
                <w:rFonts w:ascii="Times New Roman" w:eastAsia="宋体" w:hAnsi="Times New Roman"/>
                <w:color w:val="000000"/>
                <w:sz w:val="20"/>
                <w:szCs w:val="20"/>
              </w:rPr>
              <w:t>13,626 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9A" w14:textId="77777777" w:rsidR="0040300B" w:rsidRDefault="0040300B">
            <w:pPr>
              <w:jc w:val="right"/>
              <w:rPr>
                <w:rFonts w:ascii="宋体"/>
              </w:rPr>
            </w:pPr>
          </w:p>
        </w:tc>
      </w:tr>
      <w:tr w:rsidR="0040300B" w14:paraId="7B66E0A8" w14:textId="77777777">
        <w:tc>
          <w:tcPr>
            <w:tcW w:w="0" w:type="auto"/>
            <w:gridSpan w:val="3"/>
            <w:shd w:val="clear" w:color="auto" w:fill="CCEEFF"/>
            <w:tcMar>
              <w:top w:w="40" w:type="dxa"/>
              <w:left w:w="20" w:type="dxa"/>
              <w:bottom w:w="40" w:type="dxa"/>
              <w:right w:w="20" w:type="dxa"/>
            </w:tcMar>
            <w:vAlign w:val="bottom"/>
          </w:tcPr>
          <w:p w14:paraId="7B66E09C" w14:textId="77777777" w:rsidR="0040300B" w:rsidRDefault="00BB2D44">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9D" w14:textId="77777777" w:rsidR="0040300B" w:rsidRDefault="00BB2D44">
            <w:pPr>
              <w:jc w:val="right"/>
              <w:textAlignment w:val="bottom"/>
            </w:pPr>
            <w:r>
              <w:rPr>
                <w:rFonts w:ascii="Times New Roman" w:eastAsia="宋体" w:hAnsi="Times New Roman"/>
                <w:color w:val="000000"/>
                <w:sz w:val="20"/>
                <w:szCs w:val="20"/>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9F"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A0" w14:textId="77777777" w:rsidR="0040300B" w:rsidRDefault="00BB2D44">
            <w:pPr>
              <w:jc w:val="right"/>
              <w:textAlignment w:val="bottom"/>
            </w:pPr>
            <w:r>
              <w:rPr>
                <w:rFonts w:ascii="Times New Roman" w:eastAsia="宋体" w:hAnsi="Times New Roman"/>
                <w:color w:val="000000"/>
                <w:sz w:val="20"/>
                <w:szCs w:val="20"/>
              </w:rPr>
              <w:t>3,414 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A2"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A3" w14:textId="77777777" w:rsidR="0040300B" w:rsidRDefault="00BB2D44">
            <w:pPr>
              <w:jc w:val="right"/>
              <w:textAlignment w:val="bottom"/>
            </w:pPr>
            <w:r>
              <w:rPr>
                <w:rFonts w:ascii="Times New Roman" w:eastAsia="宋体" w:hAnsi="Times New Roman"/>
                <w:color w:val="000000"/>
                <w:sz w:val="20"/>
                <w:szCs w:val="20"/>
              </w:rPr>
              <w:t>9,258 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A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A5"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A6" w14:textId="77777777" w:rsidR="0040300B" w:rsidRDefault="00BB2D44">
            <w:pPr>
              <w:jc w:val="right"/>
              <w:textAlignment w:val="bottom"/>
            </w:pPr>
            <w:r>
              <w:rPr>
                <w:rFonts w:ascii="Times New Roman" w:eastAsia="宋体" w:hAnsi="Times New Roman"/>
                <w:color w:val="000000"/>
                <w:sz w:val="20"/>
                <w:szCs w:val="20"/>
              </w:rPr>
              <w:t>10,373 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A7" w14:textId="77777777" w:rsidR="0040300B" w:rsidRDefault="0040300B">
            <w:pPr>
              <w:jc w:val="right"/>
              <w:rPr>
                <w:rFonts w:ascii="宋体"/>
              </w:rPr>
            </w:pPr>
          </w:p>
        </w:tc>
      </w:tr>
      <w:tr w:rsidR="0040300B" w14:paraId="7B66E0B5" w14:textId="77777777">
        <w:tc>
          <w:tcPr>
            <w:tcW w:w="0" w:type="auto"/>
            <w:gridSpan w:val="3"/>
            <w:shd w:val="clear" w:color="auto" w:fill="FFFFFF"/>
            <w:tcMar>
              <w:top w:w="40" w:type="dxa"/>
              <w:left w:w="380" w:type="dxa"/>
              <w:bottom w:w="40" w:type="dxa"/>
              <w:right w:w="20" w:type="dxa"/>
            </w:tcMar>
            <w:vAlign w:val="bottom"/>
          </w:tcPr>
          <w:p w14:paraId="7B66E0A9" w14:textId="77777777" w:rsidR="0040300B" w:rsidRDefault="00BB2D44">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7B66E0AA" w14:textId="77777777" w:rsidR="0040300B" w:rsidRDefault="00BB2D44">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7B66E0A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A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AD" w14:textId="77777777" w:rsidR="0040300B" w:rsidRDefault="00BB2D44">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7B66E0A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A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B0" w14:textId="77777777" w:rsidR="0040300B" w:rsidRDefault="00BB2D44">
            <w:pPr>
              <w:jc w:val="right"/>
              <w:textAlignment w:val="bottom"/>
            </w:pPr>
            <w:r>
              <w:rPr>
                <w:rFonts w:ascii="Times New Roman" w:eastAsia="宋体" w:hAnsi="Times New Roman"/>
                <w:color w:val="000000"/>
                <w:sz w:val="20"/>
                <w:szCs w:val="20"/>
              </w:rPr>
              <w:t>488 </w:t>
            </w:r>
          </w:p>
        </w:tc>
        <w:tc>
          <w:tcPr>
            <w:tcW w:w="0" w:type="auto"/>
            <w:shd w:val="clear" w:color="auto" w:fill="FFFFFF"/>
            <w:tcMar>
              <w:top w:w="40" w:type="dxa"/>
              <w:left w:w="0" w:type="dxa"/>
              <w:bottom w:w="40" w:type="dxa"/>
              <w:right w:w="20" w:type="dxa"/>
            </w:tcMar>
            <w:vAlign w:val="bottom"/>
          </w:tcPr>
          <w:p w14:paraId="7B66E0B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B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B3" w14:textId="77777777" w:rsidR="0040300B" w:rsidRDefault="00BB2D44">
            <w:pPr>
              <w:jc w:val="right"/>
              <w:textAlignment w:val="bottom"/>
            </w:pPr>
            <w:r>
              <w:rPr>
                <w:rFonts w:ascii="Times New Roman" w:eastAsia="宋体" w:hAnsi="Times New Roman"/>
                <w:color w:val="000000"/>
                <w:sz w:val="20"/>
                <w:szCs w:val="20"/>
              </w:rPr>
              <w:t>733 </w:t>
            </w:r>
          </w:p>
        </w:tc>
        <w:tc>
          <w:tcPr>
            <w:tcW w:w="0" w:type="auto"/>
            <w:shd w:val="clear" w:color="auto" w:fill="FFFFFF"/>
            <w:tcMar>
              <w:top w:w="40" w:type="dxa"/>
              <w:left w:w="0" w:type="dxa"/>
              <w:bottom w:w="40" w:type="dxa"/>
              <w:right w:w="20" w:type="dxa"/>
            </w:tcMar>
            <w:vAlign w:val="bottom"/>
          </w:tcPr>
          <w:p w14:paraId="7B66E0B4" w14:textId="77777777" w:rsidR="0040300B" w:rsidRDefault="0040300B">
            <w:pPr>
              <w:jc w:val="right"/>
              <w:rPr>
                <w:rFonts w:ascii="宋体"/>
              </w:rPr>
            </w:pPr>
          </w:p>
        </w:tc>
      </w:tr>
      <w:tr w:rsidR="0040300B" w14:paraId="7B66E0C2" w14:textId="77777777">
        <w:tc>
          <w:tcPr>
            <w:tcW w:w="0" w:type="auto"/>
            <w:gridSpan w:val="3"/>
            <w:shd w:val="clear" w:color="auto" w:fill="CCEEFF"/>
            <w:tcMar>
              <w:top w:w="40" w:type="dxa"/>
              <w:left w:w="380" w:type="dxa"/>
              <w:bottom w:w="40" w:type="dxa"/>
              <w:right w:w="20" w:type="dxa"/>
            </w:tcMar>
            <w:vAlign w:val="bottom"/>
          </w:tcPr>
          <w:p w14:paraId="7B66E0B6" w14:textId="77777777" w:rsidR="0040300B" w:rsidRDefault="00BB2D44">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7B66E0B7" w14:textId="77777777" w:rsidR="0040300B" w:rsidRDefault="00BB2D44">
            <w:pPr>
              <w:jc w:val="right"/>
              <w:textAlignment w:val="bottom"/>
            </w:pPr>
            <w:r>
              <w:rPr>
                <w:rFonts w:ascii="Times New Roman" w:eastAsia="宋体" w:hAnsi="Times New Roman"/>
                <w:color w:val="000000"/>
                <w:sz w:val="20"/>
                <w:szCs w:val="20"/>
              </w:rPr>
              <w:t>(111)</w:t>
            </w:r>
          </w:p>
        </w:tc>
        <w:tc>
          <w:tcPr>
            <w:tcW w:w="0" w:type="auto"/>
            <w:shd w:val="clear" w:color="auto" w:fill="CCEEFF"/>
            <w:tcMar>
              <w:top w:w="40" w:type="dxa"/>
              <w:left w:w="0" w:type="dxa"/>
              <w:bottom w:w="40" w:type="dxa"/>
              <w:right w:w="20" w:type="dxa"/>
            </w:tcMar>
            <w:vAlign w:val="bottom"/>
          </w:tcPr>
          <w:p w14:paraId="7B66E0B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B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BA" w14:textId="77777777" w:rsidR="0040300B" w:rsidRDefault="00BB2D44">
            <w:pPr>
              <w:jc w:val="right"/>
              <w:textAlignment w:val="bottom"/>
            </w:pPr>
            <w:r>
              <w:rPr>
                <w:rFonts w:ascii="Times New Roman" w:eastAsia="宋体" w:hAnsi="Times New Roman"/>
                <w:color w:val="000000"/>
                <w:sz w:val="20"/>
                <w:szCs w:val="20"/>
              </w:rPr>
              <w:t>(130)</w:t>
            </w:r>
          </w:p>
        </w:tc>
        <w:tc>
          <w:tcPr>
            <w:tcW w:w="0" w:type="auto"/>
            <w:shd w:val="clear" w:color="auto" w:fill="CCEEFF"/>
            <w:tcMar>
              <w:top w:w="40" w:type="dxa"/>
              <w:left w:w="0" w:type="dxa"/>
              <w:bottom w:w="40" w:type="dxa"/>
              <w:right w:w="20" w:type="dxa"/>
            </w:tcMar>
            <w:vAlign w:val="bottom"/>
          </w:tcPr>
          <w:p w14:paraId="7B66E0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B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BD" w14:textId="77777777" w:rsidR="0040300B" w:rsidRDefault="00BB2D44">
            <w:pPr>
              <w:jc w:val="right"/>
              <w:textAlignment w:val="bottom"/>
            </w:pPr>
            <w:r>
              <w:rPr>
                <w:rFonts w:ascii="Times New Roman" w:eastAsia="宋体" w:hAnsi="Times New Roman"/>
                <w:color w:val="000000"/>
                <w:sz w:val="20"/>
                <w:szCs w:val="20"/>
              </w:rPr>
              <w:t>(336)</w:t>
            </w:r>
          </w:p>
        </w:tc>
        <w:tc>
          <w:tcPr>
            <w:tcW w:w="0" w:type="auto"/>
            <w:shd w:val="clear" w:color="auto" w:fill="CCEEFF"/>
            <w:tcMar>
              <w:top w:w="40" w:type="dxa"/>
              <w:left w:w="0" w:type="dxa"/>
              <w:bottom w:w="40" w:type="dxa"/>
              <w:right w:w="20" w:type="dxa"/>
            </w:tcMar>
            <w:vAlign w:val="bottom"/>
          </w:tcPr>
          <w:p w14:paraId="7B66E0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B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C0" w14:textId="77777777" w:rsidR="0040300B" w:rsidRDefault="00BB2D44">
            <w:pPr>
              <w:jc w:val="right"/>
              <w:textAlignment w:val="bottom"/>
            </w:pPr>
            <w:r>
              <w:rPr>
                <w:rFonts w:ascii="Times New Roman" w:eastAsia="宋体" w:hAnsi="Times New Roman"/>
                <w:color w:val="000000"/>
                <w:sz w:val="20"/>
                <w:szCs w:val="20"/>
              </w:rPr>
              <w:t>(466)</w:t>
            </w:r>
          </w:p>
        </w:tc>
        <w:tc>
          <w:tcPr>
            <w:tcW w:w="0" w:type="auto"/>
            <w:shd w:val="clear" w:color="auto" w:fill="CCEEFF"/>
            <w:tcMar>
              <w:top w:w="40" w:type="dxa"/>
              <w:left w:w="0" w:type="dxa"/>
              <w:bottom w:w="40" w:type="dxa"/>
              <w:right w:w="20" w:type="dxa"/>
            </w:tcMar>
            <w:vAlign w:val="bottom"/>
          </w:tcPr>
          <w:p w14:paraId="7B66E0C1" w14:textId="77777777" w:rsidR="0040300B" w:rsidRDefault="0040300B">
            <w:pPr>
              <w:jc w:val="right"/>
              <w:rPr>
                <w:rFonts w:ascii="宋体"/>
              </w:rPr>
            </w:pPr>
          </w:p>
        </w:tc>
      </w:tr>
      <w:tr w:rsidR="0040300B" w14:paraId="7B66E0CF" w14:textId="77777777">
        <w:tc>
          <w:tcPr>
            <w:tcW w:w="0" w:type="auto"/>
            <w:gridSpan w:val="3"/>
            <w:shd w:val="clear" w:color="auto" w:fill="FFFFFF"/>
            <w:tcMar>
              <w:top w:w="40" w:type="dxa"/>
              <w:left w:w="380" w:type="dxa"/>
              <w:bottom w:w="40" w:type="dxa"/>
              <w:right w:w="20" w:type="dxa"/>
            </w:tcMar>
            <w:vAlign w:val="bottom"/>
          </w:tcPr>
          <w:p w14:paraId="7B66E0C3" w14:textId="77777777" w:rsidR="0040300B" w:rsidRDefault="00BB2D44">
            <w:pPr>
              <w:textAlignment w:val="bottom"/>
            </w:pPr>
            <w:r>
              <w:rPr>
                <w:rFonts w:ascii="Times New Roman" w:eastAsia="宋体" w:hAnsi="Times New Roman"/>
                <w:color w:val="000000"/>
                <w:sz w:val="20"/>
                <w:szCs w:val="20"/>
              </w:rPr>
              <w:t>Other income (loss), net</w:t>
            </w:r>
          </w:p>
        </w:tc>
        <w:tc>
          <w:tcPr>
            <w:tcW w:w="0" w:type="auto"/>
            <w:gridSpan w:val="2"/>
            <w:shd w:val="clear" w:color="auto" w:fill="FFFFFF"/>
            <w:tcMar>
              <w:top w:w="40" w:type="dxa"/>
              <w:left w:w="20" w:type="dxa"/>
              <w:bottom w:w="40" w:type="dxa"/>
              <w:right w:w="0" w:type="dxa"/>
            </w:tcMar>
            <w:vAlign w:val="bottom"/>
          </w:tcPr>
          <w:p w14:paraId="7B66E0C4" w14:textId="77777777" w:rsidR="0040300B" w:rsidRDefault="00BB2D44">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7B66E0C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C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C7" w14:textId="77777777" w:rsidR="0040300B" w:rsidRDefault="00BB2D44">
            <w:pPr>
              <w:jc w:val="right"/>
              <w:textAlignment w:val="bottom"/>
            </w:pPr>
            <w:r>
              <w:rPr>
                <w:rFonts w:ascii="Times New Roman" w:eastAsia="宋体" w:hAnsi="Times New Roman"/>
                <w:color w:val="000000"/>
                <w:sz w:val="20"/>
                <w:szCs w:val="20"/>
              </w:rPr>
              <w:t>(58)</w:t>
            </w:r>
          </w:p>
        </w:tc>
        <w:tc>
          <w:tcPr>
            <w:tcW w:w="0" w:type="auto"/>
            <w:shd w:val="clear" w:color="auto" w:fill="FFFFFF"/>
            <w:tcMar>
              <w:top w:w="40" w:type="dxa"/>
              <w:left w:w="0" w:type="dxa"/>
              <w:bottom w:w="40" w:type="dxa"/>
              <w:right w:w="20" w:type="dxa"/>
            </w:tcMar>
            <w:vAlign w:val="bottom"/>
          </w:tcPr>
          <w:p w14:paraId="7B66E0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C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CA" w14:textId="77777777" w:rsidR="0040300B" w:rsidRDefault="00BB2D44">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7B66E0C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C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0CD" w14:textId="77777777" w:rsidR="0040300B" w:rsidRDefault="00BB2D44">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B66E0CE" w14:textId="77777777" w:rsidR="0040300B" w:rsidRDefault="0040300B">
            <w:pPr>
              <w:jc w:val="right"/>
              <w:rPr>
                <w:rFonts w:ascii="宋体"/>
              </w:rPr>
            </w:pPr>
          </w:p>
        </w:tc>
      </w:tr>
      <w:tr w:rsidR="0040300B" w14:paraId="7B66E0DC" w14:textId="77777777">
        <w:tc>
          <w:tcPr>
            <w:tcW w:w="0" w:type="auto"/>
            <w:gridSpan w:val="3"/>
            <w:shd w:val="clear" w:color="auto" w:fill="CCEEFF"/>
            <w:tcMar>
              <w:top w:w="40" w:type="dxa"/>
              <w:left w:w="740" w:type="dxa"/>
              <w:bottom w:w="40" w:type="dxa"/>
              <w:right w:w="20" w:type="dxa"/>
            </w:tcMar>
            <w:vAlign w:val="bottom"/>
          </w:tcPr>
          <w:p w14:paraId="7B66E0D0" w14:textId="77777777" w:rsidR="0040300B" w:rsidRDefault="00BB2D44">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D1" w14:textId="77777777" w:rsidR="0040300B" w:rsidRDefault="00BB2D44">
            <w:pPr>
              <w:jc w:val="right"/>
              <w:textAlignment w:val="bottom"/>
            </w:pPr>
            <w:r>
              <w:rPr>
                <w:rFonts w:ascii="Times New Roman" w:eastAsia="宋体" w:hAnsi="Times New Roman"/>
                <w:color w:val="000000"/>
                <w:sz w:val="20"/>
                <w:szCs w:val="20"/>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D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D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D4" w14:textId="77777777" w:rsidR="0040300B" w:rsidRDefault="00BB2D44">
            <w:pPr>
              <w:jc w:val="right"/>
              <w:textAlignment w:val="bottom"/>
            </w:pPr>
            <w:r>
              <w:rPr>
                <w:rFonts w:ascii="Times New Roman" w:eastAsia="宋体" w:hAnsi="Times New Roman"/>
                <w:color w:val="000000"/>
                <w:sz w:val="20"/>
                <w:szCs w:val="20"/>
              </w:rPr>
              <w:t>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D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D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D7" w14:textId="77777777" w:rsidR="0040300B" w:rsidRDefault="00BB2D44">
            <w:pPr>
              <w:jc w:val="right"/>
              <w:textAlignment w:val="bottom"/>
            </w:pPr>
            <w:r>
              <w:rPr>
                <w:rFonts w:ascii="Times New Roman" w:eastAsia="宋体" w:hAnsi="Times New Roman"/>
                <w:color w:val="000000"/>
                <w:sz w:val="20"/>
                <w:szCs w:val="20"/>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D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0DA" w14:textId="77777777" w:rsidR="0040300B" w:rsidRDefault="00BB2D44">
            <w:pPr>
              <w:jc w:val="right"/>
              <w:textAlignment w:val="bottom"/>
            </w:pPr>
            <w:r>
              <w:rPr>
                <w:rFonts w:ascii="Times New Roman" w:eastAsia="宋体" w:hAnsi="Times New Roman"/>
                <w:color w:val="000000"/>
                <w:sz w:val="20"/>
                <w:szCs w:val="20"/>
              </w:rPr>
              <w:t>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0DB" w14:textId="77777777" w:rsidR="0040300B" w:rsidRDefault="0040300B">
            <w:pPr>
              <w:jc w:val="right"/>
              <w:rPr>
                <w:rFonts w:ascii="宋体"/>
              </w:rPr>
            </w:pPr>
          </w:p>
        </w:tc>
      </w:tr>
      <w:tr w:rsidR="0040300B" w14:paraId="7B66E0E9" w14:textId="77777777">
        <w:tc>
          <w:tcPr>
            <w:tcW w:w="0" w:type="auto"/>
            <w:gridSpan w:val="3"/>
            <w:shd w:val="clear" w:color="auto" w:fill="FFFFFF"/>
            <w:tcMar>
              <w:top w:w="40" w:type="dxa"/>
              <w:left w:w="20" w:type="dxa"/>
              <w:bottom w:w="40" w:type="dxa"/>
              <w:right w:w="20" w:type="dxa"/>
            </w:tcMar>
            <w:vAlign w:val="bottom"/>
          </w:tcPr>
          <w:p w14:paraId="7B66E0DD" w14:textId="77777777" w:rsidR="0040300B" w:rsidRDefault="00BB2D44">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DE" w14:textId="77777777" w:rsidR="0040300B" w:rsidRDefault="00BB2D44">
            <w:pPr>
              <w:jc w:val="right"/>
              <w:textAlignment w:val="bottom"/>
            </w:pPr>
            <w:r>
              <w:rPr>
                <w:rFonts w:ascii="Times New Roman" w:eastAsia="宋体" w:hAnsi="Times New Roman"/>
                <w:color w:val="000000"/>
                <w:sz w:val="20"/>
                <w:szCs w:val="20"/>
              </w:rPr>
              <w:t>3,591 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D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E0"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E1" w14:textId="77777777" w:rsidR="0040300B" w:rsidRDefault="00BB2D44">
            <w:pPr>
              <w:jc w:val="right"/>
              <w:textAlignment w:val="bottom"/>
            </w:pPr>
            <w:r>
              <w:rPr>
                <w:rFonts w:ascii="Times New Roman" w:eastAsia="宋体" w:hAnsi="Times New Roman"/>
                <w:color w:val="000000"/>
                <w:sz w:val="20"/>
                <w:szCs w:val="20"/>
              </w:rPr>
              <w:t>3,444 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E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E3"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E4" w14:textId="77777777" w:rsidR="0040300B" w:rsidRDefault="00BB2D44">
            <w:pPr>
              <w:jc w:val="right"/>
              <w:textAlignment w:val="bottom"/>
            </w:pPr>
            <w:r>
              <w:rPr>
                <w:rFonts w:ascii="Times New Roman" w:eastAsia="宋体" w:hAnsi="Times New Roman"/>
                <w:color w:val="000000"/>
                <w:sz w:val="20"/>
                <w:szCs w:val="20"/>
              </w:rPr>
              <w:t>9,527 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E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E6"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0E7" w14:textId="77777777" w:rsidR="0040300B" w:rsidRDefault="00BB2D44">
            <w:pPr>
              <w:jc w:val="right"/>
              <w:textAlignment w:val="bottom"/>
            </w:pPr>
            <w:r>
              <w:rPr>
                <w:rFonts w:ascii="Times New Roman" w:eastAsia="宋体" w:hAnsi="Times New Roman"/>
                <w:color w:val="000000"/>
                <w:sz w:val="20"/>
                <w:szCs w:val="20"/>
              </w:rPr>
              <w:t>10,664 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E8" w14:textId="77777777" w:rsidR="0040300B" w:rsidRDefault="0040300B">
            <w:pPr>
              <w:jc w:val="right"/>
              <w:rPr>
                <w:rFonts w:ascii="宋体"/>
              </w:rPr>
            </w:pPr>
          </w:p>
        </w:tc>
      </w:tr>
      <w:tr w:rsidR="0040300B" w14:paraId="7B66E0F6" w14:textId="77777777">
        <w:tc>
          <w:tcPr>
            <w:tcW w:w="0" w:type="auto"/>
            <w:gridSpan w:val="3"/>
            <w:shd w:val="clear" w:color="auto" w:fill="CCEEFF"/>
            <w:tcMar>
              <w:top w:w="40" w:type="dxa"/>
              <w:left w:w="20" w:type="dxa"/>
              <w:bottom w:w="40" w:type="dxa"/>
              <w:right w:w="20" w:type="dxa"/>
            </w:tcMar>
            <w:vAlign w:val="bottom"/>
          </w:tcPr>
          <w:p w14:paraId="7B66E0EA" w14:textId="77777777" w:rsidR="0040300B" w:rsidRDefault="00BB2D44">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7B66E0EB" w14:textId="77777777" w:rsidR="0040300B" w:rsidRDefault="00BB2D44">
            <w:pPr>
              <w:jc w:val="right"/>
              <w:textAlignment w:val="bottom"/>
            </w:pPr>
            <w:r>
              <w:rPr>
                <w:rFonts w:ascii="Times New Roman" w:eastAsia="宋体" w:hAnsi="Times New Roman"/>
                <w:color w:val="000000"/>
                <w:sz w:val="20"/>
                <w:szCs w:val="20"/>
              </w:rPr>
              <w:t>728 </w:t>
            </w:r>
          </w:p>
        </w:tc>
        <w:tc>
          <w:tcPr>
            <w:tcW w:w="0" w:type="auto"/>
            <w:shd w:val="clear" w:color="auto" w:fill="CCEEFF"/>
            <w:tcMar>
              <w:top w:w="40" w:type="dxa"/>
              <w:left w:w="0" w:type="dxa"/>
              <w:bottom w:w="40" w:type="dxa"/>
              <w:right w:w="20" w:type="dxa"/>
            </w:tcMar>
            <w:vAlign w:val="bottom"/>
          </w:tcPr>
          <w:p w14:paraId="7B66E0E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E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EE" w14:textId="77777777" w:rsidR="0040300B" w:rsidRDefault="00BB2D44">
            <w:pPr>
              <w:jc w:val="right"/>
              <w:textAlignment w:val="bottom"/>
            </w:pPr>
            <w:r>
              <w:rPr>
                <w:rFonts w:ascii="Times New Roman" w:eastAsia="宋体" w:hAnsi="Times New Roman"/>
                <w:color w:val="000000"/>
                <w:sz w:val="20"/>
                <w:szCs w:val="20"/>
              </w:rPr>
              <w:t>670 </w:t>
            </w:r>
          </w:p>
        </w:tc>
        <w:tc>
          <w:tcPr>
            <w:tcW w:w="0" w:type="auto"/>
            <w:shd w:val="clear" w:color="auto" w:fill="CCEEFF"/>
            <w:tcMar>
              <w:top w:w="40" w:type="dxa"/>
              <w:left w:w="0" w:type="dxa"/>
              <w:bottom w:w="40" w:type="dxa"/>
              <w:right w:w="20" w:type="dxa"/>
            </w:tcMar>
            <w:vAlign w:val="bottom"/>
          </w:tcPr>
          <w:p w14:paraId="7B66E0E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F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F1" w14:textId="77777777" w:rsidR="0040300B" w:rsidRDefault="00BB2D44">
            <w:pPr>
              <w:jc w:val="right"/>
              <w:textAlignment w:val="bottom"/>
            </w:pPr>
            <w:r>
              <w:rPr>
                <w:rFonts w:ascii="Times New Roman" w:eastAsia="宋体" w:hAnsi="Times New Roman"/>
                <w:color w:val="000000"/>
                <w:sz w:val="20"/>
                <w:szCs w:val="20"/>
              </w:rPr>
              <w:t>1,945 </w:t>
            </w:r>
          </w:p>
        </w:tc>
        <w:tc>
          <w:tcPr>
            <w:tcW w:w="0" w:type="auto"/>
            <w:shd w:val="clear" w:color="auto" w:fill="CCEEFF"/>
            <w:tcMar>
              <w:top w:w="40" w:type="dxa"/>
              <w:left w:w="0" w:type="dxa"/>
              <w:bottom w:w="40" w:type="dxa"/>
              <w:right w:w="20" w:type="dxa"/>
            </w:tcMar>
            <w:vAlign w:val="bottom"/>
          </w:tcPr>
          <w:p w14:paraId="7B66E0F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0F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0F4" w14:textId="77777777" w:rsidR="0040300B" w:rsidRDefault="00BB2D44">
            <w:pPr>
              <w:jc w:val="right"/>
              <w:textAlignment w:val="bottom"/>
            </w:pPr>
            <w:r>
              <w:rPr>
                <w:rFonts w:ascii="Times New Roman" w:eastAsia="宋体" w:hAnsi="Times New Roman"/>
                <w:color w:val="000000"/>
                <w:sz w:val="20"/>
                <w:szCs w:val="20"/>
              </w:rPr>
              <w:t>2,086 </w:t>
            </w:r>
          </w:p>
        </w:tc>
        <w:tc>
          <w:tcPr>
            <w:tcW w:w="0" w:type="auto"/>
            <w:shd w:val="clear" w:color="auto" w:fill="CCEEFF"/>
            <w:tcMar>
              <w:top w:w="40" w:type="dxa"/>
              <w:left w:w="0" w:type="dxa"/>
              <w:bottom w:w="40" w:type="dxa"/>
              <w:right w:w="20" w:type="dxa"/>
            </w:tcMar>
            <w:vAlign w:val="bottom"/>
          </w:tcPr>
          <w:p w14:paraId="7B66E0F5" w14:textId="77777777" w:rsidR="0040300B" w:rsidRDefault="0040300B">
            <w:pPr>
              <w:jc w:val="right"/>
              <w:rPr>
                <w:rFonts w:ascii="宋体"/>
              </w:rPr>
            </w:pPr>
          </w:p>
        </w:tc>
      </w:tr>
      <w:tr w:rsidR="0040300B" w14:paraId="7B66E107" w14:textId="77777777">
        <w:tc>
          <w:tcPr>
            <w:tcW w:w="0" w:type="auto"/>
            <w:gridSpan w:val="3"/>
            <w:shd w:val="clear" w:color="auto" w:fill="FFFFFF"/>
            <w:tcMar>
              <w:top w:w="40" w:type="dxa"/>
              <w:left w:w="380" w:type="dxa"/>
              <w:bottom w:w="40" w:type="dxa"/>
              <w:right w:w="20" w:type="dxa"/>
            </w:tcMar>
            <w:vAlign w:val="bottom"/>
          </w:tcPr>
          <w:p w14:paraId="7B66E0F7" w14:textId="77777777" w:rsidR="0040300B" w:rsidRDefault="00BB2D44">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7B66E0F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0F9" w14:textId="77777777" w:rsidR="0040300B" w:rsidRDefault="00BB2D44">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F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FB"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0F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0FD" w14:textId="77777777" w:rsidR="0040300B" w:rsidRDefault="00BB2D44">
            <w:pPr>
              <w:jc w:val="right"/>
              <w:textAlignment w:val="bottom"/>
            </w:pPr>
            <w:r>
              <w:rPr>
                <w:rFonts w:ascii="Times New Roman" w:eastAsia="宋体" w:hAnsi="Times New Roman"/>
                <w:color w:val="000000"/>
                <w:sz w:val="20"/>
                <w:szCs w:val="20"/>
              </w:rPr>
              <w:t>2,774 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0F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0FF"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10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101" w14:textId="77777777" w:rsidR="0040300B" w:rsidRDefault="00BB2D44">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10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03"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10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105" w14:textId="77777777" w:rsidR="0040300B" w:rsidRDefault="00BB2D44">
            <w:pPr>
              <w:jc w:val="right"/>
              <w:textAlignment w:val="bottom"/>
            </w:pPr>
            <w:r>
              <w:rPr>
                <w:rFonts w:ascii="Times New Roman" w:eastAsia="宋体" w:hAnsi="Times New Roman"/>
                <w:color w:val="000000"/>
                <w:sz w:val="20"/>
                <w:szCs w:val="20"/>
              </w:rPr>
              <w:t>8,578 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106" w14:textId="77777777" w:rsidR="0040300B" w:rsidRDefault="0040300B">
            <w:pPr>
              <w:jc w:val="right"/>
              <w:rPr>
                <w:rFonts w:ascii="宋体"/>
              </w:rPr>
            </w:pPr>
          </w:p>
        </w:tc>
      </w:tr>
      <w:tr w:rsidR="0040300B" w14:paraId="7B66E110" w14:textId="77777777">
        <w:trPr>
          <w:trHeight w:val="280"/>
        </w:trPr>
        <w:tc>
          <w:tcPr>
            <w:tcW w:w="0" w:type="auto"/>
            <w:gridSpan w:val="3"/>
            <w:shd w:val="clear" w:color="auto" w:fill="CCEEFF"/>
            <w:tcMar>
              <w:top w:w="0" w:type="dxa"/>
              <w:left w:w="20" w:type="dxa"/>
              <w:bottom w:w="0" w:type="dxa"/>
              <w:right w:w="20" w:type="dxa"/>
            </w:tcMar>
          </w:tcPr>
          <w:p w14:paraId="7B66E108"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0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0A"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0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0C"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0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0E"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0F" w14:textId="77777777" w:rsidR="0040300B" w:rsidRDefault="0040300B">
            <w:pPr>
              <w:rPr>
                <w:rFonts w:ascii="宋体"/>
              </w:rPr>
            </w:pPr>
          </w:p>
        </w:tc>
      </w:tr>
      <w:tr w:rsidR="0040300B" w14:paraId="7B66E119" w14:textId="77777777">
        <w:tc>
          <w:tcPr>
            <w:tcW w:w="0" w:type="auto"/>
            <w:gridSpan w:val="3"/>
            <w:shd w:val="clear" w:color="auto" w:fill="FFFFFF"/>
            <w:tcMar>
              <w:top w:w="40" w:type="dxa"/>
              <w:left w:w="20" w:type="dxa"/>
              <w:bottom w:w="40" w:type="dxa"/>
              <w:right w:w="20" w:type="dxa"/>
            </w:tcMar>
            <w:vAlign w:val="bottom"/>
          </w:tcPr>
          <w:p w14:paraId="7B66E111" w14:textId="77777777" w:rsidR="0040300B" w:rsidRDefault="00BB2D44">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tcPr>
          <w:p w14:paraId="7B66E11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18" w14:textId="77777777" w:rsidR="0040300B" w:rsidRDefault="0040300B">
            <w:pPr>
              <w:rPr>
                <w:rFonts w:ascii="宋体"/>
              </w:rPr>
            </w:pPr>
          </w:p>
        </w:tc>
      </w:tr>
      <w:tr w:rsidR="0040300B" w14:paraId="7B66E12A" w14:textId="77777777">
        <w:tc>
          <w:tcPr>
            <w:tcW w:w="0" w:type="auto"/>
            <w:gridSpan w:val="3"/>
            <w:shd w:val="clear" w:color="auto" w:fill="CCEEFF"/>
            <w:tcMar>
              <w:top w:w="40" w:type="dxa"/>
              <w:left w:w="155" w:type="dxa"/>
              <w:bottom w:w="40" w:type="dxa"/>
              <w:right w:w="20" w:type="dxa"/>
            </w:tcMar>
            <w:vAlign w:val="bottom"/>
          </w:tcPr>
          <w:p w14:paraId="7B66E11A" w14:textId="77777777" w:rsidR="0040300B" w:rsidRDefault="00BB2D44">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7B66E11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11C" w14:textId="77777777" w:rsidR="0040300B" w:rsidRDefault="00BB2D44">
            <w:pPr>
              <w:jc w:val="right"/>
              <w:textAlignment w:val="bottom"/>
            </w:pPr>
            <w:r>
              <w:rPr>
                <w:rFonts w:ascii="Times New Roman" w:eastAsia="宋体" w:hAnsi="Times New Roman"/>
                <w:color w:val="000000"/>
                <w:sz w:val="20"/>
                <w:szCs w:val="20"/>
              </w:rPr>
              <w:t>0.68 </w:t>
            </w:r>
          </w:p>
        </w:tc>
        <w:tc>
          <w:tcPr>
            <w:tcW w:w="0" w:type="auto"/>
            <w:shd w:val="clear" w:color="auto" w:fill="CCEEFF"/>
            <w:tcMar>
              <w:top w:w="40" w:type="dxa"/>
              <w:left w:w="0" w:type="dxa"/>
              <w:bottom w:w="40" w:type="dxa"/>
              <w:right w:w="20" w:type="dxa"/>
            </w:tcMar>
            <w:vAlign w:val="bottom"/>
          </w:tcPr>
          <w:p w14:paraId="7B66E11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1E"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11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120" w14:textId="77777777" w:rsidR="0040300B" w:rsidRDefault="00BB2D44">
            <w:pPr>
              <w:jc w:val="right"/>
              <w:textAlignment w:val="bottom"/>
            </w:pPr>
            <w:r>
              <w:rPr>
                <w:rFonts w:ascii="Times New Roman" w:eastAsia="宋体" w:hAnsi="Times New Roman"/>
                <w:color w:val="000000"/>
                <w:sz w:val="20"/>
                <w:szCs w:val="20"/>
              </w:rPr>
              <w:t>0.66 </w:t>
            </w:r>
          </w:p>
        </w:tc>
        <w:tc>
          <w:tcPr>
            <w:tcW w:w="0" w:type="auto"/>
            <w:shd w:val="clear" w:color="auto" w:fill="CCEEFF"/>
            <w:tcMar>
              <w:top w:w="40" w:type="dxa"/>
              <w:left w:w="0" w:type="dxa"/>
              <w:bottom w:w="40" w:type="dxa"/>
              <w:right w:w="20" w:type="dxa"/>
            </w:tcMar>
            <w:vAlign w:val="bottom"/>
          </w:tcPr>
          <w:p w14:paraId="7B66E12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2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12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124" w14:textId="77777777" w:rsidR="0040300B" w:rsidRDefault="00BB2D44">
            <w:pPr>
              <w:jc w:val="right"/>
              <w:textAlignment w:val="bottom"/>
            </w:pPr>
            <w:r>
              <w:rPr>
                <w:rFonts w:ascii="Times New Roman" w:eastAsia="宋体" w:hAnsi="Times New Roman"/>
                <w:color w:val="000000"/>
                <w:sz w:val="20"/>
                <w:szCs w:val="20"/>
              </w:rPr>
              <w:t>1.79 </w:t>
            </w:r>
          </w:p>
        </w:tc>
        <w:tc>
          <w:tcPr>
            <w:tcW w:w="0" w:type="auto"/>
            <w:shd w:val="clear" w:color="auto" w:fill="CCEEFF"/>
            <w:tcMar>
              <w:top w:w="40" w:type="dxa"/>
              <w:left w:w="0" w:type="dxa"/>
              <w:bottom w:w="40" w:type="dxa"/>
              <w:right w:w="20" w:type="dxa"/>
            </w:tcMar>
            <w:vAlign w:val="bottom"/>
          </w:tcPr>
          <w:p w14:paraId="7B66E12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2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12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128" w14:textId="77777777" w:rsidR="0040300B" w:rsidRDefault="00BB2D44">
            <w:pPr>
              <w:jc w:val="right"/>
              <w:textAlignment w:val="bottom"/>
            </w:pPr>
            <w:r>
              <w:rPr>
                <w:rFonts w:ascii="Times New Roman" w:eastAsia="宋体" w:hAnsi="Times New Roman"/>
                <w:color w:val="000000"/>
                <w:sz w:val="20"/>
                <w:szCs w:val="20"/>
              </w:rPr>
              <w:t>2.02 </w:t>
            </w:r>
          </w:p>
        </w:tc>
        <w:tc>
          <w:tcPr>
            <w:tcW w:w="0" w:type="auto"/>
            <w:shd w:val="clear" w:color="auto" w:fill="CCEEFF"/>
            <w:tcMar>
              <w:top w:w="40" w:type="dxa"/>
              <w:left w:w="0" w:type="dxa"/>
              <w:bottom w:w="40" w:type="dxa"/>
              <w:right w:w="20" w:type="dxa"/>
            </w:tcMar>
            <w:vAlign w:val="bottom"/>
          </w:tcPr>
          <w:p w14:paraId="7B66E129" w14:textId="77777777" w:rsidR="0040300B" w:rsidRDefault="0040300B">
            <w:pPr>
              <w:jc w:val="right"/>
              <w:rPr>
                <w:rFonts w:ascii="宋体"/>
              </w:rPr>
            </w:pPr>
          </w:p>
        </w:tc>
      </w:tr>
      <w:tr w:rsidR="0040300B" w14:paraId="7B66E13B" w14:textId="77777777">
        <w:tc>
          <w:tcPr>
            <w:tcW w:w="0" w:type="auto"/>
            <w:gridSpan w:val="3"/>
            <w:shd w:val="clear" w:color="auto" w:fill="FFFFFF"/>
            <w:tcMar>
              <w:top w:w="40" w:type="dxa"/>
              <w:left w:w="155" w:type="dxa"/>
              <w:bottom w:w="40" w:type="dxa"/>
              <w:right w:w="20" w:type="dxa"/>
            </w:tcMar>
            <w:vAlign w:val="bottom"/>
          </w:tcPr>
          <w:p w14:paraId="7B66E12B" w14:textId="77777777" w:rsidR="0040300B" w:rsidRDefault="00BB2D44">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7B66E12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6E12D" w14:textId="77777777" w:rsidR="0040300B" w:rsidRDefault="00BB2D44">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6E12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2F"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6E13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6E131" w14:textId="77777777" w:rsidR="0040300B" w:rsidRDefault="00BB2D44">
            <w:pPr>
              <w:jc w:val="right"/>
              <w:textAlignment w:val="bottom"/>
            </w:pPr>
            <w:r>
              <w:rPr>
                <w:rFonts w:ascii="Times New Roman" w:eastAsia="宋体" w:hAnsi="Times New Roman"/>
                <w:color w:val="000000"/>
                <w:sz w:val="20"/>
                <w:szCs w:val="20"/>
              </w:rPr>
              <w:t>0.65 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6E13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33"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6E13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6E135" w14:textId="77777777" w:rsidR="0040300B" w:rsidRDefault="00BB2D44">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6E13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37"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6E13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6E139" w14:textId="77777777" w:rsidR="0040300B" w:rsidRDefault="00BB2D44">
            <w:pPr>
              <w:jc w:val="right"/>
              <w:textAlignment w:val="bottom"/>
            </w:pPr>
            <w:r>
              <w:rPr>
                <w:rFonts w:ascii="Times New Roman" w:eastAsia="宋体" w:hAnsi="Times New Roman"/>
                <w:color w:val="000000"/>
                <w:sz w:val="20"/>
                <w:szCs w:val="20"/>
              </w:rPr>
              <w:t>2.01 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6E13A" w14:textId="77777777" w:rsidR="0040300B" w:rsidRDefault="0040300B">
            <w:pPr>
              <w:jc w:val="right"/>
              <w:rPr>
                <w:rFonts w:ascii="宋体"/>
              </w:rPr>
            </w:pPr>
          </w:p>
        </w:tc>
      </w:tr>
      <w:tr w:rsidR="0040300B" w14:paraId="7B66E144" w14:textId="77777777">
        <w:tc>
          <w:tcPr>
            <w:tcW w:w="0" w:type="auto"/>
            <w:gridSpan w:val="3"/>
            <w:shd w:val="clear" w:color="auto" w:fill="CCEEFF"/>
            <w:tcMar>
              <w:top w:w="40" w:type="dxa"/>
              <w:left w:w="20" w:type="dxa"/>
              <w:bottom w:w="40" w:type="dxa"/>
              <w:right w:w="20" w:type="dxa"/>
            </w:tcMar>
            <w:vAlign w:val="bottom"/>
          </w:tcPr>
          <w:p w14:paraId="7B66E13C" w14:textId="77777777" w:rsidR="0040300B" w:rsidRDefault="00BB2D44">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tcPr>
          <w:p w14:paraId="7B66E13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3E"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3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40"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4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142"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143" w14:textId="77777777" w:rsidR="0040300B" w:rsidRDefault="0040300B">
            <w:pPr>
              <w:rPr>
                <w:rFonts w:ascii="宋体"/>
              </w:rPr>
            </w:pPr>
          </w:p>
        </w:tc>
      </w:tr>
      <w:tr w:rsidR="0040300B" w14:paraId="7B66E151" w14:textId="77777777">
        <w:tc>
          <w:tcPr>
            <w:tcW w:w="0" w:type="auto"/>
            <w:gridSpan w:val="3"/>
            <w:shd w:val="clear" w:color="auto" w:fill="FFFFFF"/>
            <w:tcMar>
              <w:top w:w="40" w:type="dxa"/>
              <w:left w:w="155" w:type="dxa"/>
              <w:bottom w:w="40" w:type="dxa"/>
              <w:right w:w="20" w:type="dxa"/>
            </w:tcMar>
            <w:vAlign w:val="bottom"/>
          </w:tcPr>
          <w:p w14:paraId="7B66E145" w14:textId="77777777" w:rsidR="0040300B" w:rsidRDefault="00BB2D44">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7B66E146" w14:textId="77777777" w:rsidR="0040300B" w:rsidRDefault="00BB2D44">
            <w:pPr>
              <w:jc w:val="right"/>
              <w:textAlignment w:val="bottom"/>
            </w:pPr>
            <w:r>
              <w:rPr>
                <w:rFonts w:ascii="Times New Roman" w:eastAsia="宋体" w:hAnsi="Times New Roman"/>
                <w:color w:val="000000"/>
                <w:sz w:val="20"/>
                <w:szCs w:val="20"/>
              </w:rPr>
              <w:t>4,219 </w:t>
            </w:r>
          </w:p>
        </w:tc>
        <w:tc>
          <w:tcPr>
            <w:tcW w:w="0" w:type="auto"/>
            <w:shd w:val="clear" w:color="auto" w:fill="FFFFFF"/>
            <w:tcMar>
              <w:top w:w="40" w:type="dxa"/>
              <w:left w:w="0" w:type="dxa"/>
              <w:bottom w:w="40" w:type="dxa"/>
              <w:right w:w="20" w:type="dxa"/>
            </w:tcMar>
            <w:vAlign w:val="bottom"/>
          </w:tcPr>
          <w:p w14:paraId="7B66E14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4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49" w14:textId="77777777" w:rsidR="0040300B" w:rsidRDefault="00BB2D44">
            <w:pPr>
              <w:jc w:val="right"/>
              <w:textAlignment w:val="bottom"/>
            </w:pPr>
            <w:r>
              <w:rPr>
                <w:rFonts w:ascii="Times New Roman" w:eastAsia="宋体" w:hAnsi="Times New Roman"/>
                <w:color w:val="000000"/>
                <w:sz w:val="20"/>
                <w:szCs w:val="20"/>
              </w:rPr>
              <w:t>4,230 </w:t>
            </w:r>
          </w:p>
        </w:tc>
        <w:tc>
          <w:tcPr>
            <w:tcW w:w="0" w:type="auto"/>
            <w:shd w:val="clear" w:color="auto" w:fill="FFFFFF"/>
            <w:tcMar>
              <w:top w:w="40" w:type="dxa"/>
              <w:left w:w="0" w:type="dxa"/>
              <w:bottom w:w="40" w:type="dxa"/>
              <w:right w:w="20" w:type="dxa"/>
            </w:tcMar>
            <w:vAlign w:val="bottom"/>
          </w:tcPr>
          <w:p w14:paraId="7B66E14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4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4C" w14:textId="77777777" w:rsidR="0040300B" w:rsidRDefault="00BB2D44">
            <w:pPr>
              <w:jc w:val="right"/>
              <w:textAlignment w:val="bottom"/>
            </w:pPr>
            <w:r>
              <w:rPr>
                <w:rFonts w:ascii="Times New Roman" w:eastAsia="宋体" w:hAnsi="Times New Roman"/>
                <w:color w:val="000000"/>
                <w:sz w:val="20"/>
                <w:szCs w:val="20"/>
              </w:rPr>
              <w:t>4,224 </w:t>
            </w:r>
          </w:p>
        </w:tc>
        <w:tc>
          <w:tcPr>
            <w:tcW w:w="0" w:type="auto"/>
            <w:shd w:val="clear" w:color="auto" w:fill="FFFFFF"/>
            <w:tcMar>
              <w:top w:w="40" w:type="dxa"/>
              <w:left w:w="0" w:type="dxa"/>
              <w:bottom w:w="40" w:type="dxa"/>
              <w:right w:w="20" w:type="dxa"/>
            </w:tcMar>
            <w:vAlign w:val="bottom"/>
          </w:tcPr>
          <w:p w14:paraId="7B66E14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4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4F" w14:textId="77777777" w:rsidR="0040300B" w:rsidRDefault="00BB2D44">
            <w:pPr>
              <w:jc w:val="right"/>
              <w:textAlignment w:val="bottom"/>
            </w:pPr>
            <w:r>
              <w:rPr>
                <w:rFonts w:ascii="Times New Roman" w:eastAsia="宋体" w:hAnsi="Times New Roman"/>
                <w:color w:val="000000"/>
                <w:sz w:val="20"/>
                <w:szCs w:val="20"/>
              </w:rPr>
              <w:t>4,239 </w:t>
            </w:r>
          </w:p>
        </w:tc>
        <w:tc>
          <w:tcPr>
            <w:tcW w:w="0" w:type="auto"/>
            <w:shd w:val="clear" w:color="auto" w:fill="FFFFFF"/>
            <w:tcMar>
              <w:top w:w="40" w:type="dxa"/>
              <w:left w:w="0" w:type="dxa"/>
              <w:bottom w:w="40" w:type="dxa"/>
              <w:right w:w="20" w:type="dxa"/>
            </w:tcMar>
            <w:vAlign w:val="bottom"/>
          </w:tcPr>
          <w:p w14:paraId="7B66E150" w14:textId="77777777" w:rsidR="0040300B" w:rsidRDefault="0040300B">
            <w:pPr>
              <w:jc w:val="right"/>
              <w:rPr>
                <w:rFonts w:ascii="宋体"/>
              </w:rPr>
            </w:pPr>
          </w:p>
        </w:tc>
      </w:tr>
      <w:tr w:rsidR="0040300B" w14:paraId="7B66E15E" w14:textId="77777777">
        <w:tc>
          <w:tcPr>
            <w:tcW w:w="0" w:type="auto"/>
            <w:gridSpan w:val="3"/>
            <w:shd w:val="clear" w:color="auto" w:fill="CCEEFF"/>
            <w:tcMar>
              <w:top w:w="40" w:type="dxa"/>
              <w:left w:w="155" w:type="dxa"/>
              <w:bottom w:w="40" w:type="dxa"/>
              <w:right w:w="20" w:type="dxa"/>
            </w:tcMar>
            <w:vAlign w:val="bottom"/>
          </w:tcPr>
          <w:p w14:paraId="7B66E152" w14:textId="77777777" w:rsidR="0040300B" w:rsidRDefault="00BB2D44">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B66E153" w14:textId="77777777" w:rsidR="0040300B" w:rsidRDefault="00BB2D44">
            <w:pPr>
              <w:jc w:val="right"/>
              <w:textAlignment w:val="bottom"/>
            </w:pPr>
            <w:r>
              <w:rPr>
                <w:rFonts w:ascii="Times New Roman" w:eastAsia="宋体" w:hAnsi="Times New Roman"/>
                <w:color w:val="000000"/>
                <w:sz w:val="20"/>
                <w:szCs w:val="20"/>
              </w:rPr>
              <w:t>4,238 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6E15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55" w14:textId="77777777" w:rsidR="0040300B" w:rsidRDefault="0040300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B66E156" w14:textId="77777777" w:rsidR="0040300B" w:rsidRDefault="00BB2D44">
            <w:pPr>
              <w:jc w:val="right"/>
              <w:textAlignment w:val="bottom"/>
            </w:pPr>
            <w:r>
              <w:rPr>
                <w:rFonts w:ascii="Times New Roman" w:eastAsia="宋体" w:hAnsi="Times New Roman"/>
                <w:color w:val="000000"/>
                <w:sz w:val="20"/>
                <w:szCs w:val="20"/>
              </w:rPr>
              <w:t>4,243 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6E15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58" w14:textId="77777777" w:rsidR="0040300B" w:rsidRDefault="0040300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B66E159" w14:textId="77777777" w:rsidR="0040300B" w:rsidRDefault="00BB2D44">
            <w:pPr>
              <w:jc w:val="right"/>
              <w:textAlignment w:val="bottom"/>
            </w:pPr>
            <w:r>
              <w:rPr>
                <w:rFonts w:ascii="Times New Roman" w:eastAsia="宋体" w:hAnsi="Times New Roman"/>
                <w:color w:val="000000"/>
                <w:sz w:val="20"/>
                <w:szCs w:val="20"/>
              </w:rPr>
              <w:t>4,237 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6E15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5B" w14:textId="77777777" w:rsidR="0040300B" w:rsidRDefault="0040300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B66E15C" w14:textId="77777777" w:rsidR="0040300B" w:rsidRDefault="00BB2D44">
            <w:pPr>
              <w:jc w:val="right"/>
              <w:textAlignment w:val="bottom"/>
            </w:pPr>
            <w:r>
              <w:rPr>
                <w:rFonts w:ascii="Times New Roman" w:eastAsia="宋体" w:hAnsi="Times New Roman"/>
                <w:color w:val="000000"/>
                <w:sz w:val="20"/>
                <w:szCs w:val="20"/>
              </w:rPr>
              <w:t>4,258 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6E15D" w14:textId="77777777" w:rsidR="0040300B" w:rsidRDefault="0040300B">
            <w:pPr>
              <w:jc w:val="right"/>
              <w:rPr>
                <w:rFonts w:ascii="宋体"/>
              </w:rPr>
            </w:pPr>
          </w:p>
        </w:tc>
      </w:tr>
      <w:tr w:rsidR="0040300B" w14:paraId="7B66E167" w14:textId="77777777">
        <w:trPr>
          <w:trHeight w:val="300"/>
        </w:trPr>
        <w:tc>
          <w:tcPr>
            <w:tcW w:w="0" w:type="auto"/>
            <w:gridSpan w:val="3"/>
            <w:shd w:val="clear" w:color="auto" w:fill="auto"/>
            <w:tcMar>
              <w:top w:w="0" w:type="dxa"/>
              <w:left w:w="20" w:type="dxa"/>
              <w:bottom w:w="0" w:type="dxa"/>
              <w:right w:w="20" w:type="dxa"/>
            </w:tcMar>
          </w:tcPr>
          <w:p w14:paraId="7B66E15F"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16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1"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16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3"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16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5"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166" w14:textId="77777777" w:rsidR="0040300B" w:rsidRDefault="0040300B">
            <w:pPr>
              <w:rPr>
                <w:rFonts w:ascii="宋体"/>
              </w:rPr>
            </w:pPr>
          </w:p>
        </w:tc>
      </w:tr>
      <w:tr w:rsidR="0040300B" w14:paraId="7B66E170" w14:textId="77777777">
        <w:trPr>
          <w:trHeight w:val="300"/>
        </w:trPr>
        <w:tc>
          <w:tcPr>
            <w:tcW w:w="0" w:type="auto"/>
            <w:gridSpan w:val="3"/>
            <w:shd w:val="clear" w:color="auto" w:fill="auto"/>
            <w:tcMar>
              <w:top w:w="0" w:type="dxa"/>
              <w:left w:w="20" w:type="dxa"/>
              <w:bottom w:w="0" w:type="dxa"/>
              <w:right w:w="20" w:type="dxa"/>
            </w:tcMar>
          </w:tcPr>
          <w:p w14:paraId="7B66E16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C"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6F" w14:textId="77777777" w:rsidR="0040300B" w:rsidRDefault="0040300B">
            <w:pPr>
              <w:rPr>
                <w:rFonts w:ascii="宋体"/>
              </w:rPr>
            </w:pPr>
          </w:p>
        </w:tc>
      </w:tr>
      <w:tr w:rsidR="0040300B" w14:paraId="7B66E179" w14:textId="77777777">
        <w:trPr>
          <w:trHeight w:val="300"/>
        </w:trPr>
        <w:tc>
          <w:tcPr>
            <w:tcW w:w="0" w:type="auto"/>
            <w:gridSpan w:val="3"/>
            <w:shd w:val="clear" w:color="auto" w:fill="auto"/>
            <w:tcMar>
              <w:top w:w="0" w:type="dxa"/>
              <w:left w:w="20" w:type="dxa"/>
              <w:bottom w:w="0" w:type="dxa"/>
              <w:right w:w="20" w:type="dxa"/>
            </w:tcMar>
          </w:tcPr>
          <w:p w14:paraId="7B66E17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178" w14:textId="77777777" w:rsidR="0040300B" w:rsidRDefault="0040300B">
            <w:pPr>
              <w:rPr>
                <w:rFonts w:ascii="宋体"/>
              </w:rPr>
            </w:pPr>
          </w:p>
        </w:tc>
      </w:tr>
    </w:tbl>
    <w:p w14:paraId="7B66E17A" w14:textId="77777777" w:rsidR="0040300B" w:rsidRDefault="00BB2D44">
      <w:pPr>
        <w:spacing w:before="180"/>
        <w:jc w:val="center"/>
      </w:pPr>
      <w:r>
        <w:rPr>
          <w:rFonts w:ascii="Times New Roman" w:eastAsia="宋体" w:hAnsi="Times New Roman"/>
          <w:color w:val="000000"/>
          <w:sz w:val="20"/>
          <w:szCs w:val="20"/>
        </w:rPr>
        <w:t>See Notes to Consolidated Financial Statements.</w:t>
      </w:r>
    </w:p>
    <w:p w14:paraId="7B66E17B" w14:textId="77777777" w:rsidR="0040300B" w:rsidRDefault="00BB2D44">
      <w:pPr>
        <w:jc w:val="center"/>
      </w:pPr>
      <w:r>
        <w:rPr>
          <w:rFonts w:ascii="Times New Roman" w:eastAsia="宋体" w:hAnsi="Times New Roman"/>
          <w:color w:val="000000"/>
          <w:sz w:val="20"/>
          <w:szCs w:val="20"/>
        </w:rPr>
        <w:t>4</w:t>
      </w:r>
    </w:p>
    <w:p w14:paraId="7B66E17C" w14:textId="77777777" w:rsidR="0040300B" w:rsidRDefault="00BB2D44">
      <w:r>
        <w:pict w14:anchorId="7B671C14">
          <v:rect id="_x0000_i1028" style="width:415.3pt;height:1.5pt" o:hralign="center" o:hrstd="t" o:hr="t" fillcolor="#a0a0a0" stroked="f"/>
        </w:pict>
      </w:r>
    </w:p>
    <w:p w14:paraId="7B66E17D" w14:textId="77777777" w:rsidR="0040300B" w:rsidRDefault="00BB2D44">
      <w:hyperlink r:id="rId50" w:anchor="i52d5b40dbad7426a9806a2fd5167029f_7" w:history="1">
        <w:r>
          <w:rPr>
            <w:rStyle w:val="a5"/>
            <w:rFonts w:ascii="Times New Roman" w:eastAsia="宋体" w:hAnsi="Times New Roman"/>
            <w:sz w:val="18"/>
            <w:szCs w:val="18"/>
          </w:rPr>
          <w:t>Table of Contents</w:t>
        </w:r>
      </w:hyperlink>
    </w:p>
    <w:p w14:paraId="7B66E17E" w14:textId="77777777" w:rsidR="0040300B" w:rsidRDefault="00BB2D44">
      <w:pPr>
        <w:jc w:val="center"/>
      </w:pPr>
      <w:r>
        <w:rPr>
          <w:rFonts w:ascii="Times New Roman" w:eastAsia="宋体" w:hAnsi="Times New Roman"/>
          <w:b/>
          <w:bCs/>
          <w:color w:val="000000"/>
          <w:sz w:val="19"/>
          <w:szCs w:val="19"/>
        </w:rPr>
        <w:t>CISCO SYSTEMS, INC.</w:t>
      </w:r>
    </w:p>
    <w:p w14:paraId="7B66E17F" w14:textId="77777777" w:rsidR="0040300B" w:rsidRDefault="00BB2D44">
      <w:pPr>
        <w:jc w:val="center"/>
      </w:pPr>
      <w:r>
        <w:rPr>
          <w:rFonts w:ascii="Times New Roman" w:eastAsia="宋体" w:hAnsi="Times New Roman"/>
          <w:b/>
          <w:bCs/>
          <w:color w:val="000000"/>
          <w:sz w:val="19"/>
          <w:szCs w:val="19"/>
        </w:rPr>
        <w:t xml:space="preserve">CONSOLIDATED STATEMENTS OF COMPREHENSIVE INCOME </w:t>
      </w:r>
    </w:p>
    <w:p w14:paraId="7B66E180" w14:textId="77777777" w:rsidR="0040300B" w:rsidRDefault="00BB2D44">
      <w:pPr>
        <w:jc w:val="center"/>
      </w:pPr>
      <w:r>
        <w:rPr>
          <w:rFonts w:ascii="Times New Roman" w:eastAsia="宋体" w:hAnsi="Times New Roman"/>
          <w:color w:val="000000"/>
          <w:sz w:val="18"/>
          <w:szCs w:val="18"/>
        </w:rPr>
        <w:t>(in millions)</w:t>
      </w:r>
    </w:p>
    <w:p w14:paraId="7B66E181" w14:textId="77777777" w:rsidR="0040300B" w:rsidRDefault="00BB2D4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110"/>
        <w:gridCol w:w="36"/>
        <w:gridCol w:w="120"/>
        <w:gridCol w:w="832"/>
        <w:gridCol w:w="36"/>
        <w:gridCol w:w="36"/>
        <w:gridCol w:w="36"/>
        <w:gridCol w:w="36"/>
        <w:gridCol w:w="120"/>
        <w:gridCol w:w="789"/>
        <w:gridCol w:w="36"/>
        <w:gridCol w:w="36"/>
        <w:gridCol w:w="36"/>
        <w:gridCol w:w="36"/>
        <w:gridCol w:w="120"/>
        <w:gridCol w:w="790"/>
        <w:gridCol w:w="36"/>
        <w:gridCol w:w="36"/>
        <w:gridCol w:w="36"/>
        <w:gridCol w:w="36"/>
        <w:gridCol w:w="120"/>
        <w:gridCol w:w="793"/>
        <w:gridCol w:w="36"/>
      </w:tblGrid>
      <w:tr w:rsidR="0040300B" w14:paraId="7B66E19A" w14:textId="77777777">
        <w:trPr>
          <w:jc w:val="center"/>
        </w:trPr>
        <w:tc>
          <w:tcPr>
            <w:tcW w:w="50" w:type="pct"/>
            <w:shd w:val="clear" w:color="auto" w:fill="auto"/>
          </w:tcPr>
          <w:p w14:paraId="7B66E182" w14:textId="77777777" w:rsidR="0040300B" w:rsidRDefault="0040300B">
            <w:pPr>
              <w:rPr>
                <w:rFonts w:ascii="宋体"/>
              </w:rPr>
            </w:pPr>
          </w:p>
        </w:tc>
        <w:tc>
          <w:tcPr>
            <w:tcW w:w="2496" w:type="pct"/>
            <w:shd w:val="clear" w:color="auto" w:fill="auto"/>
          </w:tcPr>
          <w:p w14:paraId="7B66E183" w14:textId="77777777" w:rsidR="0040300B" w:rsidRDefault="0040300B">
            <w:pPr>
              <w:rPr>
                <w:rFonts w:ascii="宋体"/>
              </w:rPr>
            </w:pPr>
          </w:p>
        </w:tc>
        <w:tc>
          <w:tcPr>
            <w:tcW w:w="5" w:type="pct"/>
            <w:shd w:val="clear" w:color="auto" w:fill="auto"/>
          </w:tcPr>
          <w:p w14:paraId="7B66E184" w14:textId="77777777" w:rsidR="0040300B" w:rsidRDefault="0040300B">
            <w:pPr>
              <w:rPr>
                <w:rFonts w:ascii="宋体"/>
              </w:rPr>
            </w:pPr>
          </w:p>
        </w:tc>
        <w:tc>
          <w:tcPr>
            <w:tcW w:w="50" w:type="pct"/>
            <w:shd w:val="clear" w:color="auto" w:fill="auto"/>
          </w:tcPr>
          <w:p w14:paraId="7B66E185" w14:textId="77777777" w:rsidR="0040300B" w:rsidRDefault="0040300B">
            <w:pPr>
              <w:rPr>
                <w:rFonts w:ascii="宋体"/>
              </w:rPr>
            </w:pPr>
          </w:p>
        </w:tc>
        <w:tc>
          <w:tcPr>
            <w:tcW w:w="529" w:type="pct"/>
            <w:shd w:val="clear" w:color="auto" w:fill="auto"/>
          </w:tcPr>
          <w:p w14:paraId="7B66E186" w14:textId="77777777" w:rsidR="0040300B" w:rsidRDefault="0040300B">
            <w:pPr>
              <w:rPr>
                <w:rFonts w:ascii="宋体"/>
              </w:rPr>
            </w:pPr>
          </w:p>
        </w:tc>
        <w:tc>
          <w:tcPr>
            <w:tcW w:w="5" w:type="pct"/>
            <w:shd w:val="clear" w:color="auto" w:fill="auto"/>
          </w:tcPr>
          <w:p w14:paraId="7B66E187" w14:textId="77777777" w:rsidR="0040300B" w:rsidRDefault="0040300B">
            <w:pPr>
              <w:rPr>
                <w:rFonts w:ascii="宋体"/>
              </w:rPr>
            </w:pPr>
          </w:p>
        </w:tc>
        <w:tc>
          <w:tcPr>
            <w:tcW w:w="5" w:type="pct"/>
            <w:shd w:val="clear" w:color="auto" w:fill="auto"/>
          </w:tcPr>
          <w:p w14:paraId="7B66E188" w14:textId="77777777" w:rsidR="0040300B" w:rsidRDefault="0040300B">
            <w:pPr>
              <w:rPr>
                <w:rFonts w:ascii="宋体"/>
              </w:rPr>
            </w:pPr>
          </w:p>
        </w:tc>
        <w:tc>
          <w:tcPr>
            <w:tcW w:w="26" w:type="pct"/>
            <w:shd w:val="clear" w:color="auto" w:fill="auto"/>
          </w:tcPr>
          <w:p w14:paraId="7B66E189" w14:textId="77777777" w:rsidR="0040300B" w:rsidRDefault="0040300B">
            <w:pPr>
              <w:rPr>
                <w:rFonts w:ascii="宋体"/>
              </w:rPr>
            </w:pPr>
          </w:p>
        </w:tc>
        <w:tc>
          <w:tcPr>
            <w:tcW w:w="5" w:type="pct"/>
            <w:shd w:val="clear" w:color="auto" w:fill="auto"/>
          </w:tcPr>
          <w:p w14:paraId="7B66E18A" w14:textId="77777777" w:rsidR="0040300B" w:rsidRDefault="0040300B">
            <w:pPr>
              <w:rPr>
                <w:rFonts w:ascii="宋体"/>
              </w:rPr>
            </w:pPr>
          </w:p>
        </w:tc>
        <w:tc>
          <w:tcPr>
            <w:tcW w:w="50" w:type="pct"/>
            <w:shd w:val="clear" w:color="auto" w:fill="auto"/>
          </w:tcPr>
          <w:p w14:paraId="7B66E18B" w14:textId="77777777" w:rsidR="0040300B" w:rsidRDefault="0040300B">
            <w:pPr>
              <w:rPr>
                <w:rFonts w:ascii="宋体"/>
              </w:rPr>
            </w:pPr>
          </w:p>
        </w:tc>
        <w:tc>
          <w:tcPr>
            <w:tcW w:w="529" w:type="pct"/>
            <w:shd w:val="clear" w:color="auto" w:fill="auto"/>
          </w:tcPr>
          <w:p w14:paraId="7B66E18C" w14:textId="77777777" w:rsidR="0040300B" w:rsidRDefault="0040300B">
            <w:pPr>
              <w:rPr>
                <w:rFonts w:ascii="宋体"/>
              </w:rPr>
            </w:pPr>
          </w:p>
        </w:tc>
        <w:tc>
          <w:tcPr>
            <w:tcW w:w="5" w:type="pct"/>
            <w:shd w:val="clear" w:color="auto" w:fill="auto"/>
          </w:tcPr>
          <w:p w14:paraId="7B66E18D" w14:textId="77777777" w:rsidR="0040300B" w:rsidRDefault="0040300B">
            <w:pPr>
              <w:rPr>
                <w:rFonts w:ascii="宋体"/>
              </w:rPr>
            </w:pPr>
          </w:p>
        </w:tc>
        <w:tc>
          <w:tcPr>
            <w:tcW w:w="5" w:type="pct"/>
            <w:shd w:val="clear" w:color="auto" w:fill="auto"/>
          </w:tcPr>
          <w:p w14:paraId="7B66E18E" w14:textId="77777777" w:rsidR="0040300B" w:rsidRDefault="0040300B">
            <w:pPr>
              <w:rPr>
                <w:rFonts w:ascii="宋体"/>
              </w:rPr>
            </w:pPr>
          </w:p>
        </w:tc>
        <w:tc>
          <w:tcPr>
            <w:tcW w:w="26" w:type="pct"/>
            <w:shd w:val="clear" w:color="auto" w:fill="auto"/>
          </w:tcPr>
          <w:p w14:paraId="7B66E18F" w14:textId="77777777" w:rsidR="0040300B" w:rsidRDefault="0040300B">
            <w:pPr>
              <w:rPr>
                <w:rFonts w:ascii="宋体"/>
              </w:rPr>
            </w:pPr>
          </w:p>
        </w:tc>
        <w:tc>
          <w:tcPr>
            <w:tcW w:w="5" w:type="pct"/>
            <w:shd w:val="clear" w:color="auto" w:fill="auto"/>
          </w:tcPr>
          <w:p w14:paraId="7B66E190" w14:textId="77777777" w:rsidR="0040300B" w:rsidRDefault="0040300B">
            <w:pPr>
              <w:rPr>
                <w:rFonts w:ascii="宋体"/>
              </w:rPr>
            </w:pPr>
          </w:p>
        </w:tc>
        <w:tc>
          <w:tcPr>
            <w:tcW w:w="50" w:type="pct"/>
            <w:shd w:val="clear" w:color="auto" w:fill="auto"/>
          </w:tcPr>
          <w:p w14:paraId="7B66E191" w14:textId="77777777" w:rsidR="0040300B" w:rsidRDefault="0040300B">
            <w:pPr>
              <w:rPr>
                <w:rFonts w:ascii="宋体"/>
              </w:rPr>
            </w:pPr>
          </w:p>
        </w:tc>
        <w:tc>
          <w:tcPr>
            <w:tcW w:w="529" w:type="pct"/>
            <w:shd w:val="clear" w:color="auto" w:fill="auto"/>
          </w:tcPr>
          <w:p w14:paraId="7B66E192" w14:textId="77777777" w:rsidR="0040300B" w:rsidRDefault="0040300B">
            <w:pPr>
              <w:rPr>
                <w:rFonts w:ascii="宋体"/>
              </w:rPr>
            </w:pPr>
          </w:p>
        </w:tc>
        <w:tc>
          <w:tcPr>
            <w:tcW w:w="5" w:type="pct"/>
            <w:shd w:val="clear" w:color="auto" w:fill="auto"/>
          </w:tcPr>
          <w:p w14:paraId="7B66E193" w14:textId="77777777" w:rsidR="0040300B" w:rsidRDefault="0040300B">
            <w:pPr>
              <w:rPr>
                <w:rFonts w:ascii="宋体"/>
              </w:rPr>
            </w:pPr>
          </w:p>
        </w:tc>
        <w:tc>
          <w:tcPr>
            <w:tcW w:w="5" w:type="pct"/>
            <w:shd w:val="clear" w:color="auto" w:fill="auto"/>
          </w:tcPr>
          <w:p w14:paraId="7B66E194" w14:textId="77777777" w:rsidR="0040300B" w:rsidRDefault="0040300B">
            <w:pPr>
              <w:rPr>
                <w:rFonts w:ascii="宋体"/>
              </w:rPr>
            </w:pPr>
          </w:p>
        </w:tc>
        <w:tc>
          <w:tcPr>
            <w:tcW w:w="26" w:type="pct"/>
            <w:shd w:val="clear" w:color="auto" w:fill="auto"/>
          </w:tcPr>
          <w:p w14:paraId="7B66E195" w14:textId="77777777" w:rsidR="0040300B" w:rsidRDefault="0040300B">
            <w:pPr>
              <w:rPr>
                <w:rFonts w:ascii="宋体"/>
              </w:rPr>
            </w:pPr>
          </w:p>
        </w:tc>
        <w:tc>
          <w:tcPr>
            <w:tcW w:w="5" w:type="pct"/>
            <w:shd w:val="clear" w:color="auto" w:fill="auto"/>
          </w:tcPr>
          <w:p w14:paraId="7B66E196" w14:textId="77777777" w:rsidR="0040300B" w:rsidRDefault="0040300B">
            <w:pPr>
              <w:rPr>
                <w:rFonts w:ascii="宋体"/>
              </w:rPr>
            </w:pPr>
          </w:p>
        </w:tc>
        <w:tc>
          <w:tcPr>
            <w:tcW w:w="50" w:type="pct"/>
            <w:shd w:val="clear" w:color="auto" w:fill="auto"/>
          </w:tcPr>
          <w:p w14:paraId="7B66E197" w14:textId="77777777" w:rsidR="0040300B" w:rsidRDefault="0040300B">
            <w:pPr>
              <w:rPr>
                <w:rFonts w:ascii="宋体"/>
              </w:rPr>
            </w:pPr>
          </w:p>
        </w:tc>
        <w:tc>
          <w:tcPr>
            <w:tcW w:w="530" w:type="pct"/>
            <w:shd w:val="clear" w:color="auto" w:fill="auto"/>
          </w:tcPr>
          <w:p w14:paraId="7B66E198" w14:textId="77777777" w:rsidR="0040300B" w:rsidRDefault="0040300B">
            <w:pPr>
              <w:rPr>
                <w:rFonts w:ascii="宋体"/>
              </w:rPr>
            </w:pPr>
          </w:p>
        </w:tc>
        <w:tc>
          <w:tcPr>
            <w:tcW w:w="5" w:type="pct"/>
            <w:shd w:val="clear" w:color="auto" w:fill="auto"/>
          </w:tcPr>
          <w:p w14:paraId="7B66E199" w14:textId="77777777" w:rsidR="0040300B" w:rsidRDefault="0040300B">
            <w:pPr>
              <w:rPr>
                <w:rFonts w:ascii="宋体"/>
              </w:rPr>
            </w:pPr>
          </w:p>
        </w:tc>
      </w:tr>
      <w:tr w:rsidR="0040300B" w14:paraId="7B66E19F" w14:textId="77777777">
        <w:trPr>
          <w:jc w:val="center"/>
        </w:trPr>
        <w:tc>
          <w:tcPr>
            <w:tcW w:w="0" w:type="auto"/>
            <w:gridSpan w:val="3"/>
            <w:shd w:val="clear" w:color="auto" w:fill="auto"/>
            <w:tcMar>
              <w:top w:w="0" w:type="dxa"/>
              <w:left w:w="20" w:type="dxa"/>
              <w:bottom w:w="0" w:type="dxa"/>
              <w:right w:w="20" w:type="dxa"/>
            </w:tcMar>
          </w:tcPr>
          <w:p w14:paraId="7B66E19B"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19C"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E19D"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19E"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1A8" w14:textId="77777777">
        <w:trPr>
          <w:jc w:val="center"/>
        </w:trPr>
        <w:tc>
          <w:tcPr>
            <w:tcW w:w="0" w:type="auto"/>
            <w:gridSpan w:val="3"/>
            <w:shd w:val="clear" w:color="auto" w:fill="auto"/>
            <w:tcMar>
              <w:top w:w="0" w:type="dxa"/>
              <w:left w:w="20" w:type="dxa"/>
              <w:bottom w:w="0" w:type="dxa"/>
              <w:right w:w="20" w:type="dxa"/>
            </w:tcMar>
          </w:tcPr>
          <w:p w14:paraId="7B66E1A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1A1"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1A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1A3"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E1A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1A5"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1A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1A7"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E1B9" w14:textId="77777777">
        <w:trPr>
          <w:jc w:val="center"/>
        </w:trPr>
        <w:tc>
          <w:tcPr>
            <w:tcW w:w="0" w:type="auto"/>
            <w:gridSpan w:val="3"/>
            <w:shd w:val="clear" w:color="auto" w:fill="CCEEFF"/>
            <w:tcMar>
              <w:top w:w="40" w:type="dxa"/>
              <w:left w:w="20" w:type="dxa"/>
              <w:bottom w:w="40" w:type="dxa"/>
              <w:right w:w="20" w:type="dxa"/>
            </w:tcMar>
            <w:vAlign w:val="bottom"/>
          </w:tcPr>
          <w:p w14:paraId="7B66E1A9" w14:textId="77777777" w:rsidR="0040300B" w:rsidRDefault="00BB2D44">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1A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1AB" w14:textId="77777777" w:rsidR="0040300B" w:rsidRDefault="00BB2D44">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A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A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1A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1AF" w14:textId="77777777" w:rsidR="0040300B" w:rsidRDefault="00BB2D44">
            <w:pPr>
              <w:jc w:val="right"/>
              <w:textAlignment w:val="bottom"/>
            </w:pPr>
            <w:r>
              <w:rPr>
                <w:rFonts w:ascii="Times New Roman" w:eastAsia="宋体" w:hAnsi="Times New Roman"/>
                <w:color w:val="000000"/>
                <w:sz w:val="20"/>
                <w:szCs w:val="20"/>
              </w:rPr>
              <w:t>2,774 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B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B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1B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1B3" w14:textId="77777777" w:rsidR="0040300B" w:rsidRDefault="00BB2D44">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B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B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1B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1B7" w14:textId="77777777" w:rsidR="0040300B" w:rsidRDefault="00BB2D44">
            <w:pPr>
              <w:jc w:val="right"/>
              <w:textAlignment w:val="bottom"/>
            </w:pPr>
            <w:r>
              <w:rPr>
                <w:rFonts w:ascii="Times New Roman" w:eastAsia="宋体" w:hAnsi="Times New Roman"/>
                <w:color w:val="000000"/>
                <w:sz w:val="20"/>
                <w:szCs w:val="20"/>
              </w:rPr>
              <w:t>8,578 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B8" w14:textId="77777777" w:rsidR="0040300B" w:rsidRDefault="0040300B">
            <w:pPr>
              <w:jc w:val="right"/>
              <w:rPr>
                <w:rFonts w:ascii="宋体"/>
              </w:rPr>
            </w:pPr>
          </w:p>
        </w:tc>
      </w:tr>
      <w:tr w:rsidR="0040300B" w14:paraId="7B66E1C2" w14:textId="77777777">
        <w:trPr>
          <w:jc w:val="center"/>
        </w:trPr>
        <w:tc>
          <w:tcPr>
            <w:tcW w:w="0" w:type="auto"/>
            <w:gridSpan w:val="3"/>
            <w:shd w:val="clear" w:color="auto" w:fill="FFFFFF"/>
            <w:tcMar>
              <w:top w:w="40" w:type="dxa"/>
              <w:left w:w="155" w:type="dxa"/>
              <w:bottom w:w="40" w:type="dxa"/>
              <w:right w:w="20" w:type="dxa"/>
            </w:tcMar>
            <w:vAlign w:val="bottom"/>
          </w:tcPr>
          <w:p w14:paraId="7B66E1BA" w14:textId="77777777" w:rsidR="0040300B" w:rsidRDefault="00BB2D44">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tcPr>
          <w:p w14:paraId="7B66E1B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BC"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E1B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BE"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E1B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C0"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E1C1" w14:textId="77777777" w:rsidR="0040300B" w:rsidRDefault="0040300B">
            <w:pPr>
              <w:rPr>
                <w:rFonts w:ascii="宋体"/>
              </w:rPr>
            </w:pPr>
          </w:p>
        </w:tc>
      </w:tr>
      <w:tr w:rsidR="0040300B" w14:paraId="7B66E1CF" w14:textId="77777777">
        <w:trPr>
          <w:jc w:val="center"/>
        </w:trPr>
        <w:tc>
          <w:tcPr>
            <w:tcW w:w="0" w:type="auto"/>
            <w:gridSpan w:val="3"/>
            <w:shd w:val="clear" w:color="auto" w:fill="CCEEFF"/>
            <w:tcMar>
              <w:top w:w="40" w:type="dxa"/>
              <w:left w:w="20" w:type="dxa"/>
              <w:bottom w:w="40" w:type="dxa"/>
              <w:right w:w="20" w:type="dxa"/>
            </w:tcMar>
            <w:vAlign w:val="bottom"/>
          </w:tcPr>
          <w:p w14:paraId="7B66E1C3" w14:textId="77777777" w:rsidR="0040300B" w:rsidRDefault="00BB2D44">
            <w:pPr>
              <w:textAlignment w:val="bottom"/>
            </w:pPr>
            <w:r>
              <w:rPr>
                <w:rFonts w:ascii="Times New Roman" w:eastAsia="宋体" w:hAnsi="Times New Roman"/>
                <w:color w:val="000000"/>
                <w:sz w:val="20"/>
                <w:szCs w:val="20"/>
              </w:rPr>
              <w:t xml:space="preserve">Change in net unrealized gains and losses, net of tax benefit (expense) of $30 and </w:t>
            </w:r>
            <w:r>
              <w:rPr>
                <w:rFonts w:ascii="Times New Roman" w:eastAsia="宋体" w:hAnsi="Times New Roman"/>
                <w:color w:val="000000"/>
                <w:sz w:val="20"/>
                <w:szCs w:val="20"/>
              </w:rPr>
              <w:t>$47 for the third quarter and first nine months of fiscal 2021, respectively, and $3 and $(26) for the corresponding periods of fiscal 2020, respectively</w:t>
            </w:r>
          </w:p>
        </w:tc>
        <w:tc>
          <w:tcPr>
            <w:tcW w:w="0" w:type="auto"/>
            <w:gridSpan w:val="2"/>
            <w:shd w:val="clear" w:color="auto" w:fill="CCEEFF"/>
            <w:tcMar>
              <w:top w:w="40" w:type="dxa"/>
              <w:left w:w="20" w:type="dxa"/>
              <w:bottom w:w="40" w:type="dxa"/>
              <w:right w:w="0" w:type="dxa"/>
            </w:tcMar>
            <w:vAlign w:val="bottom"/>
          </w:tcPr>
          <w:p w14:paraId="7B66E1C4" w14:textId="77777777" w:rsidR="0040300B" w:rsidRDefault="00BB2D44">
            <w:pPr>
              <w:jc w:val="right"/>
              <w:textAlignment w:val="bottom"/>
            </w:pPr>
            <w:r>
              <w:rPr>
                <w:rFonts w:ascii="Times New Roman" w:eastAsia="宋体" w:hAnsi="Times New Roman"/>
                <w:color w:val="000000"/>
                <w:sz w:val="20"/>
                <w:szCs w:val="20"/>
              </w:rPr>
              <w:t>(85)</w:t>
            </w:r>
          </w:p>
        </w:tc>
        <w:tc>
          <w:tcPr>
            <w:tcW w:w="0" w:type="auto"/>
            <w:shd w:val="clear" w:color="auto" w:fill="CCEEFF"/>
            <w:tcMar>
              <w:top w:w="40" w:type="dxa"/>
              <w:left w:w="0" w:type="dxa"/>
              <w:bottom w:w="40" w:type="dxa"/>
              <w:right w:w="20" w:type="dxa"/>
            </w:tcMar>
            <w:vAlign w:val="bottom"/>
          </w:tcPr>
          <w:p w14:paraId="7B66E1C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C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C7"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B66E1C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C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CA" w14:textId="77777777" w:rsidR="0040300B" w:rsidRDefault="00BB2D44">
            <w:pPr>
              <w:jc w:val="right"/>
              <w:textAlignment w:val="bottom"/>
            </w:pPr>
            <w:r>
              <w:rPr>
                <w:rFonts w:ascii="Times New Roman" w:eastAsia="宋体" w:hAnsi="Times New Roman"/>
                <w:color w:val="000000"/>
                <w:sz w:val="20"/>
                <w:szCs w:val="20"/>
              </w:rPr>
              <w:t>(103)</w:t>
            </w:r>
          </w:p>
        </w:tc>
        <w:tc>
          <w:tcPr>
            <w:tcW w:w="0" w:type="auto"/>
            <w:shd w:val="clear" w:color="auto" w:fill="CCEEFF"/>
            <w:tcMar>
              <w:top w:w="40" w:type="dxa"/>
              <w:left w:w="0" w:type="dxa"/>
              <w:bottom w:w="40" w:type="dxa"/>
              <w:right w:w="20" w:type="dxa"/>
            </w:tcMar>
            <w:vAlign w:val="bottom"/>
          </w:tcPr>
          <w:p w14:paraId="7B66E1C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C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CD" w14:textId="77777777" w:rsidR="0040300B" w:rsidRDefault="00BB2D44">
            <w:pPr>
              <w:jc w:val="right"/>
              <w:textAlignment w:val="bottom"/>
            </w:pPr>
            <w:r>
              <w:rPr>
                <w:rFonts w:ascii="Times New Roman" w:eastAsia="宋体" w:hAnsi="Times New Roman"/>
                <w:color w:val="000000"/>
                <w:sz w:val="20"/>
                <w:szCs w:val="20"/>
              </w:rPr>
              <w:t>143 </w:t>
            </w:r>
          </w:p>
        </w:tc>
        <w:tc>
          <w:tcPr>
            <w:tcW w:w="0" w:type="auto"/>
            <w:shd w:val="clear" w:color="auto" w:fill="CCEEFF"/>
            <w:tcMar>
              <w:top w:w="40" w:type="dxa"/>
              <w:left w:w="0" w:type="dxa"/>
              <w:bottom w:w="40" w:type="dxa"/>
              <w:right w:w="20" w:type="dxa"/>
            </w:tcMar>
            <w:vAlign w:val="bottom"/>
          </w:tcPr>
          <w:p w14:paraId="7B66E1CE" w14:textId="77777777" w:rsidR="0040300B" w:rsidRDefault="0040300B">
            <w:pPr>
              <w:jc w:val="right"/>
              <w:rPr>
                <w:rFonts w:ascii="宋体"/>
              </w:rPr>
            </w:pPr>
          </w:p>
        </w:tc>
      </w:tr>
      <w:tr w:rsidR="0040300B" w14:paraId="7B66E1DC" w14:textId="77777777">
        <w:trPr>
          <w:jc w:val="center"/>
        </w:trPr>
        <w:tc>
          <w:tcPr>
            <w:tcW w:w="0" w:type="auto"/>
            <w:gridSpan w:val="3"/>
            <w:shd w:val="clear" w:color="auto" w:fill="FFFFFF"/>
            <w:tcMar>
              <w:top w:w="40" w:type="dxa"/>
              <w:left w:w="20" w:type="dxa"/>
              <w:bottom w:w="40" w:type="dxa"/>
              <w:right w:w="20" w:type="dxa"/>
            </w:tcMar>
            <w:vAlign w:val="bottom"/>
          </w:tcPr>
          <w:p w14:paraId="7B66E1D0" w14:textId="77777777" w:rsidR="0040300B" w:rsidRDefault="00BB2D44">
            <w:pPr>
              <w:textAlignment w:val="bottom"/>
            </w:pPr>
            <w:r>
              <w:rPr>
                <w:rFonts w:ascii="Times New Roman" w:eastAsia="宋体" w:hAnsi="Times New Roman"/>
                <w:color w:val="000000"/>
                <w:sz w:val="20"/>
                <w:szCs w:val="20"/>
              </w:rPr>
              <w:t xml:space="preserve">Net (gains) losses reclassified into earnings, net of tax (benefit) expense of $5 and $12 for the third quarter and first nine months of fiscal 2021, respectively and $2 and $14 for the corresponding periods of fiscal 2020, </w:t>
            </w:r>
            <w:r>
              <w:rPr>
                <w:rFonts w:ascii="Times New Roman" w:eastAsia="宋体" w:hAnsi="Times New Roman"/>
                <w:color w:val="000000"/>
                <w:sz w:val="20"/>
                <w:szCs w:val="20"/>
              </w:rPr>
              <w:t>respectively</w:t>
            </w:r>
          </w:p>
        </w:tc>
        <w:tc>
          <w:tcPr>
            <w:tcW w:w="0" w:type="auto"/>
            <w:gridSpan w:val="2"/>
            <w:shd w:val="clear" w:color="auto" w:fill="FFFFFF"/>
            <w:tcMar>
              <w:top w:w="40" w:type="dxa"/>
              <w:left w:w="20" w:type="dxa"/>
              <w:bottom w:w="40" w:type="dxa"/>
              <w:right w:w="0" w:type="dxa"/>
            </w:tcMar>
            <w:vAlign w:val="bottom"/>
          </w:tcPr>
          <w:p w14:paraId="7B66E1D1" w14:textId="77777777" w:rsidR="0040300B" w:rsidRDefault="00BB2D44">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7B66E1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D4"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6E1D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D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D7" w14:textId="77777777" w:rsidR="0040300B" w:rsidRDefault="00BB2D44">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7B66E1D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1D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1DA"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B66E1DB" w14:textId="77777777" w:rsidR="0040300B" w:rsidRDefault="0040300B">
            <w:pPr>
              <w:jc w:val="right"/>
              <w:rPr>
                <w:rFonts w:ascii="宋体"/>
              </w:rPr>
            </w:pPr>
          </w:p>
        </w:tc>
      </w:tr>
      <w:tr w:rsidR="0040300B" w14:paraId="7B66E1E9" w14:textId="77777777">
        <w:trPr>
          <w:jc w:val="center"/>
        </w:trPr>
        <w:tc>
          <w:tcPr>
            <w:tcW w:w="0" w:type="auto"/>
            <w:gridSpan w:val="3"/>
            <w:shd w:val="clear" w:color="auto" w:fill="CCEEFF"/>
            <w:tcMar>
              <w:top w:w="0" w:type="dxa"/>
              <w:left w:w="20" w:type="dxa"/>
              <w:bottom w:w="0" w:type="dxa"/>
              <w:right w:w="20" w:type="dxa"/>
            </w:tcMar>
          </w:tcPr>
          <w:p w14:paraId="7B66E1DD"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1DE" w14:textId="77777777" w:rsidR="0040300B" w:rsidRDefault="00BB2D44">
            <w:pPr>
              <w:jc w:val="right"/>
              <w:textAlignment w:val="bottom"/>
            </w:pPr>
            <w:r>
              <w:rPr>
                <w:rFonts w:ascii="Times New Roman" w:eastAsia="宋体" w:hAnsi="Times New Roman"/>
                <w:color w:val="000000"/>
                <w:sz w:val="20"/>
                <w:szCs w:val="20"/>
              </w:rPr>
              <w:t>(102)</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E0"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1E1" w14:textId="77777777" w:rsidR="0040300B" w:rsidRDefault="00BB2D44">
            <w:pPr>
              <w:jc w:val="right"/>
              <w:textAlignment w:val="bottom"/>
            </w:pPr>
            <w:r>
              <w:rPr>
                <w:rFonts w:ascii="Times New Roman" w:eastAsia="宋体" w:hAnsi="Times New Roman"/>
                <w:color w:val="000000"/>
                <w:sz w:val="20"/>
                <w:szCs w:val="20"/>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E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1E4" w14:textId="77777777" w:rsidR="0040300B" w:rsidRDefault="00BB2D44">
            <w:pPr>
              <w:jc w:val="right"/>
              <w:textAlignment w:val="bottom"/>
            </w:pPr>
            <w:r>
              <w:rPr>
                <w:rFonts w:ascii="Times New Roman" w:eastAsia="宋体" w:hAnsi="Times New Roman"/>
                <w:color w:val="000000"/>
                <w:sz w:val="20"/>
                <w:szCs w:val="20"/>
              </w:rPr>
              <w:t>(137)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E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E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1E7" w14:textId="77777777" w:rsidR="0040300B" w:rsidRDefault="00BB2D44">
            <w:pPr>
              <w:jc w:val="right"/>
              <w:textAlignment w:val="bottom"/>
            </w:pPr>
            <w:r>
              <w:rPr>
                <w:rFonts w:ascii="Times New Roman" w:eastAsia="宋体" w:hAnsi="Times New Roman"/>
                <w:color w:val="000000"/>
                <w:sz w:val="20"/>
                <w:szCs w:val="20"/>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1E8" w14:textId="77777777" w:rsidR="0040300B" w:rsidRDefault="0040300B">
            <w:pPr>
              <w:jc w:val="right"/>
              <w:rPr>
                <w:rFonts w:ascii="宋体"/>
              </w:rPr>
            </w:pPr>
          </w:p>
        </w:tc>
      </w:tr>
      <w:tr w:rsidR="0040300B" w14:paraId="7B66E1F2" w14:textId="77777777">
        <w:trPr>
          <w:jc w:val="center"/>
        </w:trPr>
        <w:tc>
          <w:tcPr>
            <w:tcW w:w="0" w:type="auto"/>
            <w:gridSpan w:val="3"/>
            <w:shd w:val="clear" w:color="auto" w:fill="FFFFFF"/>
            <w:tcMar>
              <w:top w:w="40" w:type="dxa"/>
              <w:left w:w="155" w:type="dxa"/>
              <w:bottom w:w="40" w:type="dxa"/>
              <w:right w:w="20" w:type="dxa"/>
            </w:tcMar>
            <w:vAlign w:val="bottom"/>
          </w:tcPr>
          <w:p w14:paraId="7B66E1EA" w14:textId="77777777" w:rsidR="0040300B" w:rsidRDefault="00BB2D44">
            <w:pPr>
              <w:textAlignment w:val="bottom"/>
            </w:pPr>
            <w:r>
              <w:rPr>
                <w:rFonts w:ascii="Times New Roman" w:eastAsia="宋体" w:hAnsi="Times New Roman"/>
                <w:color w:val="000000"/>
                <w:sz w:val="20"/>
                <w:szCs w:val="20"/>
              </w:rPr>
              <w:t>Cash flow hedging instruments:</w:t>
            </w:r>
          </w:p>
        </w:tc>
        <w:tc>
          <w:tcPr>
            <w:tcW w:w="0" w:type="auto"/>
            <w:gridSpan w:val="3"/>
            <w:shd w:val="clear" w:color="auto" w:fill="FFFFFF"/>
            <w:tcMar>
              <w:top w:w="0" w:type="dxa"/>
              <w:left w:w="20" w:type="dxa"/>
              <w:bottom w:w="0" w:type="dxa"/>
              <w:right w:w="20" w:type="dxa"/>
            </w:tcMar>
          </w:tcPr>
          <w:p w14:paraId="7B66E1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E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E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E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F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1F1" w14:textId="77777777" w:rsidR="0040300B" w:rsidRDefault="0040300B">
            <w:pPr>
              <w:rPr>
                <w:rFonts w:ascii="宋体"/>
              </w:rPr>
            </w:pPr>
          </w:p>
        </w:tc>
      </w:tr>
      <w:tr w:rsidR="0040300B" w14:paraId="7B66E1FF" w14:textId="77777777">
        <w:trPr>
          <w:jc w:val="center"/>
        </w:trPr>
        <w:tc>
          <w:tcPr>
            <w:tcW w:w="0" w:type="auto"/>
            <w:gridSpan w:val="3"/>
            <w:shd w:val="clear" w:color="auto" w:fill="CCEEFF"/>
            <w:tcMar>
              <w:top w:w="40" w:type="dxa"/>
              <w:left w:w="20" w:type="dxa"/>
              <w:bottom w:w="40" w:type="dxa"/>
              <w:right w:w="20" w:type="dxa"/>
            </w:tcMar>
            <w:vAlign w:val="bottom"/>
          </w:tcPr>
          <w:p w14:paraId="7B66E1F3" w14:textId="77777777" w:rsidR="0040300B" w:rsidRDefault="00BB2D44">
            <w:pPr>
              <w:textAlignment w:val="bottom"/>
            </w:pPr>
            <w:r>
              <w:rPr>
                <w:rFonts w:ascii="Times New Roman" w:eastAsia="宋体" w:hAnsi="Times New Roman"/>
                <w:color w:val="000000"/>
                <w:sz w:val="20"/>
                <w:szCs w:val="20"/>
              </w:rPr>
              <w:t xml:space="preserve">Change in unrealized gains and losses, net of tax benefit (expense) of $(5) and $(4) for the third quarter and first nine months of fiscal 2021, and $(2) </w:t>
            </w:r>
            <w:r>
              <w:rPr>
                <w:rFonts w:ascii="Times New Roman" w:eastAsia="宋体" w:hAnsi="Times New Roman"/>
                <w:color w:val="000000"/>
                <w:sz w:val="20"/>
                <w:szCs w:val="20"/>
              </w:rPr>
              <w:t>and $(1) for the corresponding periods of fiscal 2020, respectively</w:t>
            </w:r>
          </w:p>
        </w:tc>
        <w:tc>
          <w:tcPr>
            <w:tcW w:w="0" w:type="auto"/>
            <w:gridSpan w:val="2"/>
            <w:shd w:val="clear" w:color="auto" w:fill="CCEEFF"/>
            <w:tcMar>
              <w:top w:w="40" w:type="dxa"/>
              <w:left w:w="20" w:type="dxa"/>
              <w:bottom w:w="40" w:type="dxa"/>
              <w:right w:w="0" w:type="dxa"/>
            </w:tcMar>
            <w:vAlign w:val="bottom"/>
          </w:tcPr>
          <w:p w14:paraId="7B66E1F4"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B66E1F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F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F7"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B66E1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F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FA"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B66E1F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1F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1FD" w14:textId="77777777" w:rsidR="0040300B" w:rsidRDefault="00BB2D4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B66E1FE" w14:textId="77777777" w:rsidR="0040300B" w:rsidRDefault="0040300B">
            <w:pPr>
              <w:jc w:val="right"/>
              <w:rPr>
                <w:rFonts w:ascii="宋体"/>
              </w:rPr>
            </w:pPr>
          </w:p>
        </w:tc>
      </w:tr>
      <w:tr w:rsidR="0040300B" w14:paraId="7B66E20C" w14:textId="77777777">
        <w:trPr>
          <w:jc w:val="center"/>
        </w:trPr>
        <w:tc>
          <w:tcPr>
            <w:tcW w:w="0" w:type="auto"/>
            <w:gridSpan w:val="3"/>
            <w:shd w:val="clear" w:color="auto" w:fill="FFFFFF"/>
            <w:tcMar>
              <w:top w:w="40" w:type="dxa"/>
              <w:left w:w="20" w:type="dxa"/>
              <w:bottom w:w="40" w:type="dxa"/>
              <w:right w:w="20" w:type="dxa"/>
            </w:tcMar>
            <w:vAlign w:val="bottom"/>
          </w:tcPr>
          <w:p w14:paraId="7B66E200" w14:textId="77777777" w:rsidR="0040300B" w:rsidRDefault="00BB2D44">
            <w:pPr>
              <w:textAlignment w:val="bottom"/>
            </w:pPr>
            <w:r>
              <w:rPr>
                <w:rFonts w:ascii="Times New Roman" w:eastAsia="宋体" w:hAnsi="Times New Roman"/>
                <w:color w:val="000000"/>
                <w:sz w:val="20"/>
                <w:szCs w:val="20"/>
              </w:rPr>
              <w:t>Net (gains) losses reclassified into earnings, net of tax (benefit) expense of $1 and $2 for the third quarter and first nine months of fiscal 2021, respectively, and $0 for each of the corresponding periods of fiscal 2020</w:t>
            </w:r>
          </w:p>
        </w:tc>
        <w:tc>
          <w:tcPr>
            <w:tcW w:w="0" w:type="auto"/>
            <w:gridSpan w:val="2"/>
            <w:shd w:val="clear" w:color="auto" w:fill="FFFFFF"/>
            <w:tcMar>
              <w:top w:w="40" w:type="dxa"/>
              <w:left w:w="20" w:type="dxa"/>
              <w:bottom w:w="40" w:type="dxa"/>
              <w:right w:w="0" w:type="dxa"/>
            </w:tcMar>
            <w:vAlign w:val="bottom"/>
          </w:tcPr>
          <w:p w14:paraId="7B66E201" w14:textId="77777777" w:rsidR="0040300B" w:rsidRDefault="00BB2D44">
            <w:pPr>
              <w:jc w:val="right"/>
              <w:textAlignment w:val="bottom"/>
            </w:pPr>
            <w:r>
              <w:rPr>
                <w:rFonts w:ascii="Times New Roman" w:eastAsia="宋体" w:hAnsi="Times New Roman"/>
                <w:color w:val="000000"/>
                <w:sz w:val="20"/>
                <w:szCs w:val="20"/>
              </w:rPr>
              <w:t>(</w:t>
            </w: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B66E20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0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04"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6E20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0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07" w14:textId="77777777" w:rsidR="0040300B" w:rsidRDefault="00BB2D44">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7B66E20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0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0A"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6E20B" w14:textId="77777777" w:rsidR="0040300B" w:rsidRDefault="0040300B">
            <w:pPr>
              <w:jc w:val="right"/>
              <w:rPr>
                <w:rFonts w:ascii="宋体"/>
              </w:rPr>
            </w:pPr>
          </w:p>
        </w:tc>
      </w:tr>
      <w:tr w:rsidR="0040300B" w14:paraId="7B66E219" w14:textId="77777777">
        <w:trPr>
          <w:jc w:val="center"/>
        </w:trPr>
        <w:tc>
          <w:tcPr>
            <w:tcW w:w="0" w:type="auto"/>
            <w:gridSpan w:val="3"/>
            <w:shd w:val="clear" w:color="auto" w:fill="CCEEFF"/>
            <w:tcMar>
              <w:top w:w="0" w:type="dxa"/>
              <w:left w:w="20" w:type="dxa"/>
              <w:bottom w:w="0" w:type="dxa"/>
              <w:right w:w="20" w:type="dxa"/>
            </w:tcMar>
          </w:tcPr>
          <w:p w14:paraId="7B66E20D"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0E"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10"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11" w14:textId="77777777" w:rsidR="0040300B" w:rsidRDefault="00BB2D44">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1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1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14" w14:textId="77777777" w:rsidR="0040300B" w:rsidRDefault="00BB2D4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1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1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17" w14:textId="77777777" w:rsidR="0040300B" w:rsidRDefault="00BB2D44">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18" w14:textId="77777777" w:rsidR="0040300B" w:rsidRDefault="0040300B">
            <w:pPr>
              <w:jc w:val="right"/>
              <w:rPr>
                <w:rFonts w:ascii="宋体"/>
              </w:rPr>
            </w:pPr>
          </w:p>
        </w:tc>
      </w:tr>
      <w:tr w:rsidR="0040300B" w14:paraId="7B66E226" w14:textId="77777777">
        <w:trPr>
          <w:jc w:val="center"/>
        </w:trPr>
        <w:tc>
          <w:tcPr>
            <w:tcW w:w="0" w:type="auto"/>
            <w:gridSpan w:val="3"/>
            <w:shd w:val="clear" w:color="auto" w:fill="FFFFFF"/>
            <w:tcMar>
              <w:top w:w="40" w:type="dxa"/>
              <w:left w:w="20" w:type="dxa"/>
              <w:bottom w:w="40" w:type="dxa"/>
              <w:right w:w="20" w:type="dxa"/>
            </w:tcMar>
            <w:vAlign w:val="bottom"/>
          </w:tcPr>
          <w:p w14:paraId="7B66E21A" w14:textId="77777777" w:rsidR="0040300B" w:rsidRDefault="00BB2D44">
            <w:pPr>
              <w:textAlignment w:val="bottom"/>
            </w:pPr>
            <w:r>
              <w:rPr>
                <w:rFonts w:ascii="Times New Roman" w:eastAsia="宋体" w:hAnsi="Times New Roman"/>
                <w:color w:val="000000"/>
                <w:sz w:val="20"/>
                <w:szCs w:val="20"/>
              </w:rPr>
              <w:t>Net change in cumulative translation adjustment and actuarial gains and losses net of tax benefit (expense) of $2 and $(1) for the third quarter and first nine months of fiscal 2021, respectively,</w:t>
            </w:r>
            <w:r>
              <w:rPr>
                <w:rFonts w:ascii="Times New Roman" w:eastAsia="宋体" w:hAnsi="Times New Roman"/>
                <w:color w:val="000000"/>
                <w:sz w:val="20"/>
                <w:szCs w:val="20"/>
              </w:rPr>
              <w:t xml:space="preserve"> and $3 and $2 for the corresponding periods of fiscal 2020, respectively</w:t>
            </w:r>
          </w:p>
        </w:tc>
        <w:tc>
          <w:tcPr>
            <w:tcW w:w="0" w:type="auto"/>
            <w:gridSpan w:val="2"/>
            <w:shd w:val="clear" w:color="auto" w:fill="FFFFFF"/>
            <w:tcMar>
              <w:top w:w="40" w:type="dxa"/>
              <w:left w:w="20" w:type="dxa"/>
              <w:bottom w:w="40" w:type="dxa"/>
              <w:right w:w="0" w:type="dxa"/>
            </w:tcMar>
            <w:vAlign w:val="bottom"/>
          </w:tcPr>
          <w:p w14:paraId="7B66E21B" w14:textId="77777777" w:rsidR="0040300B" w:rsidRDefault="00BB2D4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B66E21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1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1E" w14:textId="77777777" w:rsidR="0040300B" w:rsidRDefault="00BB2D44">
            <w:pPr>
              <w:jc w:val="right"/>
              <w:textAlignment w:val="bottom"/>
            </w:pPr>
            <w:r>
              <w:rPr>
                <w:rFonts w:ascii="Times New Roman" w:eastAsia="宋体" w:hAnsi="Times New Roman"/>
                <w:color w:val="000000"/>
                <w:sz w:val="20"/>
                <w:szCs w:val="20"/>
              </w:rPr>
              <w:t>(427)</w:t>
            </w:r>
          </w:p>
        </w:tc>
        <w:tc>
          <w:tcPr>
            <w:tcW w:w="0" w:type="auto"/>
            <w:shd w:val="clear" w:color="auto" w:fill="FFFFFF"/>
            <w:tcMar>
              <w:top w:w="40" w:type="dxa"/>
              <w:left w:w="0" w:type="dxa"/>
              <w:bottom w:w="40" w:type="dxa"/>
              <w:right w:w="20" w:type="dxa"/>
            </w:tcMar>
            <w:vAlign w:val="bottom"/>
          </w:tcPr>
          <w:p w14:paraId="7B66E21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2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21" w14:textId="77777777" w:rsidR="0040300B" w:rsidRDefault="00BB2D44">
            <w:pPr>
              <w:jc w:val="right"/>
              <w:textAlignment w:val="bottom"/>
            </w:pPr>
            <w:r>
              <w:rPr>
                <w:rFonts w:ascii="Times New Roman" w:eastAsia="宋体" w:hAnsi="Times New Roman"/>
                <w:color w:val="000000"/>
                <w:sz w:val="20"/>
                <w:szCs w:val="20"/>
              </w:rPr>
              <w:t>366 </w:t>
            </w:r>
          </w:p>
        </w:tc>
        <w:tc>
          <w:tcPr>
            <w:tcW w:w="0" w:type="auto"/>
            <w:shd w:val="clear" w:color="auto" w:fill="FFFFFF"/>
            <w:tcMar>
              <w:top w:w="40" w:type="dxa"/>
              <w:left w:w="0" w:type="dxa"/>
              <w:bottom w:w="40" w:type="dxa"/>
              <w:right w:w="20" w:type="dxa"/>
            </w:tcMar>
            <w:vAlign w:val="bottom"/>
          </w:tcPr>
          <w:p w14:paraId="7B66E22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2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24" w14:textId="77777777" w:rsidR="0040300B" w:rsidRDefault="00BB2D44">
            <w:pPr>
              <w:jc w:val="right"/>
              <w:textAlignment w:val="bottom"/>
            </w:pPr>
            <w:r>
              <w:rPr>
                <w:rFonts w:ascii="Times New Roman" w:eastAsia="宋体" w:hAnsi="Times New Roman"/>
                <w:color w:val="000000"/>
                <w:sz w:val="20"/>
                <w:szCs w:val="20"/>
              </w:rPr>
              <w:t>(468)</w:t>
            </w:r>
          </w:p>
        </w:tc>
        <w:tc>
          <w:tcPr>
            <w:tcW w:w="0" w:type="auto"/>
            <w:shd w:val="clear" w:color="auto" w:fill="FFFFFF"/>
            <w:tcMar>
              <w:top w:w="40" w:type="dxa"/>
              <w:left w:w="0" w:type="dxa"/>
              <w:bottom w:w="40" w:type="dxa"/>
              <w:right w:w="20" w:type="dxa"/>
            </w:tcMar>
            <w:vAlign w:val="bottom"/>
          </w:tcPr>
          <w:p w14:paraId="7B66E225" w14:textId="77777777" w:rsidR="0040300B" w:rsidRDefault="0040300B">
            <w:pPr>
              <w:jc w:val="right"/>
              <w:rPr>
                <w:rFonts w:ascii="宋体"/>
              </w:rPr>
            </w:pPr>
          </w:p>
        </w:tc>
      </w:tr>
      <w:tr w:rsidR="0040300B" w14:paraId="7B66E233" w14:textId="77777777">
        <w:trPr>
          <w:jc w:val="center"/>
        </w:trPr>
        <w:tc>
          <w:tcPr>
            <w:tcW w:w="0" w:type="auto"/>
            <w:gridSpan w:val="3"/>
            <w:shd w:val="clear" w:color="auto" w:fill="CCEEFF"/>
            <w:tcMar>
              <w:top w:w="40" w:type="dxa"/>
              <w:left w:w="20" w:type="dxa"/>
              <w:bottom w:w="40" w:type="dxa"/>
              <w:right w:w="20" w:type="dxa"/>
            </w:tcMar>
            <w:vAlign w:val="bottom"/>
          </w:tcPr>
          <w:p w14:paraId="7B66E227" w14:textId="77777777" w:rsidR="0040300B" w:rsidRDefault="00BB2D44">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28" w14:textId="77777777" w:rsidR="0040300B" w:rsidRDefault="00BB2D44">
            <w:pPr>
              <w:jc w:val="right"/>
              <w:textAlignment w:val="bottom"/>
            </w:pPr>
            <w:r>
              <w:rPr>
                <w:rFonts w:ascii="Times New Roman" w:eastAsia="宋体" w:hAnsi="Times New Roman"/>
                <w:color w:val="000000"/>
                <w:sz w:val="20"/>
                <w:szCs w:val="20"/>
              </w:rPr>
              <w:t>(70)</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2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2A"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2B" w14:textId="77777777" w:rsidR="0040300B" w:rsidRDefault="00BB2D44">
            <w:pPr>
              <w:jc w:val="right"/>
              <w:textAlignment w:val="bottom"/>
            </w:pPr>
            <w:r>
              <w:rPr>
                <w:rFonts w:ascii="Times New Roman" w:eastAsia="宋体" w:hAnsi="Times New Roman"/>
                <w:color w:val="000000"/>
                <w:sz w:val="20"/>
                <w:szCs w:val="20"/>
              </w:rPr>
              <w:t>(409)</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2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2D"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2E" w14:textId="77777777" w:rsidR="0040300B" w:rsidRDefault="00BB2D44">
            <w:pPr>
              <w:jc w:val="right"/>
              <w:textAlignment w:val="bottom"/>
            </w:pPr>
            <w:r>
              <w:rPr>
                <w:rFonts w:ascii="Times New Roman" w:eastAsia="宋体" w:hAnsi="Times New Roman"/>
                <w:color w:val="000000"/>
                <w:sz w:val="20"/>
                <w:szCs w:val="20"/>
              </w:rPr>
              <w:t>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2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30"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31" w14:textId="77777777" w:rsidR="0040300B" w:rsidRDefault="00BB2D44">
            <w:pPr>
              <w:jc w:val="right"/>
              <w:textAlignment w:val="bottom"/>
            </w:pPr>
            <w:r>
              <w:rPr>
                <w:rFonts w:ascii="Times New Roman" w:eastAsia="宋体" w:hAnsi="Times New Roman"/>
                <w:color w:val="000000"/>
                <w:sz w:val="20"/>
                <w:szCs w:val="20"/>
              </w:rPr>
              <w:t>(317)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32" w14:textId="77777777" w:rsidR="0040300B" w:rsidRDefault="0040300B">
            <w:pPr>
              <w:jc w:val="right"/>
              <w:rPr>
                <w:rFonts w:ascii="宋体"/>
              </w:rPr>
            </w:pPr>
          </w:p>
        </w:tc>
      </w:tr>
      <w:tr w:rsidR="0040300B" w14:paraId="7B66E244" w14:textId="77777777">
        <w:trPr>
          <w:jc w:val="center"/>
        </w:trPr>
        <w:tc>
          <w:tcPr>
            <w:tcW w:w="0" w:type="auto"/>
            <w:gridSpan w:val="3"/>
            <w:shd w:val="clear" w:color="auto" w:fill="FFFFFF"/>
            <w:tcMar>
              <w:top w:w="40" w:type="dxa"/>
              <w:left w:w="20" w:type="dxa"/>
              <w:bottom w:w="40" w:type="dxa"/>
              <w:right w:w="20" w:type="dxa"/>
            </w:tcMar>
            <w:vAlign w:val="bottom"/>
          </w:tcPr>
          <w:p w14:paraId="7B66E234" w14:textId="77777777" w:rsidR="0040300B" w:rsidRDefault="00BB2D44">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23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236" w14:textId="77777777" w:rsidR="0040300B" w:rsidRDefault="00BB2D44">
            <w:pPr>
              <w:jc w:val="right"/>
              <w:textAlignment w:val="bottom"/>
            </w:pPr>
            <w:r>
              <w:rPr>
                <w:rFonts w:ascii="Times New Roman" w:eastAsia="宋体" w:hAnsi="Times New Roman"/>
                <w:color w:val="000000"/>
                <w:sz w:val="20"/>
                <w:szCs w:val="20"/>
              </w:rPr>
              <w:t>2,793 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23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3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23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23A" w14:textId="77777777" w:rsidR="0040300B" w:rsidRDefault="00BB2D44">
            <w:pPr>
              <w:jc w:val="right"/>
              <w:textAlignment w:val="bottom"/>
            </w:pPr>
            <w:r>
              <w:rPr>
                <w:rFonts w:ascii="Times New Roman" w:eastAsia="宋体" w:hAnsi="Times New Roman"/>
                <w:color w:val="000000"/>
                <w:sz w:val="20"/>
                <w:szCs w:val="20"/>
              </w:rPr>
              <w:t>2,365 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23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3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23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23E" w14:textId="77777777" w:rsidR="0040300B" w:rsidRDefault="00BB2D44">
            <w:pPr>
              <w:jc w:val="right"/>
              <w:textAlignment w:val="bottom"/>
            </w:pPr>
            <w:r>
              <w:rPr>
                <w:rFonts w:ascii="Times New Roman" w:eastAsia="宋体" w:hAnsi="Times New Roman"/>
                <w:color w:val="000000"/>
                <w:sz w:val="20"/>
                <w:szCs w:val="20"/>
              </w:rPr>
              <w:t>7,813 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23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4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24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242" w14:textId="77777777" w:rsidR="0040300B" w:rsidRDefault="00BB2D44">
            <w:pPr>
              <w:jc w:val="right"/>
              <w:textAlignment w:val="bottom"/>
            </w:pPr>
            <w:r>
              <w:rPr>
                <w:rFonts w:ascii="Times New Roman" w:eastAsia="宋体" w:hAnsi="Times New Roman"/>
                <w:color w:val="000000"/>
                <w:sz w:val="20"/>
                <w:szCs w:val="20"/>
              </w:rPr>
              <w:t>8,261 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243" w14:textId="77777777" w:rsidR="0040300B" w:rsidRDefault="0040300B">
            <w:pPr>
              <w:jc w:val="right"/>
              <w:rPr>
                <w:rFonts w:ascii="宋体"/>
              </w:rPr>
            </w:pPr>
          </w:p>
        </w:tc>
      </w:tr>
    </w:tbl>
    <w:p w14:paraId="7B66E245" w14:textId="77777777" w:rsidR="0040300B" w:rsidRDefault="00BB2D44">
      <w:pPr>
        <w:spacing w:before="180"/>
        <w:jc w:val="center"/>
      </w:pPr>
      <w:r>
        <w:rPr>
          <w:rFonts w:ascii="Times New Roman" w:eastAsia="宋体" w:hAnsi="Times New Roman"/>
          <w:color w:val="000000"/>
          <w:sz w:val="20"/>
          <w:szCs w:val="20"/>
        </w:rPr>
        <w:t>See Notes to Consolidated Financial Statements.</w:t>
      </w:r>
    </w:p>
    <w:p w14:paraId="7B66E246" w14:textId="77777777" w:rsidR="0040300B" w:rsidRDefault="0040300B"/>
    <w:p w14:paraId="7B66E247" w14:textId="77777777" w:rsidR="0040300B" w:rsidRDefault="0040300B"/>
    <w:p w14:paraId="7B66E248" w14:textId="77777777" w:rsidR="0040300B" w:rsidRDefault="00BB2D44">
      <w:pPr>
        <w:jc w:val="center"/>
      </w:pPr>
      <w:r>
        <w:rPr>
          <w:rFonts w:ascii="Times New Roman" w:eastAsia="宋体" w:hAnsi="Times New Roman"/>
          <w:color w:val="000000"/>
          <w:sz w:val="20"/>
          <w:szCs w:val="20"/>
        </w:rPr>
        <w:t>5</w:t>
      </w:r>
    </w:p>
    <w:p w14:paraId="7B66E249" w14:textId="77777777" w:rsidR="0040300B" w:rsidRDefault="00BB2D44">
      <w:r>
        <w:pict w14:anchorId="7B671C15">
          <v:rect id="_x0000_i1029" style="width:415.3pt;height:1.5pt" o:hralign="center" o:hrstd="t" o:hr="t" fillcolor="#a0a0a0" stroked="f"/>
        </w:pict>
      </w:r>
    </w:p>
    <w:p w14:paraId="7B66E24A" w14:textId="77777777" w:rsidR="0040300B" w:rsidRDefault="00BB2D44">
      <w:hyperlink r:id="rId51" w:anchor="i52d5b40dbad7426a9806a2fd5167029f_7" w:history="1">
        <w:r>
          <w:rPr>
            <w:rStyle w:val="a5"/>
            <w:rFonts w:ascii="Times New Roman" w:eastAsia="宋体" w:hAnsi="Times New Roman"/>
            <w:sz w:val="18"/>
            <w:szCs w:val="18"/>
          </w:rPr>
          <w:t>Table of Contents</w:t>
        </w:r>
      </w:hyperlink>
    </w:p>
    <w:p w14:paraId="7B66E24B" w14:textId="77777777" w:rsidR="0040300B" w:rsidRDefault="00BB2D44">
      <w:pPr>
        <w:jc w:val="center"/>
      </w:pPr>
      <w:r>
        <w:rPr>
          <w:rFonts w:ascii="Times New Roman" w:eastAsia="宋体" w:hAnsi="Times New Roman"/>
          <w:b/>
          <w:bCs/>
          <w:color w:val="000000"/>
          <w:sz w:val="19"/>
          <w:szCs w:val="19"/>
        </w:rPr>
        <w:t>CISCO SYSTEMS, INC.</w:t>
      </w:r>
    </w:p>
    <w:p w14:paraId="7B66E24C" w14:textId="77777777" w:rsidR="0040300B" w:rsidRDefault="00BB2D44">
      <w:pPr>
        <w:jc w:val="center"/>
      </w:pPr>
      <w:r>
        <w:rPr>
          <w:rFonts w:ascii="Times New Roman" w:eastAsia="宋体" w:hAnsi="Times New Roman"/>
          <w:b/>
          <w:bCs/>
          <w:color w:val="000000"/>
          <w:sz w:val="19"/>
          <w:szCs w:val="19"/>
        </w:rPr>
        <w:t>CONSOLIDATED STATEMENTS OF CASH FLOWS</w:t>
      </w:r>
    </w:p>
    <w:p w14:paraId="7B66E24D" w14:textId="77777777" w:rsidR="0040300B" w:rsidRDefault="00BB2D44">
      <w:pPr>
        <w:jc w:val="center"/>
      </w:pPr>
      <w:r>
        <w:rPr>
          <w:rFonts w:ascii="Times New Roman" w:eastAsia="宋体" w:hAnsi="Times New Roman"/>
          <w:color w:val="000000"/>
          <w:sz w:val="18"/>
          <w:szCs w:val="18"/>
        </w:rPr>
        <w:t>(in millions)</w:t>
      </w:r>
    </w:p>
    <w:p w14:paraId="7B66E24E" w14:textId="77777777" w:rsidR="0040300B" w:rsidRDefault="00BB2D4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8"/>
        <w:gridCol w:w="42"/>
        <w:gridCol w:w="115"/>
        <w:gridCol w:w="1064"/>
        <w:gridCol w:w="36"/>
        <w:gridCol w:w="36"/>
        <w:gridCol w:w="36"/>
        <w:gridCol w:w="36"/>
        <w:gridCol w:w="115"/>
        <w:gridCol w:w="1029"/>
        <w:gridCol w:w="36"/>
      </w:tblGrid>
      <w:tr w:rsidR="0040300B" w14:paraId="7B66E25B" w14:textId="77777777">
        <w:trPr>
          <w:jc w:val="center"/>
        </w:trPr>
        <w:tc>
          <w:tcPr>
            <w:tcW w:w="50" w:type="pct"/>
            <w:shd w:val="clear" w:color="auto" w:fill="auto"/>
          </w:tcPr>
          <w:p w14:paraId="7B66E24F" w14:textId="77777777" w:rsidR="0040300B" w:rsidRDefault="0040300B">
            <w:pPr>
              <w:rPr>
                <w:rFonts w:ascii="宋体"/>
              </w:rPr>
            </w:pPr>
          </w:p>
        </w:tc>
        <w:tc>
          <w:tcPr>
            <w:tcW w:w="3472" w:type="pct"/>
            <w:shd w:val="clear" w:color="auto" w:fill="auto"/>
          </w:tcPr>
          <w:p w14:paraId="7B66E250" w14:textId="77777777" w:rsidR="0040300B" w:rsidRDefault="0040300B">
            <w:pPr>
              <w:rPr>
                <w:rFonts w:ascii="宋体"/>
              </w:rPr>
            </w:pPr>
          </w:p>
        </w:tc>
        <w:tc>
          <w:tcPr>
            <w:tcW w:w="5" w:type="pct"/>
            <w:shd w:val="clear" w:color="auto" w:fill="auto"/>
          </w:tcPr>
          <w:p w14:paraId="7B66E251" w14:textId="77777777" w:rsidR="0040300B" w:rsidRDefault="0040300B">
            <w:pPr>
              <w:rPr>
                <w:rFonts w:ascii="宋体"/>
              </w:rPr>
            </w:pPr>
          </w:p>
        </w:tc>
        <w:tc>
          <w:tcPr>
            <w:tcW w:w="50" w:type="pct"/>
            <w:shd w:val="clear" w:color="auto" w:fill="auto"/>
          </w:tcPr>
          <w:p w14:paraId="7B66E252" w14:textId="77777777" w:rsidR="0040300B" w:rsidRDefault="0040300B">
            <w:pPr>
              <w:rPr>
                <w:rFonts w:ascii="宋体"/>
              </w:rPr>
            </w:pPr>
          </w:p>
        </w:tc>
        <w:tc>
          <w:tcPr>
            <w:tcW w:w="663" w:type="pct"/>
            <w:shd w:val="clear" w:color="auto" w:fill="auto"/>
          </w:tcPr>
          <w:p w14:paraId="7B66E253" w14:textId="77777777" w:rsidR="0040300B" w:rsidRDefault="0040300B">
            <w:pPr>
              <w:rPr>
                <w:rFonts w:ascii="宋体"/>
              </w:rPr>
            </w:pPr>
          </w:p>
        </w:tc>
        <w:tc>
          <w:tcPr>
            <w:tcW w:w="5" w:type="pct"/>
            <w:shd w:val="clear" w:color="auto" w:fill="auto"/>
          </w:tcPr>
          <w:p w14:paraId="7B66E254" w14:textId="77777777" w:rsidR="0040300B" w:rsidRDefault="0040300B">
            <w:pPr>
              <w:rPr>
                <w:rFonts w:ascii="宋体"/>
              </w:rPr>
            </w:pPr>
          </w:p>
        </w:tc>
        <w:tc>
          <w:tcPr>
            <w:tcW w:w="5" w:type="pct"/>
            <w:shd w:val="clear" w:color="auto" w:fill="auto"/>
          </w:tcPr>
          <w:p w14:paraId="7B66E255" w14:textId="77777777" w:rsidR="0040300B" w:rsidRDefault="0040300B">
            <w:pPr>
              <w:rPr>
                <w:rFonts w:ascii="宋体"/>
              </w:rPr>
            </w:pPr>
          </w:p>
        </w:tc>
        <w:tc>
          <w:tcPr>
            <w:tcW w:w="25" w:type="pct"/>
            <w:shd w:val="clear" w:color="auto" w:fill="auto"/>
          </w:tcPr>
          <w:p w14:paraId="7B66E256" w14:textId="77777777" w:rsidR="0040300B" w:rsidRDefault="0040300B">
            <w:pPr>
              <w:rPr>
                <w:rFonts w:ascii="宋体"/>
              </w:rPr>
            </w:pPr>
          </w:p>
        </w:tc>
        <w:tc>
          <w:tcPr>
            <w:tcW w:w="5" w:type="pct"/>
            <w:shd w:val="clear" w:color="auto" w:fill="auto"/>
          </w:tcPr>
          <w:p w14:paraId="7B66E257" w14:textId="77777777" w:rsidR="0040300B" w:rsidRDefault="0040300B">
            <w:pPr>
              <w:rPr>
                <w:rFonts w:ascii="宋体"/>
              </w:rPr>
            </w:pPr>
          </w:p>
        </w:tc>
        <w:tc>
          <w:tcPr>
            <w:tcW w:w="50" w:type="pct"/>
            <w:shd w:val="clear" w:color="auto" w:fill="auto"/>
          </w:tcPr>
          <w:p w14:paraId="7B66E258" w14:textId="77777777" w:rsidR="0040300B" w:rsidRDefault="0040300B">
            <w:pPr>
              <w:rPr>
                <w:rFonts w:ascii="宋体"/>
              </w:rPr>
            </w:pPr>
          </w:p>
        </w:tc>
        <w:tc>
          <w:tcPr>
            <w:tcW w:w="663" w:type="pct"/>
            <w:shd w:val="clear" w:color="auto" w:fill="auto"/>
          </w:tcPr>
          <w:p w14:paraId="7B66E259" w14:textId="77777777" w:rsidR="0040300B" w:rsidRDefault="0040300B">
            <w:pPr>
              <w:rPr>
                <w:rFonts w:ascii="宋体"/>
              </w:rPr>
            </w:pPr>
          </w:p>
        </w:tc>
        <w:tc>
          <w:tcPr>
            <w:tcW w:w="5" w:type="pct"/>
            <w:shd w:val="clear" w:color="auto" w:fill="auto"/>
          </w:tcPr>
          <w:p w14:paraId="7B66E25A" w14:textId="77777777" w:rsidR="0040300B" w:rsidRDefault="0040300B">
            <w:pPr>
              <w:rPr>
                <w:rFonts w:ascii="宋体"/>
              </w:rPr>
            </w:pPr>
          </w:p>
        </w:tc>
      </w:tr>
      <w:tr w:rsidR="0040300B" w14:paraId="7B66E25E" w14:textId="77777777">
        <w:trPr>
          <w:jc w:val="center"/>
        </w:trPr>
        <w:tc>
          <w:tcPr>
            <w:tcW w:w="0" w:type="auto"/>
            <w:gridSpan w:val="3"/>
            <w:shd w:val="clear" w:color="auto" w:fill="auto"/>
            <w:tcMar>
              <w:top w:w="0" w:type="dxa"/>
              <w:left w:w="20" w:type="dxa"/>
              <w:bottom w:w="0" w:type="dxa"/>
              <w:right w:w="20" w:type="dxa"/>
            </w:tcMar>
          </w:tcPr>
          <w:p w14:paraId="7B66E25C"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25D"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263" w14:textId="77777777">
        <w:trPr>
          <w:jc w:val="center"/>
        </w:trPr>
        <w:tc>
          <w:tcPr>
            <w:tcW w:w="0" w:type="auto"/>
            <w:gridSpan w:val="3"/>
            <w:shd w:val="clear" w:color="auto" w:fill="auto"/>
            <w:tcMar>
              <w:top w:w="0" w:type="dxa"/>
              <w:left w:w="20" w:type="dxa"/>
              <w:bottom w:w="0" w:type="dxa"/>
              <w:right w:w="20" w:type="dxa"/>
            </w:tcMar>
          </w:tcPr>
          <w:p w14:paraId="7B66E25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260"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26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262"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E268" w14:textId="77777777">
        <w:trPr>
          <w:jc w:val="center"/>
        </w:trPr>
        <w:tc>
          <w:tcPr>
            <w:tcW w:w="0" w:type="auto"/>
            <w:gridSpan w:val="3"/>
            <w:shd w:val="clear" w:color="auto" w:fill="CCEEFF"/>
            <w:tcMar>
              <w:top w:w="40" w:type="dxa"/>
              <w:left w:w="20" w:type="dxa"/>
              <w:bottom w:w="40" w:type="dxa"/>
              <w:right w:w="20" w:type="dxa"/>
            </w:tcMar>
            <w:vAlign w:val="bottom"/>
          </w:tcPr>
          <w:p w14:paraId="7B66E264" w14:textId="77777777" w:rsidR="0040300B" w:rsidRDefault="00BB2D44">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7B66E26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26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267" w14:textId="77777777" w:rsidR="0040300B" w:rsidRDefault="0040300B">
            <w:pPr>
              <w:rPr>
                <w:rFonts w:ascii="宋体"/>
              </w:rPr>
            </w:pPr>
          </w:p>
        </w:tc>
      </w:tr>
      <w:tr w:rsidR="0040300B" w14:paraId="7B66E271" w14:textId="77777777">
        <w:trPr>
          <w:jc w:val="center"/>
        </w:trPr>
        <w:tc>
          <w:tcPr>
            <w:tcW w:w="0" w:type="auto"/>
            <w:gridSpan w:val="3"/>
            <w:shd w:val="clear" w:color="auto" w:fill="FFFFFF"/>
            <w:tcMar>
              <w:top w:w="40" w:type="dxa"/>
              <w:left w:w="380" w:type="dxa"/>
              <w:bottom w:w="40" w:type="dxa"/>
              <w:right w:w="20" w:type="dxa"/>
            </w:tcMar>
            <w:vAlign w:val="bottom"/>
          </w:tcPr>
          <w:p w14:paraId="7B66E269" w14:textId="77777777" w:rsidR="0040300B" w:rsidRDefault="00BB2D44">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center"/>
          </w:tcPr>
          <w:p w14:paraId="7B66E26A" w14:textId="77777777" w:rsidR="0040300B" w:rsidRDefault="00BB2D44">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7B66E26B" w14:textId="77777777" w:rsidR="0040300B" w:rsidRDefault="00BB2D44">
            <w:pPr>
              <w:jc w:val="right"/>
              <w:textAlignment w:val="center"/>
            </w:pPr>
            <w:r>
              <w:rPr>
                <w:rFonts w:ascii="Times New Roman" w:eastAsia="宋体" w:hAnsi="Times New Roman"/>
                <w:color w:val="000000"/>
                <w:sz w:val="19"/>
                <w:szCs w:val="19"/>
              </w:rPr>
              <w:t>7,582 </w:t>
            </w:r>
          </w:p>
        </w:tc>
        <w:tc>
          <w:tcPr>
            <w:tcW w:w="0" w:type="auto"/>
            <w:shd w:val="clear" w:color="auto" w:fill="FFFFFF"/>
            <w:tcMar>
              <w:top w:w="40" w:type="dxa"/>
              <w:left w:w="0" w:type="dxa"/>
              <w:bottom w:w="40" w:type="dxa"/>
              <w:right w:w="20" w:type="dxa"/>
            </w:tcMar>
            <w:vAlign w:val="center"/>
          </w:tcPr>
          <w:p w14:paraId="7B66E26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6D" w14:textId="77777777" w:rsidR="0040300B" w:rsidRDefault="0040300B">
            <w:pPr>
              <w:rPr>
                <w:rFonts w:ascii="宋体"/>
              </w:rPr>
            </w:pPr>
          </w:p>
        </w:tc>
        <w:tc>
          <w:tcPr>
            <w:tcW w:w="0" w:type="auto"/>
            <w:shd w:val="clear" w:color="auto" w:fill="FFFFFF"/>
            <w:tcMar>
              <w:top w:w="40" w:type="dxa"/>
              <w:left w:w="20" w:type="dxa"/>
              <w:bottom w:w="40" w:type="dxa"/>
              <w:right w:w="0" w:type="dxa"/>
            </w:tcMar>
            <w:vAlign w:val="center"/>
          </w:tcPr>
          <w:p w14:paraId="7B66E26E" w14:textId="77777777" w:rsidR="0040300B" w:rsidRDefault="00BB2D44">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7B66E26F" w14:textId="77777777" w:rsidR="0040300B" w:rsidRDefault="00BB2D44">
            <w:pPr>
              <w:jc w:val="right"/>
              <w:textAlignment w:val="center"/>
            </w:pPr>
            <w:r>
              <w:rPr>
                <w:rFonts w:ascii="Times New Roman" w:eastAsia="宋体" w:hAnsi="Times New Roman"/>
                <w:color w:val="000000"/>
                <w:sz w:val="19"/>
                <w:szCs w:val="19"/>
              </w:rPr>
              <w:t>8,578 </w:t>
            </w:r>
          </w:p>
        </w:tc>
        <w:tc>
          <w:tcPr>
            <w:tcW w:w="0" w:type="auto"/>
            <w:shd w:val="clear" w:color="auto" w:fill="FFFFFF"/>
            <w:tcMar>
              <w:top w:w="40" w:type="dxa"/>
              <w:left w:w="0" w:type="dxa"/>
              <w:bottom w:w="40" w:type="dxa"/>
              <w:right w:w="20" w:type="dxa"/>
            </w:tcMar>
            <w:vAlign w:val="center"/>
          </w:tcPr>
          <w:p w14:paraId="7B66E270" w14:textId="77777777" w:rsidR="0040300B" w:rsidRDefault="0040300B">
            <w:pPr>
              <w:jc w:val="right"/>
              <w:rPr>
                <w:rFonts w:ascii="宋体"/>
              </w:rPr>
            </w:pPr>
          </w:p>
        </w:tc>
      </w:tr>
      <w:tr w:rsidR="0040300B" w14:paraId="7B66E276" w14:textId="77777777">
        <w:trPr>
          <w:jc w:val="center"/>
        </w:trPr>
        <w:tc>
          <w:tcPr>
            <w:tcW w:w="0" w:type="auto"/>
            <w:gridSpan w:val="3"/>
            <w:shd w:val="clear" w:color="auto" w:fill="CCEEFF"/>
            <w:tcMar>
              <w:top w:w="40" w:type="dxa"/>
              <w:left w:w="380" w:type="dxa"/>
              <w:bottom w:w="40" w:type="dxa"/>
              <w:right w:w="20" w:type="dxa"/>
            </w:tcMar>
            <w:vAlign w:val="bottom"/>
          </w:tcPr>
          <w:p w14:paraId="7B66E272" w14:textId="77777777" w:rsidR="0040300B" w:rsidRDefault="00BB2D44">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tcPr>
          <w:p w14:paraId="7B66E27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27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275" w14:textId="77777777" w:rsidR="0040300B" w:rsidRDefault="0040300B">
            <w:pPr>
              <w:rPr>
                <w:rFonts w:ascii="宋体"/>
              </w:rPr>
            </w:pPr>
          </w:p>
        </w:tc>
      </w:tr>
      <w:tr w:rsidR="0040300B" w14:paraId="7B66E27D" w14:textId="77777777">
        <w:trPr>
          <w:jc w:val="center"/>
        </w:trPr>
        <w:tc>
          <w:tcPr>
            <w:tcW w:w="0" w:type="auto"/>
            <w:gridSpan w:val="3"/>
            <w:shd w:val="clear" w:color="auto" w:fill="FFFFFF"/>
            <w:tcMar>
              <w:top w:w="40" w:type="dxa"/>
              <w:left w:w="740" w:type="dxa"/>
              <w:bottom w:w="40" w:type="dxa"/>
              <w:right w:w="20" w:type="dxa"/>
            </w:tcMar>
            <w:vAlign w:val="bottom"/>
          </w:tcPr>
          <w:p w14:paraId="7B66E277" w14:textId="77777777" w:rsidR="0040300B" w:rsidRDefault="00BB2D44">
            <w:pPr>
              <w:textAlignment w:val="bottom"/>
            </w:pPr>
            <w:r>
              <w:rPr>
                <w:rFonts w:ascii="Times New Roman" w:eastAsia="宋体" w:hAnsi="Times New Roman"/>
                <w:color w:val="000000"/>
                <w:sz w:val="19"/>
                <w:szCs w:val="19"/>
              </w:rPr>
              <w:t>Depreciation, amortization, and other</w:t>
            </w:r>
          </w:p>
        </w:tc>
        <w:tc>
          <w:tcPr>
            <w:tcW w:w="0" w:type="auto"/>
            <w:gridSpan w:val="2"/>
            <w:shd w:val="clear" w:color="auto" w:fill="FFFFFF"/>
            <w:tcMar>
              <w:top w:w="40" w:type="dxa"/>
              <w:left w:w="20" w:type="dxa"/>
              <w:bottom w:w="40" w:type="dxa"/>
              <w:right w:w="0" w:type="dxa"/>
            </w:tcMar>
            <w:vAlign w:val="bottom"/>
          </w:tcPr>
          <w:p w14:paraId="7B66E278" w14:textId="77777777" w:rsidR="0040300B" w:rsidRDefault="00BB2D44">
            <w:pPr>
              <w:jc w:val="right"/>
              <w:textAlignment w:val="bottom"/>
            </w:pPr>
            <w:r>
              <w:rPr>
                <w:rFonts w:ascii="Times New Roman" w:eastAsia="宋体" w:hAnsi="Times New Roman"/>
                <w:color w:val="000000"/>
                <w:sz w:val="19"/>
                <w:szCs w:val="19"/>
              </w:rPr>
              <w:t>1,373 </w:t>
            </w:r>
          </w:p>
        </w:tc>
        <w:tc>
          <w:tcPr>
            <w:tcW w:w="0" w:type="auto"/>
            <w:shd w:val="clear" w:color="auto" w:fill="FFFFFF"/>
            <w:tcMar>
              <w:top w:w="40" w:type="dxa"/>
              <w:left w:w="0" w:type="dxa"/>
              <w:bottom w:w="40" w:type="dxa"/>
              <w:right w:w="20" w:type="dxa"/>
            </w:tcMar>
            <w:vAlign w:val="bottom"/>
          </w:tcPr>
          <w:p w14:paraId="7B66E2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7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7B" w14:textId="77777777" w:rsidR="0040300B" w:rsidRDefault="00BB2D44">
            <w:pPr>
              <w:jc w:val="right"/>
              <w:textAlignment w:val="bottom"/>
            </w:pPr>
            <w:r>
              <w:rPr>
                <w:rFonts w:ascii="Times New Roman" w:eastAsia="宋体" w:hAnsi="Times New Roman"/>
                <w:color w:val="000000"/>
                <w:sz w:val="19"/>
                <w:szCs w:val="19"/>
              </w:rPr>
              <w:t>1,364 </w:t>
            </w:r>
          </w:p>
        </w:tc>
        <w:tc>
          <w:tcPr>
            <w:tcW w:w="0" w:type="auto"/>
            <w:shd w:val="clear" w:color="auto" w:fill="FFFFFF"/>
            <w:tcMar>
              <w:top w:w="40" w:type="dxa"/>
              <w:left w:w="0" w:type="dxa"/>
              <w:bottom w:w="40" w:type="dxa"/>
              <w:right w:w="20" w:type="dxa"/>
            </w:tcMar>
            <w:vAlign w:val="bottom"/>
          </w:tcPr>
          <w:p w14:paraId="7B66E27C" w14:textId="77777777" w:rsidR="0040300B" w:rsidRDefault="0040300B">
            <w:pPr>
              <w:jc w:val="right"/>
              <w:rPr>
                <w:rFonts w:ascii="宋体"/>
              </w:rPr>
            </w:pPr>
          </w:p>
        </w:tc>
      </w:tr>
      <w:tr w:rsidR="0040300B" w14:paraId="7B66E284" w14:textId="77777777">
        <w:trPr>
          <w:jc w:val="center"/>
        </w:trPr>
        <w:tc>
          <w:tcPr>
            <w:tcW w:w="0" w:type="auto"/>
            <w:gridSpan w:val="3"/>
            <w:shd w:val="clear" w:color="auto" w:fill="CCEEFF"/>
            <w:tcMar>
              <w:top w:w="40" w:type="dxa"/>
              <w:left w:w="740" w:type="dxa"/>
              <w:bottom w:w="40" w:type="dxa"/>
              <w:right w:w="20" w:type="dxa"/>
            </w:tcMar>
            <w:vAlign w:val="bottom"/>
          </w:tcPr>
          <w:p w14:paraId="7B66E27E" w14:textId="77777777" w:rsidR="0040300B" w:rsidRDefault="00BB2D44">
            <w:pPr>
              <w:textAlignment w:val="bottom"/>
            </w:pPr>
            <w:r>
              <w:rPr>
                <w:rFonts w:ascii="Times New Roman" w:eastAsia="宋体" w:hAnsi="Times New Roman"/>
                <w:color w:val="000000"/>
                <w:sz w:val="19"/>
                <w:szCs w:val="19"/>
              </w:rPr>
              <w:t xml:space="preserve">Share-based </w:t>
            </w:r>
            <w:r>
              <w:rPr>
                <w:rFonts w:ascii="Times New Roman" w:eastAsia="宋体" w:hAnsi="Times New Roman"/>
                <w:color w:val="000000"/>
                <w:sz w:val="19"/>
                <w:szCs w:val="19"/>
              </w:rPr>
              <w:t>compensation expense</w:t>
            </w:r>
          </w:p>
        </w:tc>
        <w:tc>
          <w:tcPr>
            <w:tcW w:w="0" w:type="auto"/>
            <w:gridSpan w:val="2"/>
            <w:shd w:val="clear" w:color="auto" w:fill="CCEEFF"/>
            <w:tcMar>
              <w:top w:w="40" w:type="dxa"/>
              <w:left w:w="20" w:type="dxa"/>
              <w:bottom w:w="40" w:type="dxa"/>
              <w:right w:w="0" w:type="dxa"/>
            </w:tcMar>
            <w:vAlign w:val="bottom"/>
          </w:tcPr>
          <w:p w14:paraId="7B66E27F" w14:textId="77777777" w:rsidR="0040300B" w:rsidRDefault="00BB2D44">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7B66E28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8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82" w14:textId="77777777" w:rsidR="0040300B" w:rsidRDefault="00BB2D44">
            <w:pPr>
              <w:jc w:val="right"/>
              <w:textAlignment w:val="bottom"/>
            </w:pPr>
            <w:r>
              <w:rPr>
                <w:rFonts w:ascii="Times New Roman" w:eastAsia="宋体" w:hAnsi="Times New Roman"/>
                <w:color w:val="000000"/>
                <w:sz w:val="19"/>
                <w:szCs w:val="19"/>
              </w:rPr>
              <w:t>1,170 </w:t>
            </w:r>
          </w:p>
        </w:tc>
        <w:tc>
          <w:tcPr>
            <w:tcW w:w="0" w:type="auto"/>
            <w:shd w:val="clear" w:color="auto" w:fill="CCEEFF"/>
            <w:tcMar>
              <w:top w:w="40" w:type="dxa"/>
              <w:left w:w="0" w:type="dxa"/>
              <w:bottom w:w="40" w:type="dxa"/>
              <w:right w:w="20" w:type="dxa"/>
            </w:tcMar>
            <w:vAlign w:val="bottom"/>
          </w:tcPr>
          <w:p w14:paraId="7B66E283" w14:textId="77777777" w:rsidR="0040300B" w:rsidRDefault="0040300B">
            <w:pPr>
              <w:jc w:val="right"/>
              <w:rPr>
                <w:rFonts w:ascii="宋体"/>
              </w:rPr>
            </w:pPr>
          </w:p>
        </w:tc>
      </w:tr>
      <w:tr w:rsidR="0040300B" w14:paraId="7B66E28B" w14:textId="77777777">
        <w:trPr>
          <w:jc w:val="center"/>
        </w:trPr>
        <w:tc>
          <w:tcPr>
            <w:tcW w:w="0" w:type="auto"/>
            <w:gridSpan w:val="3"/>
            <w:shd w:val="clear" w:color="auto" w:fill="FFFFFF"/>
            <w:tcMar>
              <w:top w:w="40" w:type="dxa"/>
              <w:left w:w="740" w:type="dxa"/>
              <w:bottom w:w="40" w:type="dxa"/>
              <w:right w:w="20" w:type="dxa"/>
            </w:tcMar>
            <w:vAlign w:val="bottom"/>
          </w:tcPr>
          <w:p w14:paraId="7B66E285" w14:textId="77777777" w:rsidR="0040300B" w:rsidRDefault="00BB2D44">
            <w:pPr>
              <w:textAlignment w:val="bottom"/>
            </w:pPr>
            <w:r>
              <w:rPr>
                <w:rFonts w:ascii="Times New Roman" w:eastAsia="宋体" w:hAnsi="Times New Roman"/>
                <w:color w:val="000000"/>
                <w:sz w:val="19"/>
                <w:szCs w:val="19"/>
              </w:rPr>
              <w:t>Provision (benefit) for receivables</w:t>
            </w:r>
          </w:p>
        </w:tc>
        <w:tc>
          <w:tcPr>
            <w:tcW w:w="0" w:type="auto"/>
            <w:gridSpan w:val="2"/>
            <w:shd w:val="clear" w:color="auto" w:fill="FFFFFF"/>
            <w:tcMar>
              <w:top w:w="40" w:type="dxa"/>
              <w:left w:w="20" w:type="dxa"/>
              <w:bottom w:w="40" w:type="dxa"/>
              <w:right w:w="0" w:type="dxa"/>
            </w:tcMar>
            <w:vAlign w:val="bottom"/>
          </w:tcPr>
          <w:p w14:paraId="7B66E286"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7B66E28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8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89" w14:textId="77777777" w:rsidR="0040300B" w:rsidRDefault="00BB2D44">
            <w:pPr>
              <w:jc w:val="right"/>
              <w:textAlignment w:val="bottom"/>
            </w:pPr>
            <w:r>
              <w:rPr>
                <w:rFonts w:ascii="Times New Roman" w:eastAsia="宋体" w:hAnsi="Times New Roman"/>
                <w:color w:val="000000"/>
                <w:sz w:val="19"/>
                <w:szCs w:val="19"/>
              </w:rPr>
              <w:t>60 </w:t>
            </w:r>
          </w:p>
        </w:tc>
        <w:tc>
          <w:tcPr>
            <w:tcW w:w="0" w:type="auto"/>
            <w:shd w:val="clear" w:color="auto" w:fill="FFFFFF"/>
            <w:tcMar>
              <w:top w:w="40" w:type="dxa"/>
              <w:left w:w="0" w:type="dxa"/>
              <w:bottom w:w="40" w:type="dxa"/>
              <w:right w:w="20" w:type="dxa"/>
            </w:tcMar>
            <w:vAlign w:val="bottom"/>
          </w:tcPr>
          <w:p w14:paraId="7B66E28A" w14:textId="77777777" w:rsidR="0040300B" w:rsidRDefault="0040300B">
            <w:pPr>
              <w:jc w:val="right"/>
              <w:rPr>
                <w:rFonts w:ascii="宋体"/>
              </w:rPr>
            </w:pPr>
          </w:p>
        </w:tc>
      </w:tr>
      <w:tr w:rsidR="0040300B" w14:paraId="7B66E292" w14:textId="77777777">
        <w:trPr>
          <w:jc w:val="center"/>
        </w:trPr>
        <w:tc>
          <w:tcPr>
            <w:tcW w:w="0" w:type="auto"/>
            <w:gridSpan w:val="3"/>
            <w:shd w:val="clear" w:color="auto" w:fill="CCEEFF"/>
            <w:tcMar>
              <w:top w:w="40" w:type="dxa"/>
              <w:left w:w="740" w:type="dxa"/>
              <w:bottom w:w="40" w:type="dxa"/>
              <w:right w:w="20" w:type="dxa"/>
            </w:tcMar>
            <w:vAlign w:val="bottom"/>
          </w:tcPr>
          <w:p w14:paraId="7B66E28C" w14:textId="77777777" w:rsidR="0040300B" w:rsidRDefault="00BB2D44">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7B66E28D" w14:textId="77777777" w:rsidR="0040300B" w:rsidRDefault="00BB2D44">
            <w:pPr>
              <w:jc w:val="right"/>
              <w:textAlignment w:val="bottom"/>
            </w:pPr>
            <w:r>
              <w:rPr>
                <w:rFonts w:ascii="Times New Roman" w:eastAsia="宋体" w:hAnsi="Times New Roman"/>
                <w:color w:val="000000"/>
                <w:sz w:val="19"/>
                <w:szCs w:val="19"/>
              </w:rPr>
              <w:t>(89)</w:t>
            </w:r>
          </w:p>
        </w:tc>
        <w:tc>
          <w:tcPr>
            <w:tcW w:w="0" w:type="auto"/>
            <w:shd w:val="clear" w:color="auto" w:fill="CCEEFF"/>
            <w:tcMar>
              <w:top w:w="40" w:type="dxa"/>
              <w:left w:w="0" w:type="dxa"/>
              <w:bottom w:w="40" w:type="dxa"/>
              <w:right w:w="20" w:type="dxa"/>
            </w:tcMar>
            <w:vAlign w:val="bottom"/>
          </w:tcPr>
          <w:p w14:paraId="7B66E28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8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90" w14:textId="77777777" w:rsidR="0040300B" w:rsidRDefault="00BB2D44">
            <w:pPr>
              <w:jc w:val="right"/>
              <w:textAlignment w:val="bottom"/>
            </w:pPr>
            <w:r>
              <w:rPr>
                <w:rFonts w:ascii="Times New Roman" w:eastAsia="宋体" w:hAnsi="Times New Roman"/>
                <w:color w:val="000000"/>
                <w:sz w:val="19"/>
                <w:szCs w:val="19"/>
              </w:rPr>
              <w:t>103 </w:t>
            </w:r>
          </w:p>
        </w:tc>
        <w:tc>
          <w:tcPr>
            <w:tcW w:w="0" w:type="auto"/>
            <w:shd w:val="clear" w:color="auto" w:fill="CCEEFF"/>
            <w:tcMar>
              <w:top w:w="40" w:type="dxa"/>
              <w:left w:w="0" w:type="dxa"/>
              <w:bottom w:w="40" w:type="dxa"/>
              <w:right w:w="20" w:type="dxa"/>
            </w:tcMar>
            <w:vAlign w:val="bottom"/>
          </w:tcPr>
          <w:p w14:paraId="7B66E291" w14:textId="77777777" w:rsidR="0040300B" w:rsidRDefault="0040300B">
            <w:pPr>
              <w:jc w:val="right"/>
              <w:rPr>
                <w:rFonts w:ascii="宋体"/>
              </w:rPr>
            </w:pPr>
          </w:p>
        </w:tc>
      </w:tr>
      <w:tr w:rsidR="0040300B" w14:paraId="7B66E299" w14:textId="77777777">
        <w:trPr>
          <w:jc w:val="center"/>
        </w:trPr>
        <w:tc>
          <w:tcPr>
            <w:tcW w:w="0" w:type="auto"/>
            <w:gridSpan w:val="3"/>
            <w:shd w:val="clear" w:color="auto" w:fill="FFFFFF"/>
            <w:tcMar>
              <w:top w:w="40" w:type="dxa"/>
              <w:left w:w="740" w:type="dxa"/>
              <w:bottom w:w="40" w:type="dxa"/>
              <w:right w:w="20" w:type="dxa"/>
            </w:tcMar>
            <w:vAlign w:val="bottom"/>
          </w:tcPr>
          <w:p w14:paraId="7B66E293" w14:textId="77777777" w:rsidR="0040300B" w:rsidRDefault="00BB2D44">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7B66E294" w14:textId="77777777" w:rsidR="0040300B" w:rsidRDefault="00BB2D44">
            <w:pPr>
              <w:jc w:val="right"/>
              <w:textAlignment w:val="bottom"/>
            </w:pPr>
            <w:r>
              <w:rPr>
                <w:rFonts w:ascii="Times New Roman" w:eastAsia="宋体" w:hAnsi="Times New Roman"/>
                <w:color w:val="000000"/>
                <w:sz w:val="19"/>
                <w:szCs w:val="19"/>
              </w:rPr>
              <w:t>(201)</w:t>
            </w:r>
          </w:p>
        </w:tc>
        <w:tc>
          <w:tcPr>
            <w:tcW w:w="0" w:type="auto"/>
            <w:shd w:val="clear" w:color="auto" w:fill="FFFFFF"/>
            <w:tcMar>
              <w:top w:w="40" w:type="dxa"/>
              <w:left w:w="0" w:type="dxa"/>
              <w:bottom w:w="40" w:type="dxa"/>
              <w:right w:w="20" w:type="dxa"/>
            </w:tcMar>
            <w:vAlign w:val="bottom"/>
          </w:tcPr>
          <w:p w14:paraId="7B66E29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9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97" w14:textId="77777777" w:rsidR="0040300B" w:rsidRDefault="00BB2D44">
            <w:pPr>
              <w:jc w:val="right"/>
              <w:textAlignment w:val="bottom"/>
            </w:pPr>
            <w:r>
              <w:rPr>
                <w:rFonts w:ascii="Times New Roman" w:eastAsia="宋体" w:hAnsi="Times New Roman"/>
                <w:color w:val="000000"/>
                <w:sz w:val="19"/>
                <w:szCs w:val="19"/>
              </w:rPr>
              <w:t>(185)</w:t>
            </w:r>
          </w:p>
        </w:tc>
        <w:tc>
          <w:tcPr>
            <w:tcW w:w="0" w:type="auto"/>
            <w:shd w:val="clear" w:color="auto" w:fill="FFFFFF"/>
            <w:tcMar>
              <w:top w:w="40" w:type="dxa"/>
              <w:left w:w="0" w:type="dxa"/>
              <w:bottom w:w="40" w:type="dxa"/>
              <w:right w:w="20" w:type="dxa"/>
            </w:tcMar>
            <w:vAlign w:val="bottom"/>
          </w:tcPr>
          <w:p w14:paraId="7B66E298" w14:textId="77777777" w:rsidR="0040300B" w:rsidRDefault="0040300B">
            <w:pPr>
              <w:jc w:val="right"/>
              <w:rPr>
                <w:rFonts w:ascii="宋体"/>
              </w:rPr>
            </w:pPr>
          </w:p>
        </w:tc>
      </w:tr>
      <w:tr w:rsidR="0040300B" w14:paraId="7B66E29E" w14:textId="77777777">
        <w:trPr>
          <w:jc w:val="center"/>
        </w:trPr>
        <w:tc>
          <w:tcPr>
            <w:tcW w:w="0" w:type="auto"/>
            <w:gridSpan w:val="3"/>
            <w:shd w:val="clear" w:color="auto" w:fill="CCEEFF"/>
            <w:tcMar>
              <w:top w:w="40" w:type="dxa"/>
              <w:left w:w="740" w:type="dxa"/>
              <w:bottom w:w="40" w:type="dxa"/>
              <w:right w:w="20" w:type="dxa"/>
            </w:tcMar>
            <w:vAlign w:val="bottom"/>
          </w:tcPr>
          <w:p w14:paraId="7B66E29A" w14:textId="77777777" w:rsidR="0040300B" w:rsidRDefault="00BB2D44">
            <w:pPr>
              <w:textAlignment w:val="bottom"/>
            </w:pPr>
            <w:r>
              <w:rPr>
                <w:rFonts w:ascii="Times New Roman" w:eastAsia="宋体" w:hAnsi="Times New Roman"/>
                <w:color w:val="000000"/>
                <w:sz w:val="19"/>
                <w:szCs w:val="19"/>
              </w:rPr>
              <w:t xml:space="preserve">Change in operating assets and liabilities, net of </w:t>
            </w:r>
            <w:r>
              <w:rPr>
                <w:rFonts w:ascii="Times New Roman" w:eastAsia="宋体" w:hAnsi="Times New Roman"/>
                <w:color w:val="000000"/>
                <w:sz w:val="19"/>
                <w:szCs w:val="19"/>
              </w:rPr>
              <w:t>effects of acquisitions and divestitures:</w:t>
            </w:r>
          </w:p>
        </w:tc>
        <w:tc>
          <w:tcPr>
            <w:tcW w:w="0" w:type="auto"/>
            <w:gridSpan w:val="3"/>
            <w:shd w:val="clear" w:color="auto" w:fill="CCEEFF"/>
            <w:tcMar>
              <w:top w:w="0" w:type="dxa"/>
              <w:left w:w="20" w:type="dxa"/>
              <w:bottom w:w="0" w:type="dxa"/>
              <w:right w:w="20" w:type="dxa"/>
            </w:tcMar>
          </w:tcPr>
          <w:p w14:paraId="7B66E29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29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29D" w14:textId="77777777" w:rsidR="0040300B" w:rsidRDefault="0040300B">
            <w:pPr>
              <w:rPr>
                <w:rFonts w:ascii="宋体"/>
              </w:rPr>
            </w:pPr>
          </w:p>
        </w:tc>
      </w:tr>
      <w:tr w:rsidR="0040300B" w14:paraId="7B66E2A5" w14:textId="77777777">
        <w:trPr>
          <w:jc w:val="center"/>
        </w:trPr>
        <w:tc>
          <w:tcPr>
            <w:tcW w:w="0" w:type="auto"/>
            <w:gridSpan w:val="3"/>
            <w:shd w:val="clear" w:color="auto" w:fill="FFFFFF"/>
            <w:tcMar>
              <w:top w:w="40" w:type="dxa"/>
              <w:left w:w="1235" w:type="dxa"/>
              <w:bottom w:w="40" w:type="dxa"/>
              <w:right w:w="20" w:type="dxa"/>
            </w:tcMar>
            <w:vAlign w:val="bottom"/>
          </w:tcPr>
          <w:p w14:paraId="7B66E29F" w14:textId="77777777" w:rsidR="0040300B" w:rsidRDefault="00BB2D44">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7B66E2A0" w14:textId="77777777" w:rsidR="0040300B" w:rsidRDefault="00BB2D44">
            <w:pPr>
              <w:jc w:val="right"/>
              <w:textAlignment w:val="bottom"/>
            </w:pPr>
            <w:r>
              <w:rPr>
                <w:rFonts w:ascii="Times New Roman" w:eastAsia="宋体" w:hAnsi="Times New Roman"/>
                <w:color w:val="000000"/>
                <w:sz w:val="19"/>
                <w:szCs w:val="19"/>
              </w:rPr>
              <w:t>1,250 </w:t>
            </w:r>
          </w:p>
        </w:tc>
        <w:tc>
          <w:tcPr>
            <w:tcW w:w="0" w:type="auto"/>
            <w:shd w:val="clear" w:color="auto" w:fill="FFFFFF"/>
            <w:tcMar>
              <w:top w:w="40" w:type="dxa"/>
              <w:left w:w="0" w:type="dxa"/>
              <w:bottom w:w="40" w:type="dxa"/>
              <w:right w:w="20" w:type="dxa"/>
            </w:tcMar>
            <w:vAlign w:val="bottom"/>
          </w:tcPr>
          <w:p w14:paraId="7B66E2A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A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A3" w14:textId="77777777" w:rsidR="0040300B" w:rsidRDefault="00BB2D44">
            <w:pPr>
              <w:jc w:val="right"/>
              <w:textAlignment w:val="bottom"/>
            </w:pPr>
            <w:r>
              <w:rPr>
                <w:rFonts w:ascii="Times New Roman" w:eastAsia="宋体" w:hAnsi="Times New Roman"/>
                <w:color w:val="000000"/>
                <w:sz w:val="19"/>
                <w:szCs w:val="19"/>
              </w:rPr>
              <w:t>774 </w:t>
            </w:r>
          </w:p>
        </w:tc>
        <w:tc>
          <w:tcPr>
            <w:tcW w:w="0" w:type="auto"/>
            <w:shd w:val="clear" w:color="auto" w:fill="FFFFFF"/>
            <w:tcMar>
              <w:top w:w="40" w:type="dxa"/>
              <w:left w:w="0" w:type="dxa"/>
              <w:bottom w:w="40" w:type="dxa"/>
              <w:right w:w="20" w:type="dxa"/>
            </w:tcMar>
            <w:vAlign w:val="bottom"/>
          </w:tcPr>
          <w:p w14:paraId="7B66E2A4" w14:textId="77777777" w:rsidR="0040300B" w:rsidRDefault="0040300B">
            <w:pPr>
              <w:jc w:val="right"/>
              <w:rPr>
                <w:rFonts w:ascii="宋体"/>
              </w:rPr>
            </w:pPr>
          </w:p>
        </w:tc>
      </w:tr>
      <w:tr w:rsidR="0040300B" w14:paraId="7B66E2AC" w14:textId="77777777">
        <w:trPr>
          <w:jc w:val="center"/>
        </w:trPr>
        <w:tc>
          <w:tcPr>
            <w:tcW w:w="0" w:type="auto"/>
            <w:gridSpan w:val="3"/>
            <w:shd w:val="clear" w:color="auto" w:fill="CCEEFF"/>
            <w:tcMar>
              <w:top w:w="40" w:type="dxa"/>
              <w:left w:w="1235" w:type="dxa"/>
              <w:bottom w:w="40" w:type="dxa"/>
              <w:right w:w="20" w:type="dxa"/>
            </w:tcMar>
            <w:vAlign w:val="bottom"/>
          </w:tcPr>
          <w:p w14:paraId="7B66E2A6" w14:textId="77777777" w:rsidR="0040300B" w:rsidRDefault="00BB2D44">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7B66E2A7" w14:textId="77777777" w:rsidR="0040300B" w:rsidRDefault="00BB2D44">
            <w:pPr>
              <w:jc w:val="right"/>
              <w:textAlignment w:val="bottom"/>
            </w:pPr>
            <w:r>
              <w:rPr>
                <w:rFonts w:ascii="Times New Roman" w:eastAsia="宋体" w:hAnsi="Times New Roman"/>
                <w:color w:val="000000"/>
                <w:sz w:val="19"/>
                <w:szCs w:val="19"/>
              </w:rPr>
              <w:t>(260)</w:t>
            </w:r>
          </w:p>
        </w:tc>
        <w:tc>
          <w:tcPr>
            <w:tcW w:w="0" w:type="auto"/>
            <w:shd w:val="clear" w:color="auto" w:fill="CCEEFF"/>
            <w:tcMar>
              <w:top w:w="40" w:type="dxa"/>
              <w:left w:w="0" w:type="dxa"/>
              <w:bottom w:w="40" w:type="dxa"/>
              <w:right w:w="20" w:type="dxa"/>
            </w:tcMar>
            <w:vAlign w:val="bottom"/>
          </w:tcPr>
          <w:p w14:paraId="7B66E2A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A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AA" w14:textId="77777777" w:rsidR="0040300B" w:rsidRDefault="00BB2D44">
            <w:pPr>
              <w:jc w:val="right"/>
              <w:textAlignment w:val="bottom"/>
            </w:pPr>
            <w:r>
              <w:rPr>
                <w:rFonts w:ascii="Times New Roman" w:eastAsia="宋体" w:hAnsi="Times New Roman"/>
                <w:color w:val="000000"/>
                <w:sz w:val="19"/>
                <w:szCs w:val="19"/>
              </w:rPr>
              <w:t>143 </w:t>
            </w:r>
          </w:p>
        </w:tc>
        <w:tc>
          <w:tcPr>
            <w:tcW w:w="0" w:type="auto"/>
            <w:shd w:val="clear" w:color="auto" w:fill="CCEEFF"/>
            <w:tcMar>
              <w:top w:w="40" w:type="dxa"/>
              <w:left w:w="0" w:type="dxa"/>
              <w:bottom w:w="40" w:type="dxa"/>
              <w:right w:w="20" w:type="dxa"/>
            </w:tcMar>
            <w:vAlign w:val="bottom"/>
          </w:tcPr>
          <w:p w14:paraId="7B66E2AB" w14:textId="77777777" w:rsidR="0040300B" w:rsidRDefault="0040300B">
            <w:pPr>
              <w:jc w:val="right"/>
              <w:rPr>
                <w:rFonts w:ascii="宋体"/>
              </w:rPr>
            </w:pPr>
          </w:p>
        </w:tc>
      </w:tr>
      <w:tr w:rsidR="0040300B" w14:paraId="7B66E2B3" w14:textId="77777777">
        <w:trPr>
          <w:jc w:val="center"/>
        </w:trPr>
        <w:tc>
          <w:tcPr>
            <w:tcW w:w="0" w:type="auto"/>
            <w:gridSpan w:val="3"/>
            <w:shd w:val="clear" w:color="auto" w:fill="FFFFFF"/>
            <w:tcMar>
              <w:top w:w="40" w:type="dxa"/>
              <w:left w:w="1235" w:type="dxa"/>
              <w:bottom w:w="40" w:type="dxa"/>
              <w:right w:w="20" w:type="dxa"/>
            </w:tcMar>
            <w:vAlign w:val="bottom"/>
          </w:tcPr>
          <w:p w14:paraId="7B66E2AD" w14:textId="77777777" w:rsidR="0040300B" w:rsidRDefault="00BB2D44">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7B66E2AE" w14:textId="77777777" w:rsidR="0040300B" w:rsidRDefault="00BB2D44">
            <w:pPr>
              <w:jc w:val="right"/>
              <w:textAlignment w:val="bottom"/>
            </w:pPr>
            <w:r>
              <w:rPr>
                <w:rFonts w:ascii="Times New Roman" w:eastAsia="宋体" w:hAnsi="Times New Roman"/>
                <w:color w:val="000000"/>
                <w:sz w:val="19"/>
                <w:szCs w:val="19"/>
              </w:rPr>
              <w:t>1,160 </w:t>
            </w:r>
          </w:p>
        </w:tc>
        <w:tc>
          <w:tcPr>
            <w:tcW w:w="0" w:type="auto"/>
            <w:shd w:val="clear" w:color="auto" w:fill="FFFFFF"/>
            <w:tcMar>
              <w:top w:w="40" w:type="dxa"/>
              <w:left w:w="0" w:type="dxa"/>
              <w:bottom w:w="40" w:type="dxa"/>
              <w:right w:w="20" w:type="dxa"/>
            </w:tcMar>
            <w:vAlign w:val="bottom"/>
          </w:tcPr>
          <w:p w14:paraId="7B66E2A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B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B1" w14:textId="77777777" w:rsidR="0040300B" w:rsidRDefault="00BB2D44">
            <w:pPr>
              <w:jc w:val="right"/>
              <w:textAlignment w:val="bottom"/>
            </w:pPr>
            <w:r>
              <w:rPr>
                <w:rFonts w:ascii="Times New Roman" w:eastAsia="宋体" w:hAnsi="Times New Roman"/>
                <w:color w:val="000000"/>
                <w:sz w:val="19"/>
                <w:szCs w:val="19"/>
              </w:rPr>
              <w:t>380 </w:t>
            </w:r>
          </w:p>
        </w:tc>
        <w:tc>
          <w:tcPr>
            <w:tcW w:w="0" w:type="auto"/>
            <w:shd w:val="clear" w:color="auto" w:fill="FFFFFF"/>
            <w:tcMar>
              <w:top w:w="40" w:type="dxa"/>
              <w:left w:w="0" w:type="dxa"/>
              <w:bottom w:w="40" w:type="dxa"/>
              <w:right w:w="20" w:type="dxa"/>
            </w:tcMar>
            <w:vAlign w:val="bottom"/>
          </w:tcPr>
          <w:p w14:paraId="7B66E2B2" w14:textId="77777777" w:rsidR="0040300B" w:rsidRDefault="0040300B">
            <w:pPr>
              <w:jc w:val="right"/>
              <w:rPr>
                <w:rFonts w:ascii="宋体"/>
              </w:rPr>
            </w:pPr>
          </w:p>
        </w:tc>
      </w:tr>
      <w:tr w:rsidR="0040300B" w14:paraId="7B66E2BA" w14:textId="77777777">
        <w:trPr>
          <w:jc w:val="center"/>
        </w:trPr>
        <w:tc>
          <w:tcPr>
            <w:tcW w:w="0" w:type="auto"/>
            <w:gridSpan w:val="3"/>
            <w:shd w:val="clear" w:color="auto" w:fill="CCEEFF"/>
            <w:tcMar>
              <w:top w:w="40" w:type="dxa"/>
              <w:left w:w="1235" w:type="dxa"/>
              <w:bottom w:w="40" w:type="dxa"/>
              <w:right w:w="20" w:type="dxa"/>
            </w:tcMar>
            <w:vAlign w:val="bottom"/>
          </w:tcPr>
          <w:p w14:paraId="7B66E2B4" w14:textId="77777777" w:rsidR="0040300B" w:rsidRDefault="00BB2D44">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7B66E2B5" w14:textId="77777777" w:rsidR="0040300B" w:rsidRDefault="00BB2D44">
            <w:pPr>
              <w:jc w:val="right"/>
              <w:textAlignment w:val="bottom"/>
            </w:pPr>
            <w:r>
              <w:rPr>
                <w:rFonts w:ascii="Times New Roman" w:eastAsia="宋体" w:hAnsi="Times New Roman"/>
                <w:color w:val="000000"/>
                <w:sz w:val="19"/>
                <w:szCs w:val="19"/>
              </w:rPr>
              <w:t>(233)</w:t>
            </w:r>
          </w:p>
        </w:tc>
        <w:tc>
          <w:tcPr>
            <w:tcW w:w="0" w:type="auto"/>
            <w:shd w:val="clear" w:color="auto" w:fill="CCEEFF"/>
            <w:tcMar>
              <w:top w:w="40" w:type="dxa"/>
              <w:left w:w="0" w:type="dxa"/>
              <w:bottom w:w="40" w:type="dxa"/>
              <w:right w:w="20" w:type="dxa"/>
            </w:tcMar>
            <w:vAlign w:val="bottom"/>
          </w:tcPr>
          <w:p w14:paraId="7B66E2B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B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B8" w14:textId="77777777" w:rsidR="0040300B" w:rsidRDefault="00BB2D44">
            <w:pPr>
              <w:jc w:val="right"/>
              <w:textAlignment w:val="bottom"/>
            </w:pPr>
            <w:r>
              <w:rPr>
                <w:rFonts w:ascii="Times New Roman" w:eastAsia="宋体" w:hAnsi="Times New Roman"/>
                <w:color w:val="000000"/>
                <w:sz w:val="19"/>
                <w:szCs w:val="19"/>
              </w:rPr>
              <w:t>145 </w:t>
            </w:r>
          </w:p>
        </w:tc>
        <w:tc>
          <w:tcPr>
            <w:tcW w:w="0" w:type="auto"/>
            <w:shd w:val="clear" w:color="auto" w:fill="CCEEFF"/>
            <w:tcMar>
              <w:top w:w="40" w:type="dxa"/>
              <w:left w:w="0" w:type="dxa"/>
              <w:bottom w:w="40" w:type="dxa"/>
              <w:right w:w="20" w:type="dxa"/>
            </w:tcMar>
            <w:vAlign w:val="bottom"/>
          </w:tcPr>
          <w:p w14:paraId="7B66E2B9" w14:textId="77777777" w:rsidR="0040300B" w:rsidRDefault="0040300B">
            <w:pPr>
              <w:jc w:val="right"/>
              <w:rPr>
                <w:rFonts w:ascii="宋体"/>
              </w:rPr>
            </w:pPr>
          </w:p>
        </w:tc>
      </w:tr>
      <w:tr w:rsidR="0040300B" w14:paraId="7B66E2C1" w14:textId="77777777">
        <w:trPr>
          <w:jc w:val="center"/>
        </w:trPr>
        <w:tc>
          <w:tcPr>
            <w:tcW w:w="0" w:type="auto"/>
            <w:gridSpan w:val="3"/>
            <w:shd w:val="clear" w:color="auto" w:fill="FFFFFF"/>
            <w:tcMar>
              <w:top w:w="40" w:type="dxa"/>
              <w:left w:w="1235" w:type="dxa"/>
              <w:bottom w:w="40" w:type="dxa"/>
              <w:right w:w="20" w:type="dxa"/>
            </w:tcMar>
            <w:vAlign w:val="bottom"/>
          </w:tcPr>
          <w:p w14:paraId="7B66E2BB" w14:textId="77777777" w:rsidR="0040300B" w:rsidRDefault="00BB2D44">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7B66E2BC" w14:textId="77777777" w:rsidR="0040300B" w:rsidRDefault="00BB2D44">
            <w:pPr>
              <w:jc w:val="right"/>
              <w:textAlignment w:val="bottom"/>
            </w:pPr>
            <w:r>
              <w:rPr>
                <w:rFonts w:ascii="Times New Roman" w:eastAsia="宋体" w:hAnsi="Times New Roman"/>
                <w:color w:val="000000"/>
                <w:sz w:val="19"/>
                <w:szCs w:val="19"/>
              </w:rPr>
              <w:t>24 </w:t>
            </w:r>
          </w:p>
        </w:tc>
        <w:tc>
          <w:tcPr>
            <w:tcW w:w="0" w:type="auto"/>
            <w:shd w:val="clear" w:color="auto" w:fill="FFFFFF"/>
            <w:tcMar>
              <w:top w:w="40" w:type="dxa"/>
              <w:left w:w="0" w:type="dxa"/>
              <w:bottom w:w="40" w:type="dxa"/>
              <w:right w:w="20" w:type="dxa"/>
            </w:tcMar>
            <w:vAlign w:val="bottom"/>
          </w:tcPr>
          <w:p w14:paraId="7B66E2B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B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BF" w14:textId="77777777" w:rsidR="0040300B" w:rsidRDefault="00BB2D44">
            <w:pPr>
              <w:jc w:val="right"/>
              <w:textAlignment w:val="bottom"/>
            </w:pPr>
            <w:r>
              <w:rPr>
                <w:rFonts w:ascii="Times New Roman" w:eastAsia="宋体" w:hAnsi="Times New Roman"/>
                <w:color w:val="000000"/>
                <w:sz w:val="19"/>
                <w:szCs w:val="19"/>
              </w:rPr>
              <w:t>324 </w:t>
            </w:r>
          </w:p>
        </w:tc>
        <w:tc>
          <w:tcPr>
            <w:tcW w:w="0" w:type="auto"/>
            <w:shd w:val="clear" w:color="auto" w:fill="FFFFFF"/>
            <w:tcMar>
              <w:top w:w="40" w:type="dxa"/>
              <w:left w:w="0" w:type="dxa"/>
              <w:bottom w:w="40" w:type="dxa"/>
              <w:right w:w="20" w:type="dxa"/>
            </w:tcMar>
            <w:vAlign w:val="bottom"/>
          </w:tcPr>
          <w:p w14:paraId="7B66E2C0" w14:textId="77777777" w:rsidR="0040300B" w:rsidRDefault="0040300B">
            <w:pPr>
              <w:jc w:val="right"/>
              <w:rPr>
                <w:rFonts w:ascii="宋体"/>
              </w:rPr>
            </w:pPr>
          </w:p>
        </w:tc>
      </w:tr>
      <w:tr w:rsidR="0040300B" w14:paraId="7B66E2C8" w14:textId="77777777">
        <w:trPr>
          <w:jc w:val="center"/>
        </w:trPr>
        <w:tc>
          <w:tcPr>
            <w:tcW w:w="0" w:type="auto"/>
            <w:gridSpan w:val="3"/>
            <w:shd w:val="clear" w:color="auto" w:fill="CCEEFF"/>
            <w:tcMar>
              <w:top w:w="40" w:type="dxa"/>
              <w:left w:w="1235" w:type="dxa"/>
              <w:bottom w:w="40" w:type="dxa"/>
              <w:right w:w="20" w:type="dxa"/>
            </w:tcMar>
            <w:vAlign w:val="bottom"/>
          </w:tcPr>
          <w:p w14:paraId="7B66E2C2" w14:textId="77777777" w:rsidR="0040300B" w:rsidRDefault="00BB2D44">
            <w:pPr>
              <w:textAlignment w:val="bottom"/>
            </w:pPr>
            <w:r>
              <w:rPr>
                <w:rFonts w:ascii="Times New Roman" w:eastAsia="宋体" w:hAnsi="Times New Roman"/>
                <w:color w:val="000000"/>
                <w:sz w:val="19"/>
                <w:szCs w:val="19"/>
              </w:rPr>
              <w:t>Income taxes, net</w:t>
            </w:r>
          </w:p>
        </w:tc>
        <w:tc>
          <w:tcPr>
            <w:tcW w:w="0" w:type="auto"/>
            <w:gridSpan w:val="2"/>
            <w:shd w:val="clear" w:color="auto" w:fill="CCEEFF"/>
            <w:tcMar>
              <w:top w:w="40" w:type="dxa"/>
              <w:left w:w="20" w:type="dxa"/>
              <w:bottom w:w="40" w:type="dxa"/>
              <w:right w:w="0" w:type="dxa"/>
            </w:tcMar>
            <w:vAlign w:val="bottom"/>
          </w:tcPr>
          <w:p w14:paraId="7B66E2C3" w14:textId="77777777" w:rsidR="0040300B" w:rsidRDefault="00BB2D44">
            <w:pPr>
              <w:jc w:val="right"/>
              <w:textAlignment w:val="bottom"/>
            </w:pPr>
            <w:r>
              <w:rPr>
                <w:rFonts w:ascii="Times New Roman" w:eastAsia="宋体" w:hAnsi="Times New Roman"/>
                <w:color w:val="000000"/>
                <w:sz w:val="19"/>
                <w:szCs w:val="19"/>
              </w:rPr>
              <w:t>(828)</w:t>
            </w:r>
          </w:p>
        </w:tc>
        <w:tc>
          <w:tcPr>
            <w:tcW w:w="0" w:type="auto"/>
            <w:shd w:val="clear" w:color="auto" w:fill="CCEEFF"/>
            <w:tcMar>
              <w:top w:w="40" w:type="dxa"/>
              <w:left w:w="0" w:type="dxa"/>
              <w:bottom w:w="40" w:type="dxa"/>
              <w:right w:w="20" w:type="dxa"/>
            </w:tcMar>
            <w:vAlign w:val="bottom"/>
          </w:tcPr>
          <w:p w14:paraId="7B66E2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C6" w14:textId="77777777" w:rsidR="0040300B" w:rsidRDefault="00BB2D44">
            <w:pPr>
              <w:jc w:val="right"/>
              <w:textAlignment w:val="bottom"/>
            </w:pPr>
            <w:r>
              <w:rPr>
                <w:rFonts w:ascii="Times New Roman" w:eastAsia="宋体" w:hAnsi="Times New Roman"/>
                <w:color w:val="000000"/>
                <w:sz w:val="19"/>
                <w:szCs w:val="19"/>
              </w:rPr>
              <w:t>(700)</w:t>
            </w:r>
          </w:p>
        </w:tc>
        <w:tc>
          <w:tcPr>
            <w:tcW w:w="0" w:type="auto"/>
            <w:shd w:val="clear" w:color="auto" w:fill="CCEEFF"/>
            <w:tcMar>
              <w:top w:w="40" w:type="dxa"/>
              <w:left w:w="0" w:type="dxa"/>
              <w:bottom w:w="40" w:type="dxa"/>
              <w:right w:w="20" w:type="dxa"/>
            </w:tcMar>
            <w:vAlign w:val="bottom"/>
          </w:tcPr>
          <w:p w14:paraId="7B66E2C7" w14:textId="77777777" w:rsidR="0040300B" w:rsidRDefault="0040300B">
            <w:pPr>
              <w:jc w:val="right"/>
              <w:rPr>
                <w:rFonts w:ascii="宋体"/>
              </w:rPr>
            </w:pPr>
          </w:p>
        </w:tc>
      </w:tr>
      <w:tr w:rsidR="0040300B" w14:paraId="7B66E2CF" w14:textId="77777777">
        <w:trPr>
          <w:jc w:val="center"/>
        </w:trPr>
        <w:tc>
          <w:tcPr>
            <w:tcW w:w="0" w:type="auto"/>
            <w:gridSpan w:val="3"/>
            <w:shd w:val="clear" w:color="auto" w:fill="FFFFFF"/>
            <w:tcMar>
              <w:top w:w="40" w:type="dxa"/>
              <w:left w:w="1235" w:type="dxa"/>
              <w:bottom w:w="40" w:type="dxa"/>
              <w:right w:w="20" w:type="dxa"/>
            </w:tcMar>
            <w:vAlign w:val="bottom"/>
          </w:tcPr>
          <w:p w14:paraId="7B66E2C9" w14:textId="77777777" w:rsidR="0040300B" w:rsidRDefault="00BB2D44">
            <w:pPr>
              <w:textAlignment w:val="bottom"/>
            </w:pPr>
            <w:r>
              <w:rPr>
                <w:rFonts w:ascii="Times New Roman" w:eastAsia="宋体" w:hAnsi="Times New Roman"/>
                <w:color w:val="000000"/>
                <w:sz w:val="19"/>
                <w:szCs w:val="19"/>
              </w:rPr>
              <w:t xml:space="preserve">Accrued </w:t>
            </w:r>
            <w:r>
              <w:rPr>
                <w:rFonts w:ascii="Times New Roman" w:eastAsia="宋体" w:hAnsi="Times New Roman"/>
                <w:color w:val="000000"/>
                <w:sz w:val="19"/>
                <w:szCs w:val="19"/>
              </w:rPr>
              <w:t>compensation</w:t>
            </w:r>
          </w:p>
        </w:tc>
        <w:tc>
          <w:tcPr>
            <w:tcW w:w="0" w:type="auto"/>
            <w:gridSpan w:val="2"/>
            <w:shd w:val="clear" w:color="auto" w:fill="FFFFFF"/>
            <w:tcMar>
              <w:top w:w="40" w:type="dxa"/>
              <w:left w:w="20" w:type="dxa"/>
              <w:bottom w:w="40" w:type="dxa"/>
              <w:right w:w="0" w:type="dxa"/>
            </w:tcMar>
            <w:vAlign w:val="bottom"/>
          </w:tcPr>
          <w:p w14:paraId="7B66E2CA" w14:textId="77777777" w:rsidR="0040300B" w:rsidRDefault="00BB2D44">
            <w:pPr>
              <w:jc w:val="right"/>
              <w:textAlignment w:val="bottom"/>
            </w:pPr>
            <w:r>
              <w:rPr>
                <w:rFonts w:ascii="Times New Roman" w:eastAsia="宋体" w:hAnsi="Times New Roman"/>
                <w:color w:val="000000"/>
                <w:sz w:val="19"/>
                <w:szCs w:val="19"/>
              </w:rPr>
              <w:t>145 </w:t>
            </w:r>
          </w:p>
        </w:tc>
        <w:tc>
          <w:tcPr>
            <w:tcW w:w="0" w:type="auto"/>
            <w:shd w:val="clear" w:color="auto" w:fill="FFFFFF"/>
            <w:tcMar>
              <w:top w:w="40" w:type="dxa"/>
              <w:left w:w="0" w:type="dxa"/>
              <w:bottom w:w="40" w:type="dxa"/>
              <w:right w:w="20" w:type="dxa"/>
            </w:tcMar>
            <w:vAlign w:val="bottom"/>
          </w:tcPr>
          <w:p w14:paraId="7B66E2C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C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CD" w14:textId="77777777" w:rsidR="0040300B" w:rsidRDefault="00BB2D44">
            <w:pPr>
              <w:jc w:val="right"/>
              <w:textAlignment w:val="bottom"/>
            </w:pPr>
            <w:r>
              <w:rPr>
                <w:rFonts w:ascii="Times New Roman" w:eastAsia="宋体" w:hAnsi="Times New Roman"/>
                <w:color w:val="000000"/>
                <w:sz w:val="19"/>
                <w:szCs w:val="19"/>
              </w:rPr>
              <w:t>(220)</w:t>
            </w:r>
          </w:p>
        </w:tc>
        <w:tc>
          <w:tcPr>
            <w:tcW w:w="0" w:type="auto"/>
            <w:shd w:val="clear" w:color="auto" w:fill="FFFFFF"/>
            <w:tcMar>
              <w:top w:w="40" w:type="dxa"/>
              <w:left w:w="0" w:type="dxa"/>
              <w:bottom w:w="40" w:type="dxa"/>
              <w:right w:w="20" w:type="dxa"/>
            </w:tcMar>
            <w:vAlign w:val="bottom"/>
          </w:tcPr>
          <w:p w14:paraId="7B66E2CE" w14:textId="77777777" w:rsidR="0040300B" w:rsidRDefault="0040300B">
            <w:pPr>
              <w:jc w:val="right"/>
              <w:rPr>
                <w:rFonts w:ascii="宋体"/>
              </w:rPr>
            </w:pPr>
          </w:p>
        </w:tc>
      </w:tr>
      <w:tr w:rsidR="0040300B" w14:paraId="7B66E2D6" w14:textId="77777777">
        <w:trPr>
          <w:jc w:val="center"/>
        </w:trPr>
        <w:tc>
          <w:tcPr>
            <w:tcW w:w="0" w:type="auto"/>
            <w:gridSpan w:val="3"/>
            <w:shd w:val="clear" w:color="auto" w:fill="CCEEFF"/>
            <w:tcMar>
              <w:top w:w="40" w:type="dxa"/>
              <w:left w:w="1235" w:type="dxa"/>
              <w:bottom w:w="40" w:type="dxa"/>
              <w:right w:w="20" w:type="dxa"/>
            </w:tcMar>
            <w:vAlign w:val="bottom"/>
          </w:tcPr>
          <w:p w14:paraId="7B66E2D0" w14:textId="77777777" w:rsidR="0040300B" w:rsidRDefault="00BB2D44">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7B66E2D1" w14:textId="77777777" w:rsidR="0040300B" w:rsidRDefault="00BB2D44">
            <w:pPr>
              <w:jc w:val="right"/>
              <w:textAlignment w:val="bottom"/>
            </w:pPr>
            <w:r>
              <w:rPr>
                <w:rFonts w:ascii="Times New Roman" w:eastAsia="宋体" w:hAnsi="Times New Roman"/>
                <w:color w:val="000000"/>
                <w:sz w:val="19"/>
                <w:szCs w:val="19"/>
              </w:rPr>
              <w:t>263 </w:t>
            </w:r>
          </w:p>
        </w:tc>
        <w:tc>
          <w:tcPr>
            <w:tcW w:w="0" w:type="auto"/>
            <w:shd w:val="clear" w:color="auto" w:fill="CCEEFF"/>
            <w:tcMar>
              <w:top w:w="40" w:type="dxa"/>
              <w:left w:w="0" w:type="dxa"/>
              <w:bottom w:w="40" w:type="dxa"/>
              <w:right w:w="20" w:type="dxa"/>
            </w:tcMar>
            <w:vAlign w:val="bottom"/>
          </w:tcPr>
          <w:p w14:paraId="7B66E2D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D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D4" w14:textId="77777777" w:rsidR="0040300B" w:rsidRDefault="00BB2D44">
            <w:pPr>
              <w:jc w:val="right"/>
              <w:textAlignment w:val="bottom"/>
            </w:pPr>
            <w:r>
              <w:rPr>
                <w:rFonts w:ascii="Times New Roman" w:eastAsia="宋体" w:hAnsi="Times New Roman"/>
                <w:color w:val="000000"/>
                <w:sz w:val="19"/>
                <w:szCs w:val="19"/>
              </w:rPr>
              <w:t>333 </w:t>
            </w:r>
          </w:p>
        </w:tc>
        <w:tc>
          <w:tcPr>
            <w:tcW w:w="0" w:type="auto"/>
            <w:shd w:val="clear" w:color="auto" w:fill="CCEEFF"/>
            <w:tcMar>
              <w:top w:w="40" w:type="dxa"/>
              <w:left w:w="0" w:type="dxa"/>
              <w:bottom w:w="40" w:type="dxa"/>
              <w:right w:w="20" w:type="dxa"/>
            </w:tcMar>
            <w:vAlign w:val="bottom"/>
          </w:tcPr>
          <w:p w14:paraId="7B66E2D5" w14:textId="77777777" w:rsidR="0040300B" w:rsidRDefault="0040300B">
            <w:pPr>
              <w:jc w:val="right"/>
              <w:rPr>
                <w:rFonts w:ascii="宋体"/>
              </w:rPr>
            </w:pPr>
          </w:p>
        </w:tc>
      </w:tr>
      <w:tr w:rsidR="0040300B" w14:paraId="7B66E2DD" w14:textId="77777777">
        <w:trPr>
          <w:jc w:val="center"/>
        </w:trPr>
        <w:tc>
          <w:tcPr>
            <w:tcW w:w="0" w:type="auto"/>
            <w:gridSpan w:val="3"/>
            <w:shd w:val="clear" w:color="auto" w:fill="FFFFFF"/>
            <w:tcMar>
              <w:top w:w="40" w:type="dxa"/>
              <w:left w:w="1235" w:type="dxa"/>
              <w:bottom w:w="40" w:type="dxa"/>
              <w:right w:w="20" w:type="dxa"/>
            </w:tcMar>
            <w:vAlign w:val="bottom"/>
          </w:tcPr>
          <w:p w14:paraId="7B66E2D7" w14:textId="77777777" w:rsidR="0040300B" w:rsidRDefault="00BB2D44">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7B66E2D8" w14:textId="77777777" w:rsidR="0040300B" w:rsidRDefault="00BB2D44">
            <w:pPr>
              <w:jc w:val="right"/>
              <w:textAlignment w:val="bottom"/>
            </w:pPr>
            <w:r>
              <w:rPr>
                <w:rFonts w:ascii="Times New Roman" w:eastAsia="宋体" w:hAnsi="Times New Roman"/>
                <w:color w:val="000000"/>
                <w:sz w:val="19"/>
                <w:szCs w:val="19"/>
              </w:rPr>
              <w:t>(569)</w:t>
            </w:r>
          </w:p>
        </w:tc>
        <w:tc>
          <w:tcPr>
            <w:tcW w:w="0" w:type="auto"/>
            <w:shd w:val="clear" w:color="auto" w:fill="FFFFFF"/>
            <w:tcMar>
              <w:top w:w="40" w:type="dxa"/>
              <w:left w:w="0" w:type="dxa"/>
              <w:bottom w:w="40" w:type="dxa"/>
              <w:right w:w="20" w:type="dxa"/>
            </w:tcMar>
            <w:vAlign w:val="bottom"/>
          </w:tcPr>
          <w:p w14:paraId="7B66E2D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D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DB" w14:textId="77777777" w:rsidR="0040300B" w:rsidRDefault="00BB2D44">
            <w:pPr>
              <w:jc w:val="right"/>
              <w:textAlignment w:val="bottom"/>
            </w:pPr>
            <w:r>
              <w:rPr>
                <w:rFonts w:ascii="Times New Roman" w:eastAsia="宋体" w:hAnsi="Times New Roman"/>
                <w:color w:val="000000"/>
                <w:sz w:val="19"/>
                <w:szCs w:val="19"/>
              </w:rPr>
              <w:t>(645)</w:t>
            </w:r>
          </w:p>
        </w:tc>
        <w:tc>
          <w:tcPr>
            <w:tcW w:w="0" w:type="auto"/>
            <w:shd w:val="clear" w:color="auto" w:fill="FFFFFF"/>
            <w:tcMar>
              <w:top w:w="40" w:type="dxa"/>
              <w:left w:w="0" w:type="dxa"/>
              <w:bottom w:w="40" w:type="dxa"/>
              <w:right w:w="20" w:type="dxa"/>
            </w:tcMar>
            <w:vAlign w:val="bottom"/>
          </w:tcPr>
          <w:p w14:paraId="7B66E2DC" w14:textId="77777777" w:rsidR="0040300B" w:rsidRDefault="0040300B">
            <w:pPr>
              <w:jc w:val="right"/>
              <w:rPr>
                <w:rFonts w:ascii="宋体"/>
              </w:rPr>
            </w:pPr>
          </w:p>
        </w:tc>
      </w:tr>
      <w:tr w:rsidR="0040300B" w14:paraId="7B66E2E4" w14:textId="77777777">
        <w:trPr>
          <w:jc w:val="center"/>
        </w:trPr>
        <w:tc>
          <w:tcPr>
            <w:tcW w:w="0" w:type="auto"/>
            <w:gridSpan w:val="3"/>
            <w:shd w:val="clear" w:color="auto" w:fill="CCEEFF"/>
            <w:tcMar>
              <w:top w:w="40" w:type="dxa"/>
              <w:left w:w="1595" w:type="dxa"/>
              <w:bottom w:w="40" w:type="dxa"/>
              <w:right w:w="20" w:type="dxa"/>
            </w:tcMar>
            <w:vAlign w:val="bottom"/>
          </w:tcPr>
          <w:p w14:paraId="7B66E2DE" w14:textId="77777777" w:rsidR="0040300B" w:rsidRDefault="00BB2D44">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DF" w14:textId="77777777" w:rsidR="0040300B" w:rsidRDefault="00BB2D44">
            <w:pPr>
              <w:jc w:val="right"/>
              <w:textAlignment w:val="bottom"/>
            </w:pPr>
            <w:r>
              <w:rPr>
                <w:rFonts w:ascii="Times New Roman" w:eastAsia="宋体" w:hAnsi="Times New Roman"/>
                <w:color w:val="000000"/>
                <w:sz w:val="19"/>
                <w:szCs w:val="19"/>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E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2E2" w14:textId="77777777" w:rsidR="0040300B" w:rsidRDefault="00BB2D44">
            <w:pPr>
              <w:jc w:val="right"/>
              <w:textAlignment w:val="bottom"/>
            </w:pPr>
            <w:r>
              <w:rPr>
                <w:rFonts w:ascii="Times New Roman" w:eastAsia="宋体" w:hAnsi="Times New Roman"/>
                <w:color w:val="000000"/>
                <w:sz w:val="19"/>
                <w:szCs w:val="19"/>
              </w:rPr>
              <w:t>11,624 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2E3" w14:textId="77777777" w:rsidR="0040300B" w:rsidRDefault="0040300B">
            <w:pPr>
              <w:jc w:val="right"/>
              <w:rPr>
                <w:rFonts w:ascii="宋体"/>
              </w:rPr>
            </w:pPr>
          </w:p>
        </w:tc>
      </w:tr>
      <w:tr w:rsidR="0040300B" w14:paraId="7B66E2E9" w14:textId="77777777">
        <w:trPr>
          <w:jc w:val="center"/>
        </w:trPr>
        <w:tc>
          <w:tcPr>
            <w:tcW w:w="0" w:type="auto"/>
            <w:gridSpan w:val="3"/>
            <w:shd w:val="clear" w:color="auto" w:fill="FFFFFF"/>
            <w:tcMar>
              <w:top w:w="40" w:type="dxa"/>
              <w:left w:w="20" w:type="dxa"/>
              <w:bottom w:w="40" w:type="dxa"/>
              <w:right w:w="20" w:type="dxa"/>
            </w:tcMar>
            <w:vAlign w:val="bottom"/>
          </w:tcPr>
          <w:p w14:paraId="7B66E2E5" w14:textId="77777777" w:rsidR="0040300B" w:rsidRDefault="00BB2D44">
            <w:pPr>
              <w:textAlignment w:val="bottom"/>
            </w:pPr>
            <w:r>
              <w:rPr>
                <w:rFonts w:ascii="Times New Roman" w:eastAsia="宋体" w:hAnsi="Times New Roman"/>
                <w:color w:val="00000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7B66E2E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2E7"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E2E8" w14:textId="77777777" w:rsidR="0040300B" w:rsidRDefault="0040300B">
            <w:pPr>
              <w:rPr>
                <w:rFonts w:ascii="宋体"/>
              </w:rPr>
            </w:pPr>
          </w:p>
        </w:tc>
      </w:tr>
      <w:tr w:rsidR="0040300B" w14:paraId="7B66E2F0" w14:textId="77777777">
        <w:trPr>
          <w:jc w:val="center"/>
        </w:trPr>
        <w:tc>
          <w:tcPr>
            <w:tcW w:w="0" w:type="auto"/>
            <w:gridSpan w:val="3"/>
            <w:shd w:val="clear" w:color="auto" w:fill="CCEEFF"/>
            <w:tcMar>
              <w:top w:w="40" w:type="dxa"/>
              <w:left w:w="380" w:type="dxa"/>
              <w:bottom w:w="40" w:type="dxa"/>
              <w:right w:w="20" w:type="dxa"/>
            </w:tcMar>
            <w:vAlign w:val="bottom"/>
          </w:tcPr>
          <w:p w14:paraId="7B66E2EA" w14:textId="77777777" w:rsidR="0040300B" w:rsidRDefault="00BB2D44">
            <w:pPr>
              <w:textAlignment w:val="bottom"/>
            </w:pPr>
            <w:r>
              <w:rPr>
                <w:rFonts w:ascii="Times New Roman" w:eastAsia="宋体" w:hAnsi="Times New Roman"/>
                <w:color w:val="000000"/>
                <w:sz w:val="19"/>
                <w:szCs w:val="19"/>
              </w:rPr>
              <w:t>Purchases of investments</w:t>
            </w:r>
          </w:p>
        </w:tc>
        <w:tc>
          <w:tcPr>
            <w:tcW w:w="0" w:type="auto"/>
            <w:gridSpan w:val="2"/>
            <w:shd w:val="clear" w:color="auto" w:fill="CCEEFF"/>
            <w:tcMar>
              <w:top w:w="40" w:type="dxa"/>
              <w:left w:w="20" w:type="dxa"/>
              <w:bottom w:w="40" w:type="dxa"/>
              <w:right w:w="0" w:type="dxa"/>
            </w:tcMar>
            <w:vAlign w:val="center"/>
          </w:tcPr>
          <w:p w14:paraId="7B66E2EB" w14:textId="77777777" w:rsidR="0040300B" w:rsidRDefault="00BB2D44">
            <w:pPr>
              <w:jc w:val="right"/>
              <w:textAlignment w:val="center"/>
            </w:pPr>
            <w:r>
              <w:rPr>
                <w:rFonts w:ascii="Times New Roman" w:eastAsia="宋体" w:hAnsi="Times New Roman"/>
                <w:color w:val="000000"/>
                <w:sz w:val="19"/>
                <w:szCs w:val="19"/>
              </w:rPr>
              <w:t>(7,855)</w:t>
            </w:r>
          </w:p>
        </w:tc>
        <w:tc>
          <w:tcPr>
            <w:tcW w:w="0" w:type="auto"/>
            <w:shd w:val="clear" w:color="auto" w:fill="CCEEFF"/>
            <w:tcMar>
              <w:top w:w="40" w:type="dxa"/>
              <w:left w:w="0" w:type="dxa"/>
              <w:bottom w:w="40" w:type="dxa"/>
              <w:right w:w="20" w:type="dxa"/>
            </w:tcMar>
            <w:vAlign w:val="center"/>
          </w:tcPr>
          <w:p w14:paraId="7B66E2E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E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center"/>
          </w:tcPr>
          <w:p w14:paraId="7B66E2EE" w14:textId="77777777" w:rsidR="0040300B" w:rsidRDefault="00BB2D44">
            <w:pPr>
              <w:jc w:val="right"/>
              <w:textAlignment w:val="center"/>
            </w:pPr>
            <w:r>
              <w:rPr>
                <w:rFonts w:ascii="Times New Roman" w:eastAsia="宋体" w:hAnsi="Times New Roman"/>
                <w:color w:val="000000"/>
                <w:sz w:val="19"/>
                <w:szCs w:val="19"/>
              </w:rPr>
              <w:t>(6,880)</w:t>
            </w:r>
          </w:p>
        </w:tc>
        <w:tc>
          <w:tcPr>
            <w:tcW w:w="0" w:type="auto"/>
            <w:shd w:val="clear" w:color="auto" w:fill="CCEEFF"/>
            <w:tcMar>
              <w:top w:w="40" w:type="dxa"/>
              <w:left w:w="0" w:type="dxa"/>
              <w:bottom w:w="40" w:type="dxa"/>
              <w:right w:w="20" w:type="dxa"/>
            </w:tcMar>
            <w:vAlign w:val="center"/>
          </w:tcPr>
          <w:p w14:paraId="7B66E2EF" w14:textId="77777777" w:rsidR="0040300B" w:rsidRDefault="0040300B">
            <w:pPr>
              <w:jc w:val="right"/>
              <w:rPr>
                <w:rFonts w:ascii="宋体"/>
              </w:rPr>
            </w:pPr>
          </w:p>
        </w:tc>
      </w:tr>
      <w:tr w:rsidR="0040300B" w14:paraId="7B66E2F7" w14:textId="77777777">
        <w:trPr>
          <w:jc w:val="center"/>
        </w:trPr>
        <w:tc>
          <w:tcPr>
            <w:tcW w:w="0" w:type="auto"/>
            <w:gridSpan w:val="3"/>
            <w:shd w:val="clear" w:color="auto" w:fill="FFFFFF"/>
            <w:tcMar>
              <w:top w:w="40" w:type="dxa"/>
              <w:left w:w="380" w:type="dxa"/>
              <w:bottom w:w="40" w:type="dxa"/>
              <w:right w:w="20" w:type="dxa"/>
            </w:tcMar>
            <w:vAlign w:val="bottom"/>
          </w:tcPr>
          <w:p w14:paraId="7B66E2F1" w14:textId="77777777" w:rsidR="0040300B" w:rsidRDefault="00BB2D44">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7B66E2F2" w14:textId="77777777" w:rsidR="0040300B" w:rsidRDefault="00BB2D44">
            <w:pPr>
              <w:jc w:val="right"/>
              <w:textAlignment w:val="bottom"/>
            </w:pPr>
            <w:r>
              <w:rPr>
                <w:rFonts w:ascii="Times New Roman" w:eastAsia="宋体" w:hAnsi="Times New Roman"/>
                <w:color w:val="000000"/>
                <w:sz w:val="19"/>
                <w:szCs w:val="19"/>
              </w:rPr>
              <w:t>2,724 </w:t>
            </w:r>
          </w:p>
        </w:tc>
        <w:tc>
          <w:tcPr>
            <w:tcW w:w="0" w:type="auto"/>
            <w:shd w:val="clear" w:color="auto" w:fill="FFFFFF"/>
            <w:tcMar>
              <w:top w:w="40" w:type="dxa"/>
              <w:left w:w="0" w:type="dxa"/>
              <w:bottom w:w="40" w:type="dxa"/>
              <w:right w:w="20" w:type="dxa"/>
            </w:tcMar>
            <w:vAlign w:val="bottom"/>
          </w:tcPr>
          <w:p w14:paraId="7B66E2F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2F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2F5" w14:textId="77777777" w:rsidR="0040300B" w:rsidRDefault="00BB2D44">
            <w:pPr>
              <w:jc w:val="right"/>
              <w:textAlignment w:val="bottom"/>
            </w:pPr>
            <w:r>
              <w:rPr>
                <w:rFonts w:ascii="Times New Roman" w:eastAsia="宋体" w:hAnsi="Times New Roman"/>
                <w:color w:val="000000"/>
                <w:sz w:val="19"/>
                <w:szCs w:val="19"/>
              </w:rPr>
              <w:t>4,737 </w:t>
            </w:r>
          </w:p>
        </w:tc>
        <w:tc>
          <w:tcPr>
            <w:tcW w:w="0" w:type="auto"/>
            <w:shd w:val="clear" w:color="auto" w:fill="FFFFFF"/>
            <w:tcMar>
              <w:top w:w="40" w:type="dxa"/>
              <w:left w:w="0" w:type="dxa"/>
              <w:bottom w:w="40" w:type="dxa"/>
              <w:right w:w="20" w:type="dxa"/>
            </w:tcMar>
            <w:vAlign w:val="bottom"/>
          </w:tcPr>
          <w:p w14:paraId="7B66E2F6" w14:textId="77777777" w:rsidR="0040300B" w:rsidRDefault="0040300B">
            <w:pPr>
              <w:jc w:val="right"/>
              <w:rPr>
                <w:rFonts w:ascii="宋体"/>
              </w:rPr>
            </w:pPr>
          </w:p>
        </w:tc>
      </w:tr>
      <w:tr w:rsidR="0040300B" w14:paraId="7B66E2FE" w14:textId="77777777">
        <w:trPr>
          <w:jc w:val="center"/>
        </w:trPr>
        <w:tc>
          <w:tcPr>
            <w:tcW w:w="0" w:type="auto"/>
            <w:gridSpan w:val="3"/>
            <w:shd w:val="clear" w:color="auto" w:fill="CCEEFF"/>
            <w:tcMar>
              <w:top w:w="40" w:type="dxa"/>
              <w:left w:w="380" w:type="dxa"/>
              <w:bottom w:w="40" w:type="dxa"/>
              <w:right w:w="20" w:type="dxa"/>
            </w:tcMar>
            <w:vAlign w:val="bottom"/>
          </w:tcPr>
          <w:p w14:paraId="7B66E2F8" w14:textId="77777777" w:rsidR="0040300B" w:rsidRDefault="00BB2D44">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7B66E2F9" w14:textId="77777777" w:rsidR="0040300B" w:rsidRDefault="00BB2D44">
            <w:pPr>
              <w:jc w:val="right"/>
              <w:textAlignment w:val="bottom"/>
            </w:pPr>
            <w:r>
              <w:rPr>
                <w:rFonts w:ascii="Times New Roman" w:eastAsia="宋体" w:hAnsi="Times New Roman"/>
                <w:color w:val="000000"/>
                <w:sz w:val="19"/>
                <w:szCs w:val="19"/>
              </w:rPr>
              <w:t>6,445 </w:t>
            </w:r>
          </w:p>
        </w:tc>
        <w:tc>
          <w:tcPr>
            <w:tcW w:w="0" w:type="auto"/>
            <w:shd w:val="clear" w:color="auto" w:fill="CCEEFF"/>
            <w:tcMar>
              <w:top w:w="40" w:type="dxa"/>
              <w:left w:w="0" w:type="dxa"/>
              <w:bottom w:w="40" w:type="dxa"/>
              <w:right w:w="20" w:type="dxa"/>
            </w:tcMar>
            <w:vAlign w:val="bottom"/>
          </w:tcPr>
          <w:p w14:paraId="7B66E2F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2F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2FC" w14:textId="77777777" w:rsidR="0040300B" w:rsidRDefault="00BB2D44">
            <w:pPr>
              <w:jc w:val="right"/>
              <w:textAlignment w:val="bottom"/>
            </w:pPr>
            <w:r>
              <w:rPr>
                <w:rFonts w:ascii="Times New Roman" w:eastAsia="宋体" w:hAnsi="Times New Roman"/>
                <w:color w:val="000000"/>
                <w:sz w:val="19"/>
                <w:szCs w:val="19"/>
              </w:rPr>
              <w:t>5,708 </w:t>
            </w:r>
          </w:p>
        </w:tc>
        <w:tc>
          <w:tcPr>
            <w:tcW w:w="0" w:type="auto"/>
            <w:shd w:val="clear" w:color="auto" w:fill="CCEEFF"/>
            <w:tcMar>
              <w:top w:w="40" w:type="dxa"/>
              <w:left w:w="0" w:type="dxa"/>
              <w:bottom w:w="40" w:type="dxa"/>
              <w:right w:w="20" w:type="dxa"/>
            </w:tcMar>
            <w:vAlign w:val="bottom"/>
          </w:tcPr>
          <w:p w14:paraId="7B66E2FD" w14:textId="77777777" w:rsidR="0040300B" w:rsidRDefault="0040300B">
            <w:pPr>
              <w:jc w:val="right"/>
              <w:rPr>
                <w:rFonts w:ascii="宋体"/>
              </w:rPr>
            </w:pPr>
          </w:p>
        </w:tc>
      </w:tr>
      <w:tr w:rsidR="0040300B" w14:paraId="7B66E305" w14:textId="77777777">
        <w:trPr>
          <w:jc w:val="center"/>
        </w:trPr>
        <w:tc>
          <w:tcPr>
            <w:tcW w:w="0" w:type="auto"/>
            <w:gridSpan w:val="3"/>
            <w:shd w:val="clear" w:color="auto" w:fill="FFFFFF"/>
            <w:tcMar>
              <w:top w:w="40" w:type="dxa"/>
              <w:left w:w="380" w:type="dxa"/>
              <w:bottom w:w="40" w:type="dxa"/>
              <w:right w:w="20" w:type="dxa"/>
            </w:tcMar>
            <w:vAlign w:val="bottom"/>
          </w:tcPr>
          <w:p w14:paraId="7B66E2FF" w14:textId="77777777" w:rsidR="0040300B" w:rsidRDefault="00BB2D44">
            <w:pPr>
              <w:textAlignment w:val="bottom"/>
            </w:pPr>
            <w:r>
              <w:rPr>
                <w:rFonts w:ascii="Times New Roman" w:eastAsia="宋体" w:hAnsi="Times New Roman"/>
                <w:color w:val="000000"/>
                <w:sz w:val="19"/>
                <w:szCs w:val="19"/>
              </w:rPr>
              <w:t>Acquisitions, net of cash and cash equivalents acquired and divestitures</w:t>
            </w:r>
          </w:p>
        </w:tc>
        <w:tc>
          <w:tcPr>
            <w:tcW w:w="0" w:type="auto"/>
            <w:gridSpan w:val="2"/>
            <w:shd w:val="clear" w:color="auto" w:fill="FFFFFF"/>
            <w:tcMar>
              <w:top w:w="40" w:type="dxa"/>
              <w:left w:w="20" w:type="dxa"/>
              <w:bottom w:w="40" w:type="dxa"/>
              <w:right w:w="0" w:type="dxa"/>
            </w:tcMar>
            <w:vAlign w:val="bottom"/>
          </w:tcPr>
          <w:p w14:paraId="7B66E300" w14:textId="77777777" w:rsidR="0040300B" w:rsidRDefault="00BB2D44">
            <w:pPr>
              <w:jc w:val="right"/>
              <w:textAlignment w:val="bottom"/>
            </w:pPr>
            <w:r>
              <w:rPr>
                <w:rFonts w:ascii="Times New Roman" w:eastAsia="宋体" w:hAnsi="Times New Roman"/>
                <w:color w:val="000000"/>
                <w:sz w:val="19"/>
                <w:szCs w:val="19"/>
              </w:rPr>
              <w:t>(6,333)</w:t>
            </w:r>
          </w:p>
        </w:tc>
        <w:tc>
          <w:tcPr>
            <w:tcW w:w="0" w:type="auto"/>
            <w:shd w:val="clear" w:color="auto" w:fill="FFFFFF"/>
            <w:tcMar>
              <w:top w:w="40" w:type="dxa"/>
              <w:left w:w="0" w:type="dxa"/>
              <w:bottom w:w="40" w:type="dxa"/>
              <w:right w:w="20" w:type="dxa"/>
            </w:tcMar>
            <w:vAlign w:val="bottom"/>
          </w:tcPr>
          <w:p w14:paraId="7B66E30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0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03" w14:textId="77777777" w:rsidR="0040300B" w:rsidRDefault="00BB2D44">
            <w:pPr>
              <w:jc w:val="right"/>
              <w:textAlignment w:val="bottom"/>
            </w:pPr>
            <w:r>
              <w:rPr>
                <w:rFonts w:ascii="Times New Roman" w:eastAsia="宋体" w:hAnsi="Times New Roman"/>
                <w:color w:val="000000"/>
                <w:sz w:val="19"/>
                <w:szCs w:val="19"/>
              </w:rPr>
              <w:t>(237)</w:t>
            </w:r>
          </w:p>
        </w:tc>
        <w:tc>
          <w:tcPr>
            <w:tcW w:w="0" w:type="auto"/>
            <w:shd w:val="clear" w:color="auto" w:fill="FFFFFF"/>
            <w:tcMar>
              <w:top w:w="40" w:type="dxa"/>
              <w:left w:w="0" w:type="dxa"/>
              <w:bottom w:w="40" w:type="dxa"/>
              <w:right w:w="20" w:type="dxa"/>
            </w:tcMar>
            <w:vAlign w:val="bottom"/>
          </w:tcPr>
          <w:p w14:paraId="7B66E304" w14:textId="77777777" w:rsidR="0040300B" w:rsidRDefault="0040300B">
            <w:pPr>
              <w:jc w:val="right"/>
              <w:rPr>
                <w:rFonts w:ascii="宋体"/>
              </w:rPr>
            </w:pPr>
          </w:p>
        </w:tc>
      </w:tr>
      <w:tr w:rsidR="0040300B" w14:paraId="7B66E30C" w14:textId="77777777">
        <w:trPr>
          <w:jc w:val="center"/>
        </w:trPr>
        <w:tc>
          <w:tcPr>
            <w:tcW w:w="0" w:type="auto"/>
            <w:gridSpan w:val="3"/>
            <w:shd w:val="clear" w:color="auto" w:fill="CCEEFF"/>
            <w:tcMar>
              <w:top w:w="40" w:type="dxa"/>
              <w:left w:w="380" w:type="dxa"/>
              <w:bottom w:w="40" w:type="dxa"/>
              <w:right w:w="20" w:type="dxa"/>
            </w:tcMar>
            <w:vAlign w:val="bottom"/>
          </w:tcPr>
          <w:p w14:paraId="7B66E306" w14:textId="77777777" w:rsidR="0040300B" w:rsidRDefault="00BB2D44">
            <w:pPr>
              <w:textAlignment w:val="bottom"/>
            </w:pPr>
            <w:r>
              <w:rPr>
                <w:rFonts w:ascii="Times New Roman" w:eastAsia="宋体" w:hAnsi="Times New Roman"/>
                <w:color w:val="000000"/>
                <w:sz w:val="19"/>
                <w:szCs w:val="19"/>
              </w:rPr>
              <w:t xml:space="preserve">Purchases of investments in privately held </w:t>
            </w:r>
            <w:r>
              <w:rPr>
                <w:rFonts w:ascii="Times New Roman" w:eastAsia="宋体" w:hAnsi="Times New Roman"/>
                <w:color w:val="000000"/>
                <w:sz w:val="19"/>
                <w:szCs w:val="19"/>
              </w:rPr>
              <w:t>companies</w:t>
            </w:r>
          </w:p>
        </w:tc>
        <w:tc>
          <w:tcPr>
            <w:tcW w:w="0" w:type="auto"/>
            <w:gridSpan w:val="2"/>
            <w:shd w:val="clear" w:color="auto" w:fill="CCEEFF"/>
            <w:tcMar>
              <w:top w:w="40" w:type="dxa"/>
              <w:left w:w="20" w:type="dxa"/>
              <w:bottom w:w="40" w:type="dxa"/>
              <w:right w:w="0" w:type="dxa"/>
            </w:tcMar>
            <w:vAlign w:val="bottom"/>
          </w:tcPr>
          <w:p w14:paraId="7B66E307" w14:textId="77777777" w:rsidR="0040300B" w:rsidRDefault="00BB2D44">
            <w:pPr>
              <w:jc w:val="right"/>
              <w:textAlignment w:val="bottom"/>
            </w:pPr>
            <w:r>
              <w:rPr>
                <w:rFonts w:ascii="Times New Roman" w:eastAsia="宋体" w:hAnsi="Times New Roman"/>
                <w:color w:val="000000"/>
                <w:sz w:val="19"/>
                <w:szCs w:val="19"/>
              </w:rPr>
              <w:t>(138)</w:t>
            </w:r>
          </w:p>
        </w:tc>
        <w:tc>
          <w:tcPr>
            <w:tcW w:w="0" w:type="auto"/>
            <w:shd w:val="clear" w:color="auto" w:fill="CCEEFF"/>
            <w:tcMar>
              <w:top w:w="40" w:type="dxa"/>
              <w:left w:w="0" w:type="dxa"/>
              <w:bottom w:w="40" w:type="dxa"/>
              <w:right w:w="20" w:type="dxa"/>
            </w:tcMar>
            <w:vAlign w:val="bottom"/>
          </w:tcPr>
          <w:p w14:paraId="7B66E30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0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0A" w14:textId="77777777" w:rsidR="0040300B" w:rsidRDefault="00BB2D44">
            <w:pPr>
              <w:jc w:val="right"/>
              <w:textAlignment w:val="bottom"/>
            </w:pPr>
            <w:r>
              <w:rPr>
                <w:rFonts w:ascii="Times New Roman" w:eastAsia="宋体" w:hAnsi="Times New Roman"/>
                <w:color w:val="000000"/>
                <w:sz w:val="19"/>
                <w:szCs w:val="19"/>
              </w:rPr>
              <w:t>(143)</w:t>
            </w:r>
          </w:p>
        </w:tc>
        <w:tc>
          <w:tcPr>
            <w:tcW w:w="0" w:type="auto"/>
            <w:shd w:val="clear" w:color="auto" w:fill="CCEEFF"/>
            <w:tcMar>
              <w:top w:w="40" w:type="dxa"/>
              <w:left w:w="0" w:type="dxa"/>
              <w:bottom w:w="40" w:type="dxa"/>
              <w:right w:w="20" w:type="dxa"/>
            </w:tcMar>
            <w:vAlign w:val="bottom"/>
          </w:tcPr>
          <w:p w14:paraId="7B66E30B" w14:textId="77777777" w:rsidR="0040300B" w:rsidRDefault="0040300B">
            <w:pPr>
              <w:jc w:val="right"/>
              <w:rPr>
                <w:rFonts w:ascii="宋体"/>
              </w:rPr>
            </w:pPr>
          </w:p>
        </w:tc>
      </w:tr>
      <w:tr w:rsidR="0040300B" w14:paraId="7B66E313" w14:textId="77777777">
        <w:trPr>
          <w:jc w:val="center"/>
        </w:trPr>
        <w:tc>
          <w:tcPr>
            <w:tcW w:w="0" w:type="auto"/>
            <w:gridSpan w:val="3"/>
            <w:shd w:val="clear" w:color="auto" w:fill="FFFFFF"/>
            <w:tcMar>
              <w:top w:w="40" w:type="dxa"/>
              <w:left w:w="380" w:type="dxa"/>
              <w:bottom w:w="40" w:type="dxa"/>
              <w:right w:w="20" w:type="dxa"/>
            </w:tcMar>
            <w:vAlign w:val="bottom"/>
          </w:tcPr>
          <w:p w14:paraId="7B66E30D" w14:textId="77777777" w:rsidR="0040300B" w:rsidRDefault="00BB2D44">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7B66E30E" w14:textId="77777777" w:rsidR="0040300B" w:rsidRDefault="00BB2D44">
            <w:pPr>
              <w:jc w:val="right"/>
              <w:textAlignment w:val="bottom"/>
            </w:pPr>
            <w:r>
              <w:rPr>
                <w:rFonts w:ascii="Times New Roman" w:eastAsia="宋体" w:hAnsi="Times New Roman"/>
                <w:color w:val="000000"/>
                <w:sz w:val="19"/>
                <w:szCs w:val="19"/>
              </w:rPr>
              <w:t>96 </w:t>
            </w:r>
          </w:p>
        </w:tc>
        <w:tc>
          <w:tcPr>
            <w:tcW w:w="0" w:type="auto"/>
            <w:shd w:val="clear" w:color="auto" w:fill="FFFFFF"/>
            <w:tcMar>
              <w:top w:w="40" w:type="dxa"/>
              <w:left w:w="0" w:type="dxa"/>
              <w:bottom w:w="40" w:type="dxa"/>
              <w:right w:w="20" w:type="dxa"/>
            </w:tcMar>
            <w:vAlign w:val="bottom"/>
          </w:tcPr>
          <w:p w14:paraId="7B66E30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1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11" w14:textId="77777777" w:rsidR="0040300B" w:rsidRDefault="00BB2D44">
            <w:pPr>
              <w:jc w:val="right"/>
              <w:textAlignment w:val="bottom"/>
            </w:pPr>
            <w:r>
              <w:rPr>
                <w:rFonts w:ascii="Times New Roman" w:eastAsia="宋体" w:hAnsi="Times New Roman"/>
                <w:color w:val="000000"/>
                <w:sz w:val="19"/>
                <w:szCs w:val="19"/>
              </w:rPr>
              <w:t>213 </w:t>
            </w:r>
          </w:p>
        </w:tc>
        <w:tc>
          <w:tcPr>
            <w:tcW w:w="0" w:type="auto"/>
            <w:shd w:val="clear" w:color="auto" w:fill="FFFFFF"/>
            <w:tcMar>
              <w:top w:w="40" w:type="dxa"/>
              <w:left w:w="0" w:type="dxa"/>
              <w:bottom w:w="40" w:type="dxa"/>
              <w:right w:w="20" w:type="dxa"/>
            </w:tcMar>
            <w:vAlign w:val="bottom"/>
          </w:tcPr>
          <w:p w14:paraId="7B66E312" w14:textId="77777777" w:rsidR="0040300B" w:rsidRDefault="0040300B">
            <w:pPr>
              <w:jc w:val="right"/>
              <w:rPr>
                <w:rFonts w:ascii="宋体"/>
              </w:rPr>
            </w:pPr>
          </w:p>
        </w:tc>
      </w:tr>
      <w:tr w:rsidR="0040300B" w14:paraId="7B66E31A" w14:textId="77777777">
        <w:trPr>
          <w:jc w:val="center"/>
        </w:trPr>
        <w:tc>
          <w:tcPr>
            <w:tcW w:w="0" w:type="auto"/>
            <w:gridSpan w:val="3"/>
            <w:shd w:val="clear" w:color="auto" w:fill="CCEEFF"/>
            <w:tcMar>
              <w:top w:w="40" w:type="dxa"/>
              <w:left w:w="380" w:type="dxa"/>
              <w:bottom w:w="40" w:type="dxa"/>
              <w:right w:w="20" w:type="dxa"/>
            </w:tcMar>
            <w:vAlign w:val="bottom"/>
          </w:tcPr>
          <w:p w14:paraId="7B66E314" w14:textId="77777777" w:rsidR="0040300B" w:rsidRDefault="00BB2D44">
            <w:pPr>
              <w:textAlignment w:val="bottom"/>
            </w:pPr>
            <w:r>
              <w:rPr>
                <w:rFonts w:ascii="Times New Roman" w:eastAsia="宋体" w:hAnsi="Times New Roman"/>
                <w:color w:val="000000"/>
                <w:sz w:val="19"/>
                <w:szCs w:val="19"/>
              </w:rPr>
              <w:t>Acquisition of property and equipment</w:t>
            </w:r>
          </w:p>
        </w:tc>
        <w:tc>
          <w:tcPr>
            <w:tcW w:w="0" w:type="auto"/>
            <w:gridSpan w:val="2"/>
            <w:shd w:val="clear" w:color="auto" w:fill="CCEEFF"/>
            <w:tcMar>
              <w:top w:w="40" w:type="dxa"/>
              <w:left w:w="20" w:type="dxa"/>
              <w:bottom w:w="40" w:type="dxa"/>
              <w:right w:w="0" w:type="dxa"/>
            </w:tcMar>
            <w:vAlign w:val="bottom"/>
          </w:tcPr>
          <w:p w14:paraId="7B66E315" w14:textId="77777777" w:rsidR="0040300B" w:rsidRDefault="00BB2D44">
            <w:pPr>
              <w:jc w:val="right"/>
              <w:textAlignment w:val="bottom"/>
            </w:pPr>
            <w:r>
              <w:rPr>
                <w:rFonts w:ascii="Times New Roman" w:eastAsia="宋体" w:hAnsi="Times New Roman"/>
                <w:color w:val="000000"/>
                <w:sz w:val="19"/>
                <w:szCs w:val="19"/>
              </w:rPr>
              <w:t>(530)</w:t>
            </w:r>
          </w:p>
        </w:tc>
        <w:tc>
          <w:tcPr>
            <w:tcW w:w="0" w:type="auto"/>
            <w:shd w:val="clear" w:color="auto" w:fill="CCEEFF"/>
            <w:tcMar>
              <w:top w:w="40" w:type="dxa"/>
              <w:left w:w="0" w:type="dxa"/>
              <w:bottom w:w="40" w:type="dxa"/>
              <w:right w:w="20" w:type="dxa"/>
            </w:tcMar>
            <w:vAlign w:val="bottom"/>
          </w:tcPr>
          <w:p w14:paraId="7B66E31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1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18" w14:textId="77777777" w:rsidR="0040300B" w:rsidRDefault="00BB2D44">
            <w:pPr>
              <w:jc w:val="right"/>
              <w:textAlignment w:val="bottom"/>
            </w:pPr>
            <w:r>
              <w:rPr>
                <w:rFonts w:ascii="Times New Roman" w:eastAsia="宋体" w:hAnsi="Times New Roman"/>
                <w:color w:val="000000"/>
                <w:sz w:val="19"/>
                <w:szCs w:val="19"/>
              </w:rPr>
              <w:t>(562)</w:t>
            </w:r>
          </w:p>
        </w:tc>
        <w:tc>
          <w:tcPr>
            <w:tcW w:w="0" w:type="auto"/>
            <w:shd w:val="clear" w:color="auto" w:fill="CCEEFF"/>
            <w:tcMar>
              <w:top w:w="40" w:type="dxa"/>
              <w:left w:w="0" w:type="dxa"/>
              <w:bottom w:w="40" w:type="dxa"/>
              <w:right w:w="20" w:type="dxa"/>
            </w:tcMar>
            <w:vAlign w:val="bottom"/>
          </w:tcPr>
          <w:p w14:paraId="7B66E319" w14:textId="77777777" w:rsidR="0040300B" w:rsidRDefault="0040300B">
            <w:pPr>
              <w:jc w:val="right"/>
              <w:rPr>
                <w:rFonts w:ascii="宋体"/>
              </w:rPr>
            </w:pPr>
          </w:p>
        </w:tc>
      </w:tr>
      <w:tr w:rsidR="0040300B" w14:paraId="7B66E321" w14:textId="77777777">
        <w:trPr>
          <w:jc w:val="center"/>
        </w:trPr>
        <w:tc>
          <w:tcPr>
            <w:tcW w:w="0" w:type="auto"/>
            <w:gridSpan w:val="3"/>
            <w:shd w:val="clear" w:color="auto" w:fill="FFFFFF"/>
            <w:tcMar>
              <w:top w:w="40" w:type="dxa"/>
              <w:left w:w="380" w:type="dxa"/>
              <w:bottom w:w="40" w:type="dxa"/>
              <w:right w:w="20" w:type="dxa"/>
            </w:tcMar>
            <w:vAlign w:val="bottom"/>
          </w:tcPr>
          <w:p w14:paraId="7B66E31B" w14:textId="77777777" w:rsidR="0040300B" w:rsidRDefault="00BB2D44">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7B66E31C" w14:textId="77777777" w:rsidR="0040300B" w:rsidRDefault="00BB2D44">
            <w:pPr>
              <w:jc w:val="right"/>
              <w:textAlignment w:val="bottom"/>
            </w:pPr>
            <w:r>
              <w:rPr>
                <w:rFonts w:ascii="Times New Roman" w:eastAsia="宋体" w:hAnsi="Times New Roman"/>
                <w:color w:val="000000"/>
                <w:sz w:val="19"/>
                <w:szCs w:val="19"/>
              </w:rPr>
              <w:t>14 </w:t>
            </w:r>
          </w:p>
        </w:tc>
        <w:tc>
          <w:tcPr>
            <w:tcW w:w="0" w:type="auto"/>
            <w:shd w:val="clear" w:color="auto" w:fill="FFFFFF"/>
            <w:tcMar>
              <w:top w:w="40" w:type="dxa"/>
              <w:left w:w="0" w:type="dxa"/>
              <w:bottom w:w="40" w:type="dxa"/>
              <w:right w:w="20" w:type="dxa"/>
            </w:tcMar>
            <w:vAlign w:val="bottom"/>
          </w:tcPr>
          <w:p w14:paraId="7B66E31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1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1F" w14:textId="77777777" w:rsidR="0040300B" w:rsidRDefault="00BB2D44">
            <w:pPr>
              <w:jc w:val="right"/>
              <w:textAlignment w:val="bottom"/>
            </w:pPr>
            <w:r>
              <w:rPr>
                <w:rFonts w:ascii="Times New Roman" w:eastAsia="宋体" w:hAnsi="Times New Roman"/>
                <w:color w:val="000000"/>
                <w:sz w:val="19"/>
                <w:szCs w:val="19"/>
              </w:rPr>
              <w:t>175 </w:t>
            </w:r>
          </w:p>
        </w:tc>
        <w:tc>
          <w:tcPr>
            <w:tcW w:w="0" w:type="auto"/>
            <w:shd w:val="clear" w:color="auto" w:fill="FFFFFF"/>
            <w:tcMar>
              <w:top w:w="40" w:type="dxa"/>
              <w:left w:w="0" w:type="dxa"/>
              <w:bottom w:w="40" w:type="dxa"/>
              <w:right w:w="20" w:type="dxa"/>
            </w:tcMar>
            <w:vAlign w:val="bottom"/>
          </w:tcPr>
          <w:p w14:paraId="7B66E320" w14:textId="77777777" w:rsidR="0040300B" w:rsidRDefault="0040300B">
            <w:pPr>
              <w:jc w:val="right"/>
              <w:rPr>
                <w:rFonts w:ascii="宋体"/>
              </w:rPr>
            </w:pPr>
          </w:p>
        </w:tc>
      </w:tr>
      <w:tr w:rsidR="0040300B" w14:paraId="7B66E328" w14:textId="77777777">
        <w:trPr>
          <w:jc w:val="center"/>
        </w:trPr>
        <w:tc>
          <w:tcPr>
            <w:tcW w:w="0" w:type="auto"/>
            <w:gridSpan w:val="3"/>
            <w:shd w:val="clear" w:color="auto" w:fill="CCEEFF"/>
            <w:tcMar>
              <w:top w:w="40" w:type="dxa"/>
              <w:left w:w="380" w:type="dxa"/>
              <w:bottom w:w="40" w:type="dxa"/>
              <w:right w:w="20" w:type="dxa"/>
            </w:tcMar>
            <w:vAlign w:val="bottom"/>
          </w:tcPr>
          <w:p w14:paraId="7B66E322" w14:textId="77777777" w:rsidR="0040300B" w:rsidRDefault="00BB2D44">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center"/>
          </w:tcPr>
          <w:p w14:paraId="7B66E323" w14:textId="77777777" w:rsidR="0040300B" w:rsidRDefault="00BB2D44">
            <w:pPr>
              <w:jc w:val="right"/>
              <w:textAlignment w:val="center"/>
            </w:pPr>
            <w:r>
              <w:rPr>
                <w:rFonts w:ascii="Times New Roman" w:eastAsia="宋体" w:hAnsi="Times New Roman"/>
                <w:color w:val="000000"/>
                <w:sz w:val="19"/>
                <w:szCs w:val="19"/>
              </w:rPr>
              <w:t>(56)</w:t>
            </w:r>
          </w:p>
        </w:tc>
        <w:tc>
          <w:tcPr>
            <w:tcW w:w="0" w:type="auto"/>
            <w:shd w:val="clear" w:color="auto" w:fill="CCEEFF"/>
            <w:tcMar>
              <w:top w:w="40" w:type="dxa"/>
              <w:left w:w="0" w:type="dxa"/>
              <w:bottom w:w="40" w:type="dxa"/>
              <w:right w:w="20" w:type="dxa"/>
            </w:tcMar>
            <w:vAlign w:val="center"/>
          </w:tcPr>
          <w:p w14:paraId="7B66E32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2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center"/>
          </w:tcPr>
          <w:p w14:paraId="7B66E326" w14:textId="77777777" w:rsidR="0040300B" w:rsidRDefault="00BB2D44">
            <w:pPr>
              <w:jc w:val="right"/>
              <w:textAlignment w:val="center"/>
            </w:pPr>
            <w:r>
              <w:rPr>
                <w:rFonts w:ascii="Times New Roman" w:eastAsia="宋体" w:hAnsi="Times New Roman"/>
                <w:color w:val="000000"/>
                <w:sz w:val="19"/>
                <w:szCs w:val="19"/>
              </w:rPr>
              <w:t>(10)</w:t>
            </w:r>
          </w:p>
        </w:tc>
        <w:tc>
          <w:tcPr>
            <w:tcW w:w="0" w:type="auto"/>
            <w:shd w:val="clear" w:color="auto" w:fill="CCEEFF"/>
            <w:tcMar>
              <w:top w:w="40" w:type="dxa"/>
              <w:left w:w="0" w:type="dxa"/>
              <w:bottom w:w="40" w:type="dxa"/>
              <w:right w:w="20" w:type="dxa"/>
            </w:tcMar>
            <w:vAlign w:val="center"/>
          </w:tcPr>
          <w:p w14:paraId="7B66E327" w14:textId="77777777" w:rsidR="0040300B" w:rsidRDefault="0040300B">
            <w:pPr>
              <w:jc w:val="right"/>
              <w:rPr>
                <w:rFonts w:ascii="宋体"/>
              </w:rPr>
            </w:pPr>
          </w:p>
        </w:tc>
      </w:tr>
      <w:tr w:rsidR="0040300B" w14:paraId="7B66E32F" w14:textId="77777777">
        <w:trPr>
          <w:jc w:val="center"/>
        </w:trPr>
        <w:tc>
          <w:tcPr>
            <w:tcW w:w="0" w:type="auto"/>
            <w:gridSpan w:val="3"/>
            <w:shd w:val="clear" w:color="auto" w:fill="FFFFFF"/>
            <w:tcMar>
              <w:top w:w="40" w:type="dxa"/>
              <w:left w:w="1595" w:type="dxa"/>
              <w:bottom w:w="40" w:type="dxa"/>
              <w:right w:w="20" w:type="dxa"/>
            </w:tcMar>
            <w:vAlign w:val="bottom"/>
          </w:tcPr>
          <w:p w14:paraId="7B66E329" w14:textId="77777777" w:rsidR="0040300B" w:rsidRDefault="00BB2D44">
            <w:pPr>
              <w:textAlignment w:val="bottom"/>
            </w:pPr>
            <w:r>
              <w:rPr>
                <w:rFonts w:ascii="Times New Roman" w:eastAsia="宋体" w:hAnsi="Times New Roman"/>
                <w:color w:val="000000"/>
                <w:sz w:val="19"/>
                <w:szCs w:val="19"/>
              </w:rPr>
              <w:t xml:space="preserve">Net cash (used in) </w:t>
            </w:r>
            <w:r>
              <w:rPr>
                <w:rFonts w:ascii="Times New Roman" w:eastAsia="宋体" w:hAnsi="Times New Roman"/>
                <w:color w:val="000000"/>
                <w:sz w:val="19"/>
                <w:szCs w:val="19"/>
              </w:rPr>
              <w:t>provided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32A" w14:textId="77777777" w:rsidR="0040300B" w:rsidRDefault="00BB2D44">
            <w:pPr>
              <w:jc w:val="right"/>
              <w:textAlignment w:val="bottom"/>
            </w:pPr>
            <w:r>
              <w:rPr>
                <w:rFonts w:ascii="Times New Roman" w:eastAsia="宋体" w:hAnsi="Times New Roman"/>
                <w:color w:val="000000"/>
                <w:sz w:val="19"/>
                <w:szCs w:val="19"/>
              </w:rPr>
              <w:t>(5,633)</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2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2C"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32D" w14:textId="77777777" w:rsidR="0040300B" w:rsidRDefault="00BB2D44">
            <w:pPr>
              <w:jc w:val="right"/>
              <w:textAlignment w:val="bottom"/>
            </w:pPr>
            <w:r>
              <w:rPr>
                <w:rFonts w:ascii="Times New Roman" w:eastAsia="宋体" w:hAnsi="Times New Roman"/>
                <w:color w:val="000000"/>
                <w:sz w:val="19"/>
                <w:szCs w:val="19"/>
              </w:rPr>
              <w:t>3,001 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2E" w14:textId="77777777" w:rsidR="0040300B" w:rsidRDefault="0040300B">
            <w:pPr>
              <w:jc w:val="right"/>
              <w:rPr>
                <w:rFonts w:ascii="宋体"/>
              </w:rPr>
            </w:pPr>
          </w:p>
        </w:tc>
      </w:tr>
      <w:tr w:rsidR="0040300B" w14:paraId="7B66E334" w14:textId="77777777">
        <w:trPr>
          <w:jc w:val="center"/>
        </w:trPr>
        <w:tc>
          <w:tcPr>
            <w:tcW w:w="0" w:type="auto"/>
            <w:gridSpan w:val="3"/>
            <w:shd w:val="clear" w:color="auto" w:fill="CCEEFF"/>
            <w:tcMar>
              <w:top w:w="40" w:type="dxa"/>
              <w:left w:w="20" w:type="dxa"/>
              <w:bottom w:w="40" w:type="dxa"/>
              <w:right w:w="20" w:type="dxa"/>
            </w:tcMar>
            <w:vAlign w:val="bottom"/>
          </w:tcPr>
          <w:p w14:paraId="7B66E330" w14:textId="77777777" w:rsidR="0040300B" w:rsidRDefault="00BB2D44">
            <w:pPr>
              <w:textAlignment w:val="bottom"/>
            </w:pPr>
            <w:r>
              <w:rPr>
                <w:rFonts w:ascii="Times New Roman" w:eastAsia="宋体" w:hAnsi="Times New Roman"/>
                <w:color w:val="000000"/>
                <w:sz w:val="19"/>
                <w:szCs w:val="19"/>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7B66E33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3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333" w14:textId="77777777" w:rsidR="0040300B" w:rsidRDefault="0040300B">
            <w:pPr>
              <w:rPr>
                <w:rFonts w:ascii="宋体"/>
              </w:rPr>
            </w:pPr>
          </w:p>
        </w:tc>
      </w:tr>
      <w:tr w:rsidR="0040300B" w14:paraId="7B66E33B" w14:textId="77777777">
        <w:trPr>
          <w:jc w:val="center"/>
        </w:trPr>
        <w:tc>
          <w:tcPr>
            <w:tcW w:w="0" w:type="auto"/>
            <w:gridSpan w:val="3"/>
            <w:shd w:val="clear" w:color="auto" w:fill="FFFFFF"/>
            <w:tcMar>
              <w:top w:w="40" w:type="dxa"/>
              <w:left w:w="380" w:type="dxa"/>
              <w:bottom w:w="40" w:type="dxa"/>
              <w:right w:w="20" w:type="dxa"/>
            </w:tcMar>
            <w:vAlign w:val="bottom"/>
          </w:tcPr>
          <w:p w14:paraId="7B66E335" w14:textId="77777777" w:rsidR="0040300B" w:rsidRDefault="00BB2D44">
            <w:pPr>
              <w:textAlignment w:val="bottom"/>
            </w:pPr>
            <w:r>
              <w:rPr>
                <w:rFonts w:ascii="Times New Roman" w:eastAsia="宋体" w:hAnsi="Times New Roman"/>
                <w:color w:val="000000"/>
                <w:sz w:val="19"/>
                <w:szCs w:val="19"/>
              </w:rPr>
              <w:t>Issuances of common stock</w:t>
            </w:r>
          </w:p>
        </w:tc>
        <w:tc>
          <w:tcPr>
            <w:tcW w:w="0" w:type="auto"/>
            <w:gridSpan w:val="2"/>
            <w:shd w:val="clear" w:color="auto" w:fill="FFFFFF"/>
            <w:tcMar>
              <w:top w:w="40" w:type="dxa"/>
              <w:left w:w="20" w:type="dxa"/>
              <w:bottom w:w="40" w:type="dxa"/>
              <w:right w:w="0" w:type="dxa"/>
            </w:tcMar>
            <w:vAlign w:val="bottom"/>
          </w:tcPr>
          <w:p w14:paraId="7B66E336" w14:textId="77777777" w:rsidR="0040300B" w:rsidRDefault="00BB2D44">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7B66E33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3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39" w14:textId="77777777" w:rsidR="0040300B" w:rsidRDefault="00BB2D44">
            <w:pPr>
              <w:jc w:val="right"/>
              <w:textAlignment w:val="bottom"/>
            </w:pPr>
            <w:r>
              <w:rPr>
                <w:rFonts w:ascii="Times New Roman" w:eastAsia="宋体" w:hAnsi="Times New Roman"/>
                <w:color w:val="000000"/>
                <w:sz w:val="19"/>
                <w:szCs w:val="19"/>
              </w:rPr>
              <w:t>335 </w:t>
            </w:r>
          </w:p>
        </w:tc>
        <w:tc>
          <w:tcPr>
            <w:tcW w:w="0" w:type="auto"/>
            <w:shd w:val="clear" w:color="auto" w:fill="FFFFFF"/>
            <w:tcMar>
              <w:top w:w="40" w:type="dxa"/>
              <w:left w:w="0" w:type="dxa"/>
              <w:bottom w:w="40" w:type="dxa"/>
              <w:right w:w="20" w:type="dxa"/>
            </w:tcMar>
            <w:vAlign w:val="bottom"/>
          </w:tcPr>
          <w:p w14:paraId="7B66E33A" w14:textId="77777777" w:rsidR="0040300B" w:rsidRDefault="0040300B">
            <w:pPr>
              <w:jc w:val="right"/>
              <w:rPr>
                <w:rFonts w:ascii="宋体"/>
              </w:rPr>
            </w:pPr>
          </w:p>
        </w:tc>
      </w:tr>
      <w:tr w:rsidR="0040300B" w14:paraId="7B66E342" w14:textId="77777777">
        <w:trPr>
          <w:jc w:val="center"/>
        </w:trPr>
        <w:tc>
          <w:tcPr>
            <w:tcW w:w="0" w:type="auto"/>
            <w:gridSpan w:val="3"/>
            <w:shd w:val="clear" w:color="auto" w:fill="CCEEFF"/>
            <w:tcMar>
              <w:top w:w="40" w:type="dxa"/>
              <w:left w:w="20" w:type="dxa"/>
              <w:bottom w:w="40" w:type="dxa"/>
              <w:right w:w="20" w:type="dxa"/>
            </w:tcMar>
            <w:vAlign w:val="bottom"/>
          </w:tcPr>
          <w:p w14:paraId="7B66E33C" w14:textId="77777777" w:rsidR="0040300B" w:rsidRDefault="00BB2D44">
            <w:pPr>
              <w:textAlignment w:val="bottom"/>
            </w:pPr>
            <w:r>
              <w:rPr>
                <w:rFonts w:ascii="Times New Roman" w:eastAsia="宋体" w:hAnsi="Times New Roman"/>
                <w:color w:val="000000"/>
                <w:sz w:val="19"/>
                <w:szCs w:val="19"/>
              </w:rPr>
              <w:t>Repurchases of common stock</w:t>
            </w:r>
            <w:r>
              <w:rPr>
                <w:rFonts w:ascii="Arial" w:eastAsia="宋体" w:hAnsi="Arial" w:cs="Arial"/>
                <w:color w:val="000000"/>
                <w:sz w:val="19"/>
                <w:szCs w:val="19"/>
              </w:rPr>
              <w:t>—</w:t>
            </w:r>
            <w:r>
              <w:rPr>
                <w:rFonts w:ascii="Times New Roman" w:eastAsia="宋体" w:hAnsi="Times New Roman"/>
                <w:color w:val="000000"/>
                <w:sz w:val="19"/>
                <w:szCs w:val="19"/>
              </w:rPr>
              <w:t>repurchase program</w:t>
            </w:r>
          </w:p>
        </w:tc>
        <w:tc>
          <w:tcPr>
            <w:tcW w:w="0" w:type="auto"/>
            <w:gridSpan w:val="2"/>
            <w:shd w:val="clear" w:color="auto" w:fill="CCEEFF"/>
            <w:tcMar>
              <w:top w:w="40" w:type="dxa"/>
              <w:left w:w="20" w:type="dxa"/>
              <w:bottom w:w="40" w:type="dxa"/>
              <w:right w:w="0" w:type="dxa"/>
            </w:tcMar>
            <w:vAlign w:val="bottom"/>
          </w:tcPr>
          <w:p w14:paraId="7B66E33D" w14:textId="77777777" w:rsidR="0040300B" w:rsidRDefault="00BB2D44">
            <w:pPr>
              <w:jc w:val="right"/>
              <w:textAlignment w:val="bottom"/>
            </w:pPr>
            <w:r>
              <w:rPr>
                <w:rFonts w:ascii="Times New Roman" w:eastAsia="宋体" w:hAnsi="Times New Roman"/>
                <w:color w:val="000000"/>
                <w:sz w:val="19"/>
                <w:szCs w:val="19"/>
              </w:rPr>
              <w:t>(2,096)</w:t>
            </w:r>
          </w:p>
        </w:tc>
        <w:tc>
          <w:tcPr>
            <w:tcW w:w="0" w:type="auto"/>
            <w:shd w:val="clear" w:color="auto" w:fill="CCEEFF"/>
            <w:tcMar>
              <w:top w:w="40" w:type="dxa"/>
              <w:left w:w="0" w:type="dxa"/>
              <w:bottom w:w="40" w:type="dxa"/>
              <w:right w:w="20" w:type="dxa"/>
            </w:tcMar>
            <w:vAlign w:val="bottom"/>
          </w:tcPr>
          <w:p w14:paraId="7B66E33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3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40" w14:textId="77777777" w:rsidR="0040300B" w:rsidRDefault="00BB2D44">
            <w:pPr>
              <w:jc w:val="right"/>
              <w:textAlignment w:val="bottom"/>
            </w:pPr>
            <w:r>
              <w:rPr>
                <w:rFonts w:ascii="Times New Roman" w:eastAsia="宋体" w:hAnsi="Times New Roman"/>
                <w:color w:val="000000"/>
                <w:sz w:val="19"/>
                <w:szCs w:val="19"/>
              </w:rPr>
              <w:t>(2,659)</w:t>
            </w:r>
          </w:p>
        </w:tc>
        <w:tc>
          <w:tcPr>
            <w:tcW w:w="0" w:type="auto"/>
            <w:shd w:val="clear" w:color="auto" w:fill="CCEEFF"/>
            <w:tcMar>
              <w:top w:w="40" w:type="dxa"/>
              <w:left w:w="0" w:type="dxa"/>
              <w:bottom w:w="40" w:type="dxa"/>
              <w:right w:w="20" w:type="dxa"/>
            </w:tcMar>
            <w:vAlign w:val="bottom"/>
          </w:tcPr>
          <w:p w14:paraId="7B66E341" w14:textId="77777777" w:rsidR="0040300B" w:rsidRDefault="0040300B">
            <w:pPr>
              <w:jc w:val="right"/>
              <w:rPr>
                <w:rFonts w:ascii="宋体"/>
              </w:rPr>
            </w:pPr>
          </w:p>
        </w:tc>
      </w:tr>
      <w:tr w:rsidR="0040300B" w14:paraId="7B66E349" w14:textId="77777777">
        <w:trPr>
          <w:jc w:val="center"/>
        </w:trPr>
        <w:tc>
          <w:tcPr>
            <w:tcW w:w="0" w:type="auto"/>
            <w:gridSpan w:val="3"/>
            <w:shd w:val="clear" w:color="auto" w:fill="FFFFFF"/>
            <w:tcMar>
              <w:top w:w="40" w:type="dxa"/>
              <w:left w:w="380" w:type="dxa"/>
              <w:bottom w:w="40" w:type="dxa"/>
              <w:right w:w="20" w:type="dxa"/>
            </w:tcMar>
            <w:vAlign w:val="bottom"/>
          </w:tcPr>
          <w:p w14:paraId="7B66E343" w14:textId="77777777" w:rsidR="0040300B" w:rsidRDefault="00BB2D44">
            <w:pPr>
              <w:textAlignment w:val="bottom"/>
            </w:pPr>
            <w:r>
              <w:rPr>
                <w:rFonts w:ascii="Times New Roman" w:eastAsia="宋体" w:hAnsi="Times New Roman"/>
                <w:color w:val="000000"/>
                <w:sz w:val="19"/>
                <w:szCs w:val="19"/>
              </w:rPr>
              <w:t xml:space="preserve">Shares repurchased for tax withholdings on </w:t>
            </w:r>
            <w:r>
              <w:rPr>
                <w:rFonts w:ascii="Times New Roman" w:eastAsia="宋体" w:hAnsi="Times New Roman"/>
                <w:color w:val="000000"/>
                <w:sz w:val="19"/>
                <w:szCs w:val="19"/>
              </w:rPr>
              <w:t>vesting of restricted stock units</w:t>
            </w:r>
          </w:p>
        </w:tc>
        <w:tc>
          <w:tcPr>
            <w:tcW w:w="0" w:type="auto"/>
            <w:gridSpan w:val="2"/>
            <w:shd w:val="clear" w:color="auto" w:fill="FFFFFF"/>
            <w:tcMar>
              <w:top w:w="40" w:type="dxa"/>
              <w:left w:w="20" w:type="dxa"/>
              <w:bottom w:w="40" w:type="dxa"/>
              <w:right w:w="0" w:type="dxa"/>
            </w:tcMar>
            <w:vAlign w:val="bottom"/>
          </w:tcPr>
          <w:p w14:paraId="7B66E344" w14:textId="77777777" w:rsidR="0040300B" w:rsidRDefault="00BB2D44">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7B66E34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4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47" w14:textId="77777777" w:rsidR="0040300B" w:rsidRDefault="00BB2D44">
            <w:pPr>
              <w:jc w:val="right"/>
              <w:textAlignment w:val="bottom"/>
            </w:pPr>
            <w:r>
              <w:rPr>
                <w:rFonts w:ascii="Times New Roman" w:eastAsia="宋体" w:hAnsi="Times New Roman"/>
                <w:color w:val="000000"/>
                <w:sz w:val="19"/>
                <w:szCs w:val="19"/>
              </w:rPr>
              <w:t>(519)</w:t>
            </w:r>
          </w:p>
        </w:tc>
        <w:tc>
          <w:tcPr>
            <w:tcW w:w="0" w:type="auto"/>
            <w:shd w:val="clear" w:color="auto" w:fill="FFFFFF"/>
            <w:tcMar>
              <w:top w:w="40" w:type="dxa"/>
              <w:left w:w="0" w:type="dxa"/>
              <w:bottom w:w="40" w:type="dxa"/>
              <w:right w:w="20" w:type="dxa"/>
            </w:tcMar>
            <w:vAlign w:val="bottom"/>
          </w:tcPr>
          <w:p w14:paraId="7B66E348" w14:textId="77777777" w:rsidR="0040300B" w:rsidRDefault="0040300B">
            <w:pPr>
              <w:jc w:val="right"/>
              <w:rPr>
                <w:rFonts w:ascii="宋体"/>
              </w:rPr>
            </w:pPr>
          </w:p>
        </w:tc>
      </w:tr>
      <w:tr w:rsidR="0040300B" w14:paraId="7B66E350" w14:textId="77777777">
        <w:trPr>
          <w:jc w:val="center"/>
        </w:trPr>
        <w:tc>
          <w:tcPr>
            <w:tcW w:w="0" w:type="auto"/>
            <w:gridSpan w:val="3"/>
            <w:shd w:val="clear" w:color="auto" w:fill="CCEEFF"/>
            <w:tcMar>
              <w:top w:w="40" w:type="dxa"/>
              <w:left w:w="380" w:type="dxa"/>
              <w:bottom w:w="40" w:type="dxa"/>
              <w:right w:w="20" w:type="dxa"/>
            </w:tcMar>
            <w:vAlign w:val="bottom"/>
          </w:tcPr>
          <w:p w14:paraId="7B66E34A" w14:textId="77777777" w:rsidR="0040300B" w:rsidRDefault="00BB2D44">
            <w:pPr>
              <w:textAlignment w:val="bottom"/>
            </w:pPr>
            <w:r>
              <w:rPr>
                <w:rFonts w:ascii="Times New Roman" w:eastAsia="宋体" w:hAnsi="Times New Roman"/>
                <w:color w:val="000000"/>
                <w:sz w:val="19"/>
                <w:szCs w:val="19"/>
              </w:rPr>
              <w:t>Short-term borrowings, original maturities of 90 days or less, net</w:t>
            </w:r>
          </w:p>
        </w:tc>
        <w:tc>
          <w:tcPr>
            <w:tcW w:w="0" w:type="auto"/>
            <w:gridSpan w:val="2"/>
            <w:shd w:val="clear" w:color="auto" w:fill="CCEEFF"/>
            <w:tcMar>
              <w:top w:w="40" w:type="dxa"/>
              <w:left w:w="20" w:type="dxa"/>
              <w:bottom w:w="40" w:type="dxa"/>
              <w:right w:w="0" w:type="dxa"/>
            </w:tcMar>
            <w:vAlign w:val="bottom"/>
          </w:tcPr>
          <w:p w14:paraId="7B66E34B"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B66E34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4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4E" w14:textId="77777777" w:rsidR="0040300B" w:rsidRDefault="00BB2D44">
            <w:pPr>
              <w:jc w:val="right"/>
              <w:textAlignment w:val="bottom"/>
            </w:pPr>
            <w:r>
              <w:rPr>
                <w:rFonts w:ascii="Times New Roman" w:eastAsia="宋体" w:hAnsi="Times New Roman"/>
                <w:color w:val="000000"/>
                <w:sz w:val="19"/>
                <w:szCs w:val="19"/>
              </w:rPr>
              <w:t>(3,470)</w:t>
            </w:r>
          </w:p>
        </w:tc>
        <w:tc>
          <w:tcPr>
            <w:tcW w:w="0" w:type="auto"/>
            <w:shd w:val="clear" w:color="auto" w:fill="CCEEFF"/>
            <w:tcMar>
              <w:top w:w="40" w:type="dxa"/>
              <w:left w:w="0" w:type="dxa"/>
              <w:bottom w:w="40" w:type="dxa"/>
              <w:right w:w="20" w:type="dxa"/>
            </w:tcMar>
            <w:vAlign w:val="bottom"/>
          </w:tcPr>
          <w:p w14:paraId="7B66E34F" w14:textId="77777777" w:rsidR="0040300B" w:rsidRDefault="0040300B">
            <w:pPr>
              <w:jc w:val="right"/>
              <w:rPr>
                <w:rFonts w:ascii="宋体"/>
              </w:rPr>
            </w:pPr>
          </w:p>
        </w:tc>
      </w:tr>
      <w:tr w:rsidR="0040300B" w14:paraId="7B66E357" w14:textId="77777777">
        <w:trPr>
          <w:jc w:val="center"/>
        </w:trPr>
        <w:tc>
          <w:tcPr>
            <w:tcW w:w="0" w:type="auto"/>
            <w:gridSpan w:val="3"/>
            <w:shd w:val="clear" w:color="auto" w:fill="FFFFFF"/>
            <w:tcMar>
              <w:top w:w="40" w:type="dxa"/>
              <w:left w:w="380" w:type="dxa"/>
              <w:bottom w:w="40" w:type="dxa"/>
              <w:right w:w="20" w:type="dxa"/>
            </w:tcMar>
            <w:vAlign w:val="bottom"/>
          </w:tcPr>
          <w:p w14:paraId="7B66E351" w14:textId="77777777" w:rsidR="0040300B" w:rsidRDefault="00BB2D44">
            <w:pPr>
              <w:textAlignment w:val="bottom"/>
            </w:pPr>
            <w:r>
              <w:rPr>
                <w:rFonts w:ascii="Times New Roman" w:eastAsia="宋体" w:hAnsi="Times New Roman"/>
                <w:color w:val="000000"/>
                <w:sz w:val="19"/>
                <w:szCs w:val="19"/>
              </w:rPr>
              <w:t>Repayments of debt</w:t>
            </w:r>
          </w:p>
        </w:tc>
        <w:tc>
          <w:tcPr>
            <w:tcW w:w="0" w:type="auto"/>
            <w:gridSpan w:val="2"/>
            <w:shd w:val="clear" w:color="auto" w:fill="FFFFFF"/>
            <w:tcMar>
              <w:top w:w="40" w:type="dxa"/>
              <w:left w:w="20" w:type="dxa"/>
              <w:bottom w:w="40" w:type="dxa"/>
              <w:right w:w="0" w:type="dxa"/>
            </w:tcMar>
            <w:vAlign w:val="bottom"/>
          </w:tcPr>
          <w:p w14:paraId="7B66E352" w14:textId="77777777" w:rsidR="0040300B" w:rsidRDefault="00BB2D44">
            <w:pPr>
              <w:jc w:val="right"/>
              <w:textAlignment w:val="bottom"/>
            </w:pPr>
            <w:r>
              <w:rPr>
                <w:rFonts w:ascii="Times New Roman" w:eastAsia="宋体" w:hAnsi="Times New Roman"/>
                <w:color w:val="000000"/>
                <w:sz w:val="19"/>
                <w:szCs w:val="19"/>
              </w:rPr>
              <w:t>(3,000)</w:t>
            </w:r>
          </w:p>
        </w:tc>
        <w:tc>
          <w:tcPr>
            <w:tcW w:w="0" w:type="auto"/>
            <w:shd w:val="clear" w:color="auto" w:fill="FFFFFF"/>
            <w:tcMar>
              <w:top w:w="40" w:type="dxa"/>
              <w:left w:w="0" w:type="dxa"/>
              <w:bottom w:w="40" w:type="dxa"/>
              <w:right w:w="20" w:type="dxa"/>
            </w:tcMar>
            <w:vAlign w:val="bottom"/>
          </w:tcPr>
          <w:p w14:paraId="7B66E35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5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55" w14:textId="77777777" w:rsidR="0040300B" w:rsidRDefault="00BB2D44">
            <w:pPr>
              <w:jc w:val="right"/>
              <w:textAlignment w:val="bottom"/>
            </w:pPr>
            <w:r>
              <w:rPr>
                <w:rFonts w:ascii="Times New Roman" w:eastAsia="宋体" w:hAnsi="Times New Roman"/>
                <w:color w:val="000000"/>
                <w:sz w:val="19"/>
                <w:szCs w:val="19"/>
              </w:rPr>
              <w:t>(5,220)</w:t>
            </w:r>
          </w:p>
        </w:tc>
        <w:tc>
          <w:tcPr>
            <w:tcW w:w="0" w:type="auto"/>
            <w:shd w:val="clear" w:color="auto" w:fill="FFFFFF"/>
            <w:tcMar>
              <w:top w:w="40" w:type="dxa"/>
              <w:left w:w="0" w:type="dxa"/>
              <w:bottom w:w="40" w:type="dxa"/>
              <w:right w:w="20" w:type="dxa"/>
            </w:tcMar>
            <w:vAlign w:val="bottom"/>
          </w:tcPr>
          <w:p w14:paraId="7B66E356" w14:textId="77777777" w:rsidR="0040300B" w:rsidRDefault="0040300B">
            <w:pPr>
              <w:jc w:val="right"/>
              <w:rPr>
                <w:rFonts w:ascii="宋体"/>
              </w:rPr>
            </w:pPr>
          </w:p>
        </w:tc>
      </w:tr>
      <w:tr w:rsidR="0040300B" w14:paraId="7B66E35E" w14:textId="77777777">
        <w:trPr>
          <w:jc w:val="center"/>
        </w:trPr>
        <w:tc>
          <w:tcPr>
            <w:tcW w:w="0" w:type="auto"/>
            <w:gridSpan w:val="3"/>
            <w:shd w:val="clear" w:color="auto" w:fill="CCEEFF"/>
            <w:tcMar>
              <w:top w:w="40" w:type="dxa"/>
              <w:left w:w="380" w:type="dxa"/>
              <w:bottom w:w="40" w:type="dxa"/>
              <w:right w:w="20" w:type="dxa"/>
            </w:tcMar>
            <w:vAlign w:val="bottom"/>
          </w:tcPr>
          <w:p w14:paraId="7B66E358" w14:textId="77777777" w:rsidR="0040300B" w:rsidRDefault="00BB2D44">
            <w:pPr>
              <w:textAlignment w:val="bottom"/>
            </w:pPr>
            <w:r>
              <w:rPr>
                <w:rFonts w:ascii="Times New Roman" w:eastAsia="宋体" w:hAnsi="Times New Roman"/>
                <w:color w:val="000000"/>
                <w:sz w:val="19"/>
                <w:szCs w:val="19"/>
              </w:rPr>
              <w:t>Dividends paid</w:t>
            </w:r>
          </w:p>
        </w:tc>
        <w:tc>
          <w:tcPr>
            <w:tcW w:w="0" w:type="auto"/>
            <w:gridSpan w:val="2"/>
            <w:shd w:val="clear" w:color="auto" w:fill="CCEEFF"/>
            <w:tcMar>
              <w:top w:w="40" w:type="dxa"/>
              <w:left w:w="20" w:type="dxa"/>
              <w:bottom w:w="40" w:type="dxa"/>
              <w:right w:w="0" w:type="dxa"/>
            </w:tcMar>
            <w:vAlign w:val="bottom"/>
          </w:tcPr>
          <w:p w14:paraId="7B66E359" w14:textId="77777777" w:rsidR="0040300B" w:rsidRDefault="00BB2D44">
            <w:pPr>
              <w:jc w:val="right"/>
              <w:textAlignment w:val="bottom"/>
            </w:pPr>
            <w:r>
              <w:rPr>
                <w:rFonts w:ascii="Times New Roman" w:eastAsia="宋体" w:hAnsi="Times New Roman"/>
                <w:color w:val="000000"/>
                <w:sz w:val="19"/>
                <w:szCs w:val="19"/>
              </w:rPr>
              <w:t>(4,601)</w:t>
            </w:r>
          </w:p>
        </w:tc>
        <w:tc>
          <w:tcPr>
            <w:tcW w:w="0" w:type="auto"/>
            <w:shd w:val="clear" w:color="auto" w:fill="CCEEFF"/>
            <w:tcMar>
              <w:top w:w="40" w:type="dxa"/>
              <w:left w:w="0" w:type="dxa"/>
              <w:bottom w:w="40" w:type="dxa"/>
              <w:right w:w="20" w:type="dxa"/>
            </w:tcMar>
            <w:vAlign w:val="bottom"/>
          </w:tcPr>
          <w:p w14:paraId="7B66E35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5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5C" w14:textId="77777777" w:rsidR="0040300B" w:rsidRDefault="00BB2D44">
            <w:pPr>
              <w:jc w:val="right"/>
              <w:textAlignment w:val="bottom"/>
            </w:pPr>
            <w:r>
              <w:rPr>
                <w:rFonts w:ascii="Times New Roman" w:eastAsia="宋体" w:hAnsi="Times New Roman"/>
                <w:color w:val="000000"/>
                <w:sz w:val="19"/>
                <w:szCs w:val="19"/>
              </w:rPr>
              <w:t>(4,491)</w:t>
            </w:r>
          </w:p>
        </w:tc>
        <w:tc>
          <w:tcPr>
            <w:tcW w:w="0" w:type="auto"/>
            <w:shd w:val="clear" w:color="auto" w:fill="CCEEFF"/>
            <w:tcMar>
              <w:top w:w="40" w:type="dxa"/>
              <w:left w:w="0" w:type="dxa"/>
              <w:bottom w:w="40" w:type="dxa"/>
              <w:right w:w="20" w:type="dxa"/>
            </w:tcMar>
            <w:vAlign w:val="bottom"/>
          </w:tcPr>
          <w:p w14:paraId="7B66E35D" w14:textId="77777777" w:rsidR="0040300B" w:rsidRDefault="0040300B">
            <w:pPr>
              <w:jc w:val="right"/>
              <w:rPr>
                <w:rFonts w:ascii="宋体"/>
              </w:rPr>
            </w:pPr>
          </w:p>
        </w:tc>
      </w:tr>
      <w:tr w:rsidR="0040300B" w14:paraId="7B66E365" w14:textId="77777777">
        <w:trPr>
          <w:jc w:val="center"/>
        </w:trPr>
        <w:tc>
          <w:tcPr>
            <w:tcW w:w="0" w:type="auto"/>
            <w:gridSpan w:val="3"/>
            <w:shd w:val="clear" w:color="auto" w:fill="FFFFFF"/>
            <w:tcMar>
              <w:top w:w="40" w:type="dxa"/>
              <w:left w:w="380" w:type="dxa"/>
              <w:bottom w:w="40" w:type="dxa"/>
              <w:right w:w="20" w:type="dxa"/>
            </w:tcMar>
            <w:vAlign w:val="bottom"/>
          </w:tcPr>
          <w:p w14:paraId="7B66E35F" w14:textId="77777777" w:rsidR="0040300B" w:rsidRDefault="00BB2D44">
            <w:pPr>
              <w:textAlignment w:val="bottom"/>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7B66E360" w14:textId="77777777" w:rsidR="0040300B" w:rsidRDefault="00BB2D44">
            <w:pPr>
              <w:jc w:val="right"/>
              <w:textAlignment w:val="bottom"/>
            </w:pPr>
            <w:r>
              <w:rPr>
                <w:rFonts w:ascii="Times New Roman" w:eastAsia="宋体" w:hAnsi="Times New Roman"/>
                <w:color w:val="000000"/>
                <w:sz w:val="19"/>
                <w:szCs w:val="19"/>
              </w:rPr>
              <w:t>39 </w:t>
            </w:r>
          </w:p>
        </w:tc>
        <w:tc>
          <w:tcPr>
            <w:tcW w:w="0" w:type="auto"/>
            <w:shd w:val="clear" w:color="auto" w:fill="FFFFFF"/>
            <w:tcMar>
              <w:top w:w="40" w:type="dxa"/>
              <w:left w:w="0" w:type="dxa"/>
              <w:bottom w:w="40" w:type="dxa"/>
              <w:right w:w="20" w:type="dxa"/>
            </w:tcMar>
            <w:vAlign w:val="bottom"/>
          </w:tcPr>
          <w:p w14:paraId="7B66E36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6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63" w14:textId="77777777" w:rsidR="0040300B" w:rsidRDefault="00BB2D44">
            <w:pPr>
              <w:jc w:val="right"/>
              <w:textAlignment w:val="bottom"/>
            </w:pPr>
            <w:r>
              <w:rPr>
                <w:rFonts w:ascii="Times New Roman" w:eastAsia="宋体" w:hAnsi="Times New Roman"/>
                <w:color w:val="000000"/>
                <w:sz w:val="19"/>
                <w:szCs w:val="19"/>
              </w:rPr>
              <w:t>(3)</w:t>
            </w:r>
          </w:p>
        </w:tc>
        <w:tc>
          <w:tcPr>
            <w:tcW w:w="0" w:type="auto"/>
            <w:shd w:val="clear" w:color="auto" w:fill="FFFFFF"/>
            <w:tcMar>
              <w:top w:w="40" w:type="dxa"/>
              <w:left w:w="0" w:type="dxa"/>
              <w:bottom w:w="40" w:type="dxa"/>
              <w:right w:w="20" w:type="dxa"/>
            </w:tcMar>
            <w:vAlign w:val="bottom"/>
          </w:tcPr>
          <w:p w14:paraId="7B66E364" w14:textId="77777777" w:rsidR="0040300B" w:rsidRDefault="0040300B">
            <w:pPr>
              <w:jc w:val="right"/>
              <w:rPr>
                <w:rFonts w:ascii="宋体"/>
              </w:rPr>
            </w:pPr>
          </w:p>
        </w:tc>
      </w:tr>
      <w:tr w:rsidR="0040300B" w14:paraId="7B66E36C" w14:textId="77777777">
        <w:trPr>
          <w:jc w:val="center"/>
        </w:trPr>
        <w:tc>
          <w:tcPr>
            <w:tcW w:w="0" w:type="auto"/>
            <w:gridSpan w:val="3"/>
            <w:shd w:val="clear" w:color="auto" w:fill="CCEEFF"/>
            <w:tcMar>
              <w:top w:w="40" w:type="dxa"/>
              <w:left w:w="1595" w:type="dxa"/>
              <w:bottom w:w="40" w:type="dxa"/>
              <w:right w:w="20" w:type="dxa"/>
            </w:tcMar>
            <w:vAlign w:val="bottom"/>
          </w:tcPr>
          <w:p w14:paraId="7B66E366" w14:textId="77777777" w:rsidR="0040300B" w:rsidRDefault="00BB2D44">
            <w:pPr>
              <w:textAlignment w:val="bottom"/>
            </w:pPr>
            <w:r>
              <w:rPr>
                <w:rFonts w:ascii="Times New Roman" w:eastAsia="宋体" w:hAnsi="Times New Roman"/>
                <w:color w:val="000000"/>
                <w:sz w:val="19"/>
                <w:szCs w:val="19"/>
              </w:rPr>
              <w:t xml:space="preserve">Net cash used in </w:t>
            </w:r>
            <w:r>
              <w:rPr>
                <w:rFonts w:ascii="Times New Roman" w:eastAsia="宋体" w:hAnsi="Times New Roman"/>
                <w:color w:val="000000"/>
                <w:sz w:val="19"/>
                <w:szCs w:val="19"/>
              </w:rPr>
              <w:t>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367" w14:textId="77777777" w:rsidR="0040300B" w:rsidRDefault="00BB2D44">
            <w:pPr>
              <w:jc w:val="right"/>
              <w:textAlignment w:val="bottom"/>
            </w:pPr>
            <w:r>
              <w:rPr>
                <w:rFonts w:ascii="Times New Roman" w:eastAsia="宋体" w:hAnsi="Times New Roman"/>
                <w:color w:val="000000"/>
                <w:sz w:val="19"/>
                <w:szCs w:val="19"/>
              </w:rPr>
              <w:t>(9,770)</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6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6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36A" w14:textId="77777777" w:rsidR="0040300B" w:rsidRDefault="00BB2D44">
            <w:pPr>
              <w:jc w:val="right"/>
              <w:textAlignment w:val="bottom"/>
            </w:pPr>
            <w:r>
              <w:rPr>
                <w:rFonts w:ascii="Times New Roman" w:eastAsia="宋体" w:hAnsi="Times New Roman"/>
                <w:color w:val="000000"/>
                <w:sz w:val="19"/>
                <w:szCs w:val="19"/>
              </w:rPr>
              <w:t>(16,027)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6B" w14:textId="77777777" w:rsidR="0040300B" w:rsidRDefault="0040300B">
            <w:pPr>
              <w:jc w:val="right"/>
              <w:rPr>
                <w:rFonts w:ascii="宋体"/>
              </w:rPr>
            </w:pPr>
          </w:p>
        </w:tc>
      </w:tr>
      <w:tr w:rsidR="0040300B" w14:paraId="7B66E373" w14:textId="77777777">
        <w:trPr>
          <w:jc w:val="center"/>
        </w:trPr>
        <w:tc>
          <w:tcPr>
            <w:tcW w:w="0" w:type="auto"/>
            <w:gridSpan w:val="3"/>
            <w:shd w:val="clear" w:color="auto" w:fill="FFFFFF"/>
            <w:tcMar>
              <w:top w:w="40" w:type="dxa"/>
              <w:left w:w="20" w:type="dxa"/>
              <w:bottom w:w="40" w:type="dxa"/>
              <w:right w:w="20" w:type="dxa"/>
            </w:tcMar>
            <w:vAlign w:val="bottom"/>
          </w:tcPr>
          <w:p w14:paraId="7B66E36D" w14:textId="77777777" w:rsidR="0040300B" w:rsidRDefault="00BB2D44">
            <w:pPr>
              <w:textAlignment w:val="bottom"/>
            </w:pPr>
            <w:r>
              <w:rPr>
                <w:rFonts w:ascii="Times New Roman" w:eastAsia="宋体" w:hAnsi="Times New Roman"/>
                <w:color w:val="000000"/>
                <w:sz w:val="19"/>
                <w:szCs w:val="19"/>
              </w:rPr>
              <w:t>Net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36E" w14:textId="77777777" w:rsidR="0040300B" w:rsidRDefault="00BB2D44">
            <w:pPr>
              <w:jc w:val="right"/>
              <w:textAlignment w:val="bottom"/>
            </w:pPr>
            <w:r>
              <w:rPr>
                <w:rFonts w:ascii="Times New Roman" w:eastAsia="宋体" w:hAnsi="Times New Roman"/>
                <w:color w:val="000000"/>
                <w:sz w:val="19"/>
                <w:szCs w:val="19"/>
              </w:rPr>
              <w:t>(4,453)</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6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70"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371" w14:textId="77777777" w:rsidR="0040300B" w:rsidRDefault="00BB2D44">
            <w:pPr>
              <w:jc w:val="right"/>
              <w:textAlignment w:val="bottom"/>
            </w:pPr>
            <w:r>
              <w:rPr>
                <w:rFonts w:ascii="Times New Roman" w:eastAsia="宋体" w:hAnsi="Times New Roman"/>
                <w:color w:val="000000"/>
                <w:sz w:val="19"/>
                <w:szCs w:val="19"/>
              </w:rPr>
              <w:t>(1,402)</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72" w14:textId="77777777" w:rsidR="0040300B" w:rsidRDefault="0040300B">
            <w:pPr>
              <w:jc w:val="right"/>
              <w:rPr>
                <w:rFonts w:ascii="宋体"/>
              </w:rPr>
            </w:pPr>
          </w:p>
        </w:tc>
      </w:tr>
      <w:tr w:rsidR="0040300B" w14:paraId="7B66E37A" w14:textId="77777777">
        <w:trPr>
          <w:jc w:val="center"/>
        </w:trPr>
        <w:tc>
          <w:tcPr>
            <w:tcW w:w="0" w:type="auto"/>
            <w:gridSpan w:val="3"/>
            <w:shd w:val="clear" w:color="auto" w:fill="CCEEFF"/>
            <w:tcMar>
              <w:top w:w="40" w:type="dxa"/>
              <w:left w:w="20" w:type="dxa"/>
              <w:bottom w:w="40" w:type="dxa"/>
              <w:right w:w="20" w:type="dxa"/>
            </w:tcMar>
            <w:vAlign w:val="bottom"/>
          </w:tcPr>
          <w:p w14:paraId="7B66E374" w14:textId="77777777" w:rsidR="0040300B" w:rsidRDefault="00BB2D44">
            <w:pPr>
              <w:textAlignment w:val="bottom"/>
            </w:pPr>
            <w:r>
              <w:rPr>
                <w:rFonts w:ascii="Times New Roman" w:eastAsia="宋体" w:hAnsi="Times New Roman"/>
                <w:color w:val="000000"/>
                <w:sz w:val="19"/>
                <w:szCs w:val="19"/>
              </w:rPr>
              <w:t>Cash, cash equivalents, and restricted cash, beginning of period</w:t>
            </w:r>
          </w:p>
        </w:tc>
        <w:tc>
          <w:tcPr>
            <w:tcW w:w="0" w:type="auto"/>
            <w:gridSpan w:val="2"/>
            <w:shd w:val="clear" w:color="auto" w:fill="CCEEFF"/>
            <w:tcMar>
              <w:top w:w="40" w:type="dxa"/>
              <w:left w:w="20" w:type="dxa"/>
              <w:bottom w:w="40" w:type="dxa"/>
              <w:right w:w="0" w:type="dxa"/>
            </w:tcMar>
            <w:vAlign w:val="bottom"/>
          </w:tcPr>
          <w:p w14:paraId="7B66E375" w14:textId="77777777" w:rsidR="0040300B" w:rsidRDefault="00BB2D44">
            <w:pPr>
              <w:jc w:val="right"/>
              <w:textAlignment w:val="bottom"/>
            </w:pPr>
            <w:r>
              <w:rPr>
                <w:rFonts w:ascii="Times New Roman" w:eastAsia="宋体" w:hAnsi="Times New Roman"/>
                <w:color w:val="000000"/>
                <w:sz w:val="19"/>
                <w:szCs w:val="19"/>
              </w:rPr>
              <w:t>11,812 </w:t>
            </w:r>
          </w:p>
        </w:tc>
        <w:tc>
          <w:tcPr>
            <w:tcW w:w="0" w:type="auto"/>
            <w:shd w:val="clear" w:color="auto" w:fill="CCEEFF"/>
            <w:tcMar>
              <w:top w:w="40" w:type="dxa"/>
              <w:left w:w="0" w:type="dxa"/>
              <w:bottom w:w="40" w:type="dxa"/>
              <w:right w:w="20" w:type="dxa"/>
            </w:tcMar>
            <w:vAlign w:val="bottom"/>
          </w:tcPr>
          <w:p w14:paraId="7B66E37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7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78" w14:textId="77777777" w:rsidR="0040300B" w:rsidRDefault="00BB2D44">
            <w:pPr>
              <w:jc w:val="right"/>
              <w:textAlignment w:val="bottom"/>
            </w:pPr>
            <w:r>
              <w:rPr>
                <w:rFonts w:ascii="Times New Roman" w:eastAsia="宋体" w:hAnsi="Times New Roman"/>
                <w:color w:val="000000"/>
                <w:sz w:val="19"/>
                <w:szCs w:val="19"/>
              </w:rPr>
              <w:t>11,772 </w:t>
            </w:r>
          </w:p>
        </w:tc>
        <w:tc>
          <w:tcPr>
            <w:tcW w:w="0" w:type="auto"/>
            <w:shd w:val="clear" w:color="auto" w:fill="CCEEFF"/>
            <w:tcMar>
              <w:top w:w="40" w:type="dxa"/>
              <w:left w:w="0" w:type="dxa"/>
              <w:bottom w:w="40" w:type="dxa"/>
              <w:right w:w="20" w:type="dxa"/>
            </w:tcMar>
            <w:vAlign w:val="bottom"/>
          </w:tcPr>
          <w:p w14:paraId="7B66E379" w14:textId="77777777" w:rsidR="0040300B" w:rsidRDefault="0040300B">
            <w:pPr>
              <w:jc w:val="right"/>
              <w:rPr>
                <w:rFonts w:ascii="宋体"/>
              </w:rPr>
            </w:pPr>
          </w:p>
        </w:tc>
      </w:tr>
      <w:tr w:rsidR="0040300B" w14:paraId="7B66E383" w14:textId="77777777">
        <w:trPr>
          <w:jc w:val="center"/>
        </w:trPr>
        <w:tc>
          <w:tcPr>
            <w:tcW w:w="0" w:type="auto"/>
            <w:gridSpan w:val="3"/>
            <w:shd w:val="clear" w:color="auto" w:fill="FFFFFF"/>
            <w:tcMar>
              <w:top w:w="40" w:type="dxa"/>
              <w:left w:w="20" w:type="dxa"/>
              <w:bottom w:w="40" w:type="dxa"/>
              <w:right w:w="20" w:type="dxa"/>
            </w:tcMar>
            <w:vAlign w:val="bottom"/>
          </w:tcPr>
          <w:p w14:paraId="7B66E37B" w14:textId="77777777" w:rsidR="0040300B" w:rsidRDefault="00BB2D44">
            <w:pPr>
              <w:textAlignment w:val="bottom"/>
            </w:pPr>
            <w:r>
              <w:rPr>
                <w:rFonts w:ascii="Times New Roman" w:eastAsia="宋体" w:hAnsi="Times New Roman"/>
                <w:color w:val="000000"/>
                <w:sz w:val="19"/>
                <w:szCs w:val="19"/>
              </w:rPr>
              <w:t xml:space="preserve">Cash, cash equivalents, and restricted cash, </w:t>
            </w:r>
            <w:r>
              <w:rPr>
                <w:rFonts w:ascii="Times New Roman" w:eastAsia="宋体" w:hAnsi="Times New Roman"/>
                <w:color w:val="000000"/>
                <w:sz w:val="19"/>
                <w:szCs w:val="19"/>
              </w:rPr>
              <w:t>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B66E37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37D" w14:textId="77777777" w:rsidR="0040300B" w:rsidRDefault="00BB2D44">
            <w:pPr>
              <w:jc w:val="right"/>
              <w:textAlignment w:val="bottom"/>
            </w:pPr>
            <w:r>
              <w:rPr>
                <w:rFonts w:ascii="Times New Roman" w:eastAsia="宋体" w:hAnsi="Times New Roman"/>
                <w:color w:val="000000"/>
                <w:sz w:val="19"/>
                <w:szCs w:val="19"/>
              </w:rPr>
              <w:t>7,359 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7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7F"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38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381" w14:textId="77777777" w:rsidR="0040300B" w:rsidRDefault="00BB2D44">
            <w:pPr>
              <w:jc w:val="right"/>
              <w:textAlignment w:val="bottom"/>
            </w:pPr>
            <w:r>
              <w:rPr>
                <w:rFonts w:ascii="Times New Roman" w:eastAsia="宋体" w:hAnsi="Times New Roman"/>
                <w:color w:val="000000"/>
                <w:sz w:val="19"/>
                <w:szCs w:val="19"/>
              </w:rPr>
              <w:t>10,370 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382" w14:textId="77777777" w:rsidR="0040300B" w:rsidRDefault="0040300B">
            <w:pPr>
              <w:jc w:val="right"/>
              <w:rPr>
                <w:rFonts w:ascii="宋体"/>
              </w:rPr>
            </w:pPr>
          </w:p>
        </w:tc>
      </w:tr>
      <w:tr w:rsidR="0040300B" w14:paraId="7B66E388" w14:textId="77777777">
        <w:trPr>
          <w:trHeight w:val="60"/>
          <w:jc w:val="center"/>
        </w:trPr>
        <w:tc>
          <w:tcPr>
            <w:tcW w:w="0" w:type="auto"/>
            <w:gridSpan w:val="3"/>
            <w:shd w:val="clear" w:color="auto" w:fill="CCEEFF"/>
            <w:tcMar>
              <w:top w:w="0" w:type="dxa"/>
              <w:left w:w="20" w:type="dxa"/>
              <w:bottom w:w="0" w:type="dxa"/>
              <w:right w:w="20" w:type="dxa"/>
            </w:tcMar>
          </w:tcPr>
          <w:p w14:paraId="7B66E384"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38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86"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387" w14:textId="77777777" w:rsidR="0040300B" w:rsidRDefault="0040300B">
            <w:pPr>
              <w:rPr>
                <w:rFonts w:ascii="宋体"/>
              </w:rPr>
            </w:pPr>
          </w:p>
        </w:tc>
      </w:tr>
      <w:tr w:rsidR="0040300B" w14:paraId="7B66E38D" w14:textId="77777777">
        <w:trPr>
          <w:jc w:val="center"/>
        </w:trPr>
        <w:tc>
          <w:tcPr>
            <w:tcW w:w="0" w:type="auto"/>
            <w:gridSpan w:val="3"/>
            <w:shd w:val="clear" w:color="auto" w:fill="FFFFFF"/>
            <w:tcMar>
              <w:top w:w="40" w:type="dxa"/>
              <w:left w:w="20" w:type="dxa"/>
              <w:bottom w:w="40" w:type="dxa"/>
              <w:right w:w="20" w:type="dxa"/>
            </w:tcMar>
            <w:vAlign w:val="bottom"/>
          </w:tcPr>
          <w:p w14:paraId="7B66E389" w14:textId="77777777" w:rsidR="0040300B" w:rsidRDefault="00BB2D44">
            <w:pPr>
              <w:textAlignment w:val="bottom"/>
            </w:pPr>
            <w:r>
              <w:rPr>
                <w:rFonts w:ascii="Times New Roman" w:eastAsia="宋体" w:hAnsi="Times New Roman"/>
                <w:color w:val="000000"/>
                <w:sz w:val="19"/>
                <w:szCs w:val="19"/>
              </w:rPr>
              <w:t>Supplemental cash flow information:</w:t>
            </w:r>
          </w:p>
        </w:tc>
        <w:tc>
          <w:tcPr>
            <w:tcW w:w="0" w:type="auto"/>
            <w:gridSpan w:val="3"/>
            <w:shd w:val="clear" w:color="auto" w:fill="FFFFFF"/>
            <w:tcMar>
              <w:top w:w="0" w:type="dxa"/>
              <w:left w:w="20" w:type="dxa"/>
              <w:bottom w:w="0" w:type="dxa"/>
              <w:right w:w="20" w:type="dxa"/>
            </w:tcMar>
          </w:tcPr>
          <w:p w14:paraId="7B66E38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8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8C" w14:textId="77777777" w:rsidR="0040300B" w:rsidRDefault="0040300B">
            <w:pPr>
              <w:rPr>
                <w:rFonts w:ascii="宋体"/>
              </w:rPr>
            </w:pPr>
          </w:p>
        </w:tc>
      </w:tr>
      <w:tr w:rsidR="0040300B" w14:paraId="7B66E396" w14:textId="77777777">
        <w:trPr>
          <w:jc w:val="center"/>
        </w:trPr>
        <w:tc>
          <w:tcPr>
            <w:tcW w:w="0" w:type="auto"/>
            <w:gridSpan w:val="3"/>
            <w:shd w:val="clear" w:color="auto" w:fill="CCEEFF"/>
            <w:tcMar>
              <w:top w:w="40" w:type="dxa"/>
              <w:left w:w="20" w:type="dxa"/>
              <w:bottom w:w="40" w:type="dxa"/>
              <w:right w:w="20" w:type="dxa"/>
            </w:tcMar>
            <w:vAlign w:val="bottom"/>
          </w:tcPr>
          <w:p w14:paraId="7B66E38E" w14:textId="77777777" w:rsidR="0040300B" w:rsidRDefault="00BB2D44">
            <w:pPr>
              <w:textAlignment w:val="bottom"/>
            </w:pPr>
            <w:r>
              <w:rPr>
                <w:rFonts w:ascii="Times New Roman" w:eastAsia="宋体" w:hAnsi="Times New Roman"/>
                <w:color w:val="000000"/>
                <w:sz w:val="19"/>
                <w:szCs w:val="19"/>
              </w:rPr>
              <w:t>Cash paid for interest</w:t>
            </w:r>
          </w:p>
        </w:tc>
        <w:tc>
          <w:tcPr>
            <w:tcW w:w="0" w:type="auto"/>
            <w:shd w:val="clear" w:color="auto" w:fill="CCEEFF"/>
            <w:tcMar>
              <w:top w:w="40" w:type="dxa"/>
              <w:left w:w="20" w:type="dxa"/>
              <w:bottom w:w="40" w:type="dxa"/>
              <w:right w:w="0" w:type="dxa"/>
            </w:tcMar>
            <w:vAlign w:val="bottom"/>
          </w:tcPr>
          <w:p w14:paraId="7B66E38F"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E390" w14:textId="77777777" w:rsidR="0040300B" w:rsidRDefault="00BB2D44">
            <w:pPr>
              <w:jc w:val="right"/>
              <w:textAlignment w:val="bottom"/>
            </w:pPr>
            <w:r>
              <w:rPr>
                <w:rFonts w:ascii="Times New Roman" w:eastAsia="宋体" w:hAnsi="Times New Roman"/>
                <w:color w:val="000000"/>
                <w:sz w:val="19"/>
                <w:szCs w:val="19"/>
              </w:rPr>
              <w:t>377 </w:t>
            </w:r>
          </w:p>
        </w:tc>
        <w:tc>
          <w:tcPr>
            <w:tcW w:w="0" w:type="auto"/>
            <w:shd w:val="clear" w:color="auto" w:fill="CCEEFF"/>
            <w:tcMar>
              <w:top w:w="40" w:type="dxa"/>
              <w:left w:w="0" w:type="dxa"/>
              <w:bottom w:w="40" w:type="dxa"/>
              <w:right w:w="20" w:type="dxa"/>
            </w:tcMar>
            <w:vAlign w:val="bottom"/>
          </w:tcPr>
          <w:p w14:paraId="7B66E39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9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393"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6E394" w14:textId="77777777" w:rsidR="0040300B" w:rsidRDefault="00BB2D44">
            <w:pPr>
              <w:jc w:val="right"/>
              <w:textAlignment w:val="bottom"/>
            </w:pPr>
            <w:r>
              <w:rPr>
                <w:rFonts w:ascii="Times New Roman" w:eastAsia="宋体" w:hAnsi="Times New Roman"/>
                <w:color w:val="000000"/>
                <w:sz w:val="19"/>
                <w:szCs w:val="19"/>
              </w:rPr>
              <w:t>519 </w:t>
            </w:r>
          </w:p>
        </w:tc>
        <w:tc>
          <w:tcPr>
            <w:tcW w:w="0" w:type="auto"/>
            <w:shd w:val="clear" w:color="auto" w:fill="CCEEFF"/>
            <w:tcMar>
              <w:top w:w="40" w:type="dxa"/>
              <w:left w:w="0" w:type="dxa"/>
              <w:bottom w:w="40" w:type="dxa"/>
              <w:right w:w="20" w:type="dxa"/>
            </w:tcMar>
            <w:vAlign w:val="bottom"/>
          </w:tcPr>
          <w:p w14:paraId="7B66E395" w14:textId="77777777" w:rsidR="0040300B" w:rsidRDefault="0040300B">
            <w:pPr>
              <w:jc w:val="right"/>
              <w:rPr>
                <w:rFonts w:ascii="宋体"/>
              </w:rPr>
            </w:pPr>
          </w:p>
        </w:tc>
      </w:tr>
      <w:tr w:rsidR="0040300B" w14:paraId="7B66E39F" w14:textId="77777777">
        <w:trPr>
          <w:jc w:val="center"/>
        </w:trPr>
        <w:tc>
          <w:tcPr>
            <w:tcW w:w="0" w:type="auto"/>
            <w:gridSpan w:val="3"/>
            <w:shd w:val="clear" w:color="auto" w:fill="FFFFFF"/>
            <w:tcMar>
              <w:top w:w="40" w:type="dxa"/>
              <w:left w:w="20" w:type="dxa"/>
              <w:bottom w:w="40" w:type="dxa"/>
              <w:right w:w="20" w:type="dxa"/>
            </w:tcMar>
            <w:vAlign w:val="bottom"/>
          </w:tcPr>
          <w:p w14:paraId="7B66E397" w14:textId="77777777" w:rsidR="0040300B" w:rsidRDefault="00BB2D44">
            <w:pPr>
              <w:textAlignment w:val="bottom"/>
            </w:pPr>
            <w:r>
              <w:rPr>
                <w:rFonts w:ascii="Times New Roman" w:eastAsia="宋体" w:hAnsi="Times New Roman"/>
                <w:color w:val="000000"/>
                <w:sz w:val="19"/>
                <w:szCs w:val="19"/>
              </w:rPr>
              <w:t>Cash paid for income taxes, net</w:t>
            </w:r>
          </w:p>
        </w:tc>
        <w:tc>
          <w:tcPr>
            <w:tcW w:w="0" w:type="auto"/>
            <w:shd w:val="clear" w:color="auto" w:fill="FFFFFF"/>
            <w:tcMar>
              <w:top w:w="40" w:type="dxa"/>
              <w:left w:w="20" w:type="dxa"/>
              <w:bottom w:w="40" w:type="dxa"/>
              <w:right w:w="0" w:type="dxa"/>
            </w:tcMar>
            <w:vAlign w:val="bottom"/>
          </w:tcPr>
          <w:p w14:paraId="7B66E39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6E399" w14:textId="77777777" w:rsidR="0040300B" w:rsidRDefault="00BB2D44">
            <w:pPr>
              <w:jc w:val="right"/>
              <w:textAlignment w:val="bottom"/>
            </w:pPr>
            <w:r>
              <w:rPr>
                <w:rFonts w:ascii="Times New Roman" w:eastAsia="宋体" w:hAnsi="Times New Roman"/>
                <w:color w:val="000000"/>
                <w:sz w:val="19"/>
                <w:szCs w:val="19"/>
              </w:rPr>
              <w:t>2,862 </w:t>
            </w:r>
          </w:p>
        </w:tc>
        <w:tc>
          <w:tcPr>
            <w:tcW w:w="0" w:type="auto"/>
            <w:shd w:val="clear" w:color="auto" w:fill="FFFFFF"/>
            <w:tcMar>
              <w:top w:w="40" w:type="dxa"/>
              <w:left w:w="0" w:type="dxa"/>
              <w:bottom w:w="40" w:type="dxa"/>
              <w:right w:w="20" w:type="dxa"/>
            </w:tcMar>
            <w:vAlign w:val="bottom"/>
          </w:tcPr>
          <w:p w14:paraId="7B66E39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9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39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6E39D" w14:textId="77777777" w:rsidR="0040300B" w:rsidRDefault="00BB2D44">
            <w:pPr>
              <w:jc w:val="right"/>
              <w:textAlignment w:val="bottom"/>
            </w:pPr>
            <w:r>
              <w:rPr>
                <w:rFonts w:ascii="Times New Roman" w:eastAsia="宋体" w:hAnsi="Times New Roman"/>
                <w:color w:val="000000"/>
                <w:sz w:val="19"/>
                <w:szCs w:val="19"/>
              </w:rPr>
              <w:t>2,683 </w:t>
            </w:r>
          </w:p>
        </w:tc>
        <w:tc>
          <w:tcPr>
            <w:tcW w:w="0" w:type="auto"/>
            <w:shd w:val="clear" w:color="auto" w:fill="FFFFFF"/>
            <w:tcMar>
              <w:top w:w="40" w:type="dxa"/>
              <w:left w:w="0" w:type="dxa"/>
              <w:bottom w:w="40" w:type="dxa"/>
              <w:right w:w="20" w:type="dxa"/>
            </w:tcMar>
            <w:vAlign w:val="bottom"/>
          </w:tcPr>
          <w:p w14:paraId="7B66E39E" w14:textId="77777777" w:rsidR="0040300B" w:rsidRDefault="0040300B">
            <w:pPr>
              <w:jc w:val="right"/>
              <w:rPr>
                <w:rFonts w:ascii="宋体"/>
              </w:rPr>
            </w:pPr>
          </w:p>
        </w:tc>
      </w:tr>
    </w:tbl>
    <w:p w14:paraId="7B66E3A0" w14:textId="77777777" w:rsidR="0040300B" w:rsidRDefault="0040300B">
      <w:pPr>
        <w:spacing w:before="120"/>
        <w:jc w:val="both"/>
      </w:pPr>
    </w:p>
    <w:p w14:paraId="7B66E3A1" w14:textId="77777777" w:rsidR="0040300B" w:rsidRDefault="0040300B">
      <w:pPr>
        <w:jc w:val="both"/>
      </w:pPr>
    </w:p>
    <w:p w14:paraId="7B66E3A2" w14:textId="77777777" w:rsidR="0040300B" w:rsidRDefault="00BB2D44">
      <w:pPr>
        <w:jc w:val="center"/>
      </w:pPr>
      <w:r>
        <w:rPr>
          <w:rFonts w:ascii="Times New Roman" w:eastAsia="宋体" w:hAnsi="Times New Roman"/>
          <w:color w:val="000000"/>
          <w:sz w:val="19"/>
          <w:szCs w:val="19"/>
        </w:rPr>
        <w:t>See Notes to Consolidated Financial Statements.</w:t>
      </w:r>
    </w:p>
    <w:p w14:paraId="7B66E3A3" w14:textId="77777777" w:rsidR="0040300B" w:rsidRDefault="00BB2D44">
      <w:pPr>
        <w:jc w:val="center"/>
      </w:pPr>
      <w:r>
        <w:rPr>
          <w:rFonts w:ascii="Times New Roman" w:eastAsia="宋体" w:hAnsi="Times New Roman"/>
          <w:color w:val="000000"/>
          <w:sz w:val="20"/>
          <w:szCs w:val="20"/>
        </w:rPr>
        <w:t>6</w:t>
      </w:r>
    </w:p>
    <w:p w14:paraId="7B66E3A4" w14:textId="77777777" w:rsidR="0040300B" w:rsidRDefault="00BB2D44">
      <w:r>
        <w:pict w14:anchorId="7B671C16">
          <v:rect id="_x0000_i1030" style="width:415.3pt;height:1.5pt" o:hralign="center" o:hrstd="t" o:hr="t" fillcolor="#a0a0a0" stroked="f"/>
        </w:pict>
      </w:r>
    </w:p>
    <w:p w14:paraId="7B66E3A5" w14:textId="77777777" w:rsidR="0040300B" w:rsidRDefault="00BB2D44">
      <w:hyperlink r:id="rId52" w:anchor="i52d5b40dbad7426a9806a2fd5167029f_7" w:history="1">
        <w:r>
          <w:rPr>
            <w:rStyle w:val="a5"/>
            <w:rFonts w:ascii="Times New Roman" w:eastAsia="宋体" w:hAnsi="Times New Roman"/>
            <w:sz w:val="18"/>
            <w:szCs w:val="18"/>
          </w:rPr>
          <w:t>Table of Contents</w:t>
        </w:r>
      </w:hyperlink>
    </w:p>
    <w:p w14:paraId="7B66E3A6" w14:textId="77777777" w:rsidR="0040300B" w:rsidRDefault="00BB2D44">
      <w:pPr>
        <w:jc w:val="center"/>
      </w:pPr>
      <w:r>
        <w:rPr>
          <w:rFonts w:ascii="Times New Roman" w:eastAsia="宋体" w:hAnsi="Times New Roman"/>
          <w:b/>
          <w:bCs/>
          <w:color w:val="000000"/>
          <w:sz w:val="19"/>
          <w:szCs w:val="19"/>
        </w:rPr>
        <w:t>CISCO SYSTEMS, INC.</w:t>
      </w:r>
    </w:p>
    <w:p w14:paraId="7B66E3A7" w14:textId="77777777" w:rsidR="0040300B" w:rsidRDefault="00BB2D44">
      <w:pPr>
        <w:jc w:val="center"/>
      </w:pPr>
      <w:r>
        <w:rPr>
          <w:rFonts w:ascii="Times New Roman" w:eastAsia="宋体" w:hAnsi="Times New Roman"/>
          <w:b/>
          <w:bCs/>
          <w:color w:val="000000"/>
          <w:sz w:val="19"/>
          <w:szCs w:val="19"/>
        </w:rPr>
        <w:t>CONSOLIDATED STATEMENTS OF EQUITY</w:t>
      </w:r>
    </w:p>
    <w:p w14:paraId="7B66E3A8" w14:textId="77777777" w:rsidR="0040300B" w:rsidRDefault="00BB2D44">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7B66E3A9" w14:textId="77777777" w:rsidR="0040300B" w:rsidRDefault="00BB2D4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40300B" w14:paraId="7B66E3C8" w14:textId="77777777">
        <w:trPr>
          <w:jc w:val="center"/>
        </w:trPr>
        <w:tc>
          <w:tcPr>
            <w:tcW w:w="50" w:type="pct"/>
            <w:shd w:val="clear" w:color="auto" w:fill="auto"/>
          </w:tcPr>
          <w:p w14:paraId="7B66E3AA" w14:textId="77777777" w:rsidR="0040300B" w:rsidRDefault="0040300B">
            <w:pPr>
              <w:rPr>
                <w:rFonts w:ascii="宋体"/>
              </w:rPr>
            </w:pPr>
          </w:p>
        </w:tc>
        <w:tc>
          <w:tcPr>
            <w:tcW w:w="2349" w:type="pct"/>
            <w:shd w:val="clear" w:color="auto" w:fill="auto"/>
          </w:tcPr>
          <w:p w14:paraId="7B66E3AB" w14:textId="77777777" w:rsidR="0040300B" w:rsidRDefault="0040300B">
            <w:pPr>
              <w:rPr>
                <w:rFonts w:ascii="宋体"/>
              </w:rPr>
            </w:pPr>
          </w:p>
        </w:tc>
        <w:tc>
          <w:tcPr>
            <w:tcW w:w="5" w:type="pct"/>
            <w:shd w:val="clear" w:color="auto" w:fill="auto"/>
          </w:tcPr>
          <w:p w14:paraId="7B66E3AC" w14:textId="77777777" w:rsidR="0040300B" w:rsidRDefault="0040300B">
            <w:pPr>
              <w:rPr>
                <w:rFonts w:ascii="宋体"/>
              </w:rPr>
            </w:pPr>
          </w:p>
        </w:tc>
        <w:tc>
          <w:tcPr>
            <w:tcW w:w="50" w:type="pct"/>
            <w:shd w:val="clear" w:color="auto" w:fill="auto"/>
          </w:tcPr>
          <w:p w14:paraId="7B66E3AD" w14:textId="77777777" w:rsidR="0040300B" w:rsidRDefault="0040300B">
            <w:pPr>
              <w:rPr>
                <w:rFonts w:ascii="宋体"/>
              </w:rPr>
            </w:pPr>
          </w:p>
        </w:tc>
        <w:tc>
          <w:tcPr>
            <w:tcW w:w="434" w:type="pct"/>
            <w:shd w:val="clear" w:color="auto" w:fill="auto"/>
          </w:tcPr>
          <w:p w14:paraId="7B66E3AE" w14:textId="77777777" w:rsidR="0040300B" w:rsidRDefault="0040300B">
            <w:pPr>
              <w:rPr>
                <w:rFonts w:ascii="宋体"/>
              </w:rPr>
            </w:pPr>
          </w:p>
        </w:tc>
        <w:tc>
          <w:tcPr>
            <w:tcW w:w="5" w:type="pct"/>
            <w:shd w:val="clear" w:color="auto" w:fill="auto"/>
          </w:tcPr>
          <w:p w14:paraId="7B66E3AF" w14:textId="77777777" w:rsidR="0040300B" w:rsidRDefault="0040300B">
            <w:pPr>
              <w:rPr>
                <w:rFonts w:ascii="宋体"/>
              </w:rPr>
            </w:pPr>
          </w:p>
        </w:tc>
        <w:tc>
          <w:tcPr>
            <w:tcW w:w="5" w:type="pct"/>
            <w:shd w:val="clear" w:color="auto" w:fill="auto"/>
          </w:tcPr>
          <w:p w14:paraId="7B66E3B0" w14:textId="77777777" w:rsidR="0040300B" w:rsidRDefault="0040300B">
            <w:pPr>
              <w:rPr>
                <w:rFonts w:ascii="宋体"/>
              </w:rPr>
            </w:pPr>
          </w:p>
        </w:tc>
        <w:tc>
          <w:tcPr>
            <w:tcW w:w="26" w:type="pct"/>
            <w:shd w:val="clear" w:color="auto" w:fill="auto"/>
          </w:tcPr>
          <w:p w14:paraId="7B66E3B1" w14:textId="77777777" w:rsidR="0040300B" w:rsidRDefault="0040300B">
            <w:pPr>
              <w:rPr>
                <w:rFonts w:ascii="宋体"/>
              </w:rPr>
            </w:pPr>
          </w:p>
        </w:tc>
        <w:tc>
          <w:tcPr>
            <w:tcW w:w="5" w:type="pct"/>
            <w:shd w:val="clear" w:color="auto" w:fill="auto"/>
          </w:tcPr>
          <w:p w14:paraId="7B66E3B2" w14:textId="77777777" w:rsidR="0040300B" w:rsidRDefault="0040300B">
            <w:pPr>
              <w:rPr>
                <w:rFonts w:ascii="宋体"/>
              </w:rPr>
            </w:pPr>
          </w:p>
        </w:tc>
        <w:tc>
          <w:tcPr>
            <w:tcW w:w="50" w:type="pct"/>
            <w:shd w:val="clear" w:color="auto" w:fill="auto"/>
          </w:tcPr>
          <w:p w14:paraId="7B66E3B3" w14:textId="77777777" w:rsidR="0040300B" w:rsidRDefault="0040300B">
            <w:pPr>
              <w:rPr>
                <w:rFonts w:ascii="宋体"/>
              </w:rPr>
            </w:pPr>
          </w:p>
        </w:tc>
        <w:tc>
          <w:tcPr>
            <w:tcW w:w="434" w:type="pct"/>
            <w:shd w:val="clear" w:color="auto" w:fill="auto"/>
          </w:tcPr>
          <w:p w14:paraId="7B66E3B4" w14:textId="77777777" w:rsidR="0040300B" w:rsidRDefault="0040300B">
            <w:pPr>
              <w:rPr>
                <w:rFonts w:ascii="宋体"/>
              </w:rPr>
            </w:pPr>
          </w:p>
        </w:tc>
        <w:tc>
          <w:tcPr>
            <w:tcW w:w="5" w:type="pct"/>
            <w:shd w:val="clear" w:color="auto" w:fill="auto"/>
          </w:tcPr>
          <w:p w14:paraId="7B66E3B5" w14:textId="77777777" w:rsidR="0040300B" w:rsidRDefault="0040300B">
            <w:pPr>
              <w:rPr>
                <w:rFonts w:ascii="宋体"/>
              </w:rPr>
            </w:pPr>
          </w:p>
        </w:tc>
        <w:tc>
          <w:tcPr>
            <w:tcW w:w="5" w:type="pct"/>
            <w:shd w:val="clear" w:color="auto" w:fill="auto"/>
          </w:tcPr>
          <w:p w14:paraId="7B66E3B6" w14:textId="77777777" w:rsidR="0040300B" w:rsidRDefault="0040300B">
            <w:pPr>
              <w:rPr>
                <w:rFonts w:ascii="宋体"/>
              </w:rPr>
            </w:pPr>
          </w:p>
        </w:tc>
        <w:tc>
          <w:tcPr>
            <w:tcW w:w="26" w:type="pct"/>
            <w:shd w:val="clear" w:color="auto" w:fill="auto"/>
          </w:tcPr>
          <w:p w14:paraId="7B66E3B7" w14:textId="77777777" w:rsidR="0040300B" w:rsidRDefault="0040300B">
            <w:pPr>
              <w:rPr>
                <w:rFonts w:ascii="宋体"/>
              </w:rPr>
            </w:pPr>
          </w:p>
        </w:tc>
        <w:tc>
          <w:tcPr>
            <w:tcW w:w="5" w:type="pct"/>
            <w:shd w:val="clear" w:color="auto" w:fill="auto"/>
          </w:tcPr>
          <w:p w14:paraId="7B66E3B8" w14:textId="77777777" w:rsidR="0040300B" w:rsidRDefault="0040300B">
            <w:pPr>
              <w:rPr>
                <w:rFonts w:ascii="宋体"/>
              </w:rPr>
            </w:pPr>
          </w:p>
        </w:tc>
        <w:tc>
          <w:tcPr>
            <w:tcW w:w="50" w:type="pct"/>
            <w:shd w:val="clear" w:color="auto" w:fill="auto"/>
          </w:tcPr>
          <w:p w14:paraId="7B66E3B9" w14:textId="77777777" w:rsidR="0040300B" w:rsidRDefault="0040300B">
            <w:pPr>
              <w:rPr>
                <w:rFonts w:ascii="宋体"/>
              </w:rPr>
            </w:pPr>
          </w:p>
        </w:tc>
        <w:tc>
          <w:tcPr>
            <w:tcW w:w="434" w:type="pct"/>
            <w:shd w:val="clear" w:color="auto" w:fill="auto"/>
          </w:tcPr>
          <w:p w14:paraId="7B66E3BA" w14:textId="77777777" w:rsidR="0040300B" w:rsidRDefault="0040300B">
            <w:pPr>
              <w:rPr>
                <w:rFonts w:ascii="宋体"/>
              </w:rPr>
            </w:pPr>
          </w:p>
        </w:tc>
        <w:tc>
          <w:tcPr>
            <w:tcW w:w="5" w:type="pct"/>
            <w:shd w:val="clear" w:color="auto" w:fill="auto"/>
          </w:tcPr>
          <w:p w14:paraId="7B66E3BB" w14:textId="77777777" w:rsidR="0040300B" w:rsidRDefault="0040300B">
            <w:pPr>
              <w:rPr>
                <w:rFonts w:ascii="宋体"/>
              </w:rPr>
            </w:pPr>
          </w:p>
        </w:tc>
        <w:tc>
          <w:tcPr>
            <w:tcW w:w="5" w:type="pct"/>
            <w:shd w:val="clear" w:color="auto" w:fill="auto"/>
          </w:tcPr>
          <w:p w14:paraId="7B66E3BC" w14:textId="77777777" w:rsidR="0040300B" w:rsidRDefault="0040300B">
            <w:pPr>
              <w:rPr>
                <w:rFonts w:ascii="宋体"/>
              </w:rPr>
            </w:pPr>
          </w:p>
        </w:tc>
        <w:tc>
          <w:tcPr>
            <w:tcW w:w="26" w:type="pct"/>
            <w:shd w:val="clear" w:color="auto" w:fill="auto"/>
          </w:tcPr>
          <w:p w14:paraId="7B66E3BD" w14:textId="77777777" w:rsidR="0040300B" w:rsidRDefault="0040300B">
            <w:pPr>
              <w:rPr>
                <w:rFonts w:ascii="宋体"/>
              </w:rPr>
            </w:pPr>
          </w:p>
        </w:tc>
        <w:tc>
          <w:tcPr>
            <w:tcW w:w="5" w:type="pct"/>
            <w:shd w:val="clear" w:color="auto" w:fill="auto"/>
          </w:tcPr>
          <w:p w14:paraId="7B66E3BE" w14:textId="77777777" w:rsidR="0040300B" w:rsidRDefault="0040300B">
            <w:pPr>
              <w:rPr>
                <w:rFonts w:ascii="宋体"/>
              </w:rPr>
            </w:pPr>
          </w:p>
        </w:tc>
        <w:tc>
          <w:tcPr>
            <w:tcW w:w="50" w:type="pct"/>
            <w:shd w:val="clear" w:color="auto" w:fill="auto"/>
          </w:tcPr>
          <w:p w14:paraId="7B66E3BF" w14:textId="77777777" w:rsidR="0040300B" w:rsidRDefault="0040300B">
            <w:pPr>
              <w:rPr>
                <w:rFonts w:ascii="宋体"/>
              </w:rPr>
            </w:pPr>
          </w:p>
        </w:tc>
        <w:tc>
          <w:tcPr>
            <w:tcW w:w="434" w:type="pct"/>
            <w:shd w:val="clear" w:color="auto" w:fill="auto"/>
          </w:tcPr>
          <w:p w14:paraId="7B66E3C0" w14:textId="77777777" w:rsidR="0040300B" w:rsidRDefault="0040300B">
            <w:pPr>
              <w:rPr>
                <w:rFonts w:ascii="宋体"/>
              </w:rPr>
            </w:pPr>
          </w:p>
        </w:tc>
        <w:tc>
          <w:tcPr>
            <w:tcW w:w="5" w:type="pct"/>
            <w:shd w:val="clear" w:color="auto" w:fill="auto"/>
          </w:tcPr>
          <w:p w14:paraId="7B66E3C1" w14:textId="77777777" w:rsidR="0040300B" w:rsidRDefault="0040300B">
            <w:pPr>
              <w:rPr>
                <w:rFonts w:ascii="宋体"/>
              </w:rPr>
            </w:pPr>
          </w:p>
        </w:tc>
        <w:tc>
          <w:tcPr>
            <w:tcW w:w="5" w:type="pct"/>
            <w:shd w:val="clear" w:color="auto" w:fill="auto"/>
          </w:tcPr>
          <w:p w14:paraId="7B66E3C2" w14:textId="77777777" w:rsidR="0040300B" w:rsidRDefault="0040300B">
            <w:pPr>
              <w:rPr>
                <w:rFonts w:ascii="宋体"/>
              </w:rPr>
            </w:pPr>
          </w:p>
        </w:tc>
        <w:tc>
          <w:tcPr>
            <w:tcW w:w="26" w:type="pct"/>
            <w:shd w:val="clear" w:color="auto" w:fill="auto"/>
          </w:tcPr>
          <w:p w14:paraId="7B66E3C3" w14:textId="77777777" w:rsidR="0040300B" w:rsidRDefault="0040300B">
            <w:pPr>
              <w:rPr>
                <w:rFonts w:ascii="宋体"/>
              </w:rPr>
            </w:pPr>
          </w:p>
        </w:tc>
        <w:tc>
          <w:tcPr>
            <w:tcW w:w="5" w:type="pct"/>
            <w:shd w:val="clear" w:color="auto" w:fill="auto"/>
          </w:tcPr>
          <w:p w14:paraId="7B66E3C4" w14:textId="77777777" w:rsidR="0040300B" w:rsidRDefault="0040300B">
            <w:pPr>
              <w:rPr>
                <w:rFonts w:ascii="宋体"/>
              </w:rPr>
            </w:pPr>
          </w:p>
        </w:tc>
        <w:tc>
          <w:tcPr>
            <w:tcW w:w="50" w:type="pct"/>
            <w:shd w:val="clear" w:color="auto" w:fill="auto"/>
          </w:tcPr>
          <w:p w14:paraId="7B66E3C5" w14:textId="77777777" w:rsidR="0040300B" w:rsidRDefault="0040300B">
            <w:pPr>
              <w:rPr>
                <w:rFonts w:ascii="宋体"/>
              </w:rPr>
            </w:pPr>
          </w:p>
        </w:tc>
        <w:tc>
          <w:tcPr>
            <w:tcW w:w="435" w:type="pct"/>
            <w:shd w:val="clear" w:color="auto" w:fill="auto"/>
          </w:tcPr>
          <w:p w14:paraId="7B66E3C6" w14:textId="77777777" w:rsidR="0040300B" w:rsidRDefault="0040300B">
            <w:pPr>
              <w:rPr>
                <w:rFonts w:ascii="宋体"/>
              </w:rPr>
            </w:pPr>
          </w:p>
        </w:tc>
        <w:tc>
          <w:tcPr>
            <w:tcW w:w="5" w:type="pct"/>
            <w:shd w:val="clear" w:color="auto" w:fill="auto"/>
          </w:tcPr>
          <w:p w14:paraId="7B66E3C7" w14:textId="77777777" w:rsidR="0040300B" w:rsidRDefault="0040300B">
            <w:pPr>
              <w:rPr>
                <w:rFonts w:ascii="宋体"/>
              </w:rPr>
            </w:pPr>
          </w:p>
        </w:tc>
      </w:tr>
      <w:tr w:rsidR="0040300B" w14:paraId="7B66E3D3" w14:textId="77777777">
        <w:trPr>
          <w:jc w:val="center"/>
        </w:trPr>
        <w:tc>
          <w:tcPr>
            <w:tcW w:w="0" w:type="auto"/>
            <w:gridSpan w:val="3"/>
            <w:shd w:val="clear" w:color="auto" w:fill="auto"/>
            <w:tcMar>
              <w:top w:w="40" w:type="dxa"/>
              <w:left w:w="20" w:type="dxa"/>
              <w:bottom w:w="40" w:type="dxa"/>
              <w:right w:w="20" w:type="dxa"/>
            </w:tcMar>
            <w:vAlign w:val="bottom"/>
          </w:tcPr>
          <w:p w14:paraId="7B66E3C9" w14:textId="77777777" w:rsidR="0040300B" w:rsidRDefault="00BB2D44">
            <w:pPr>
              <w:textAlignment w:val="bottom"/>
            </w:pPr>
            <w:r>
              <w:rPr>
                <w:rFonts w:ascii="Times New Roman" w:eastAsia="宋体" w:hAnsi="Times New Roman"/>
                <w:color w:val="000000"/>
                <w:sz w:val="16"/>
                <w:szCs w:val="16"/>
                <w:u w:val="single"/>
              </w:rPr>
              <w:t>Three Months Ended May 1, 2021</w:t>
            </w:r>
          </w:p>
        </w:tc>
        <w:tc>
          <w:tcPr>
            <w:tcW w:w="0" w:type="auto"/>
            <w:gridSpan w:val="3"/>
            <w:shd w:val="clear" w:color="auto" w:fill="auto"/>
            <w:tcMar>
              <w:top w:w="40" w:type="dxa"/>
              <w:left w:w="20" w:type="dxa"/>
              <w:bottom w:w="40" w:type="dxa"/>
              <w:right w:w="20" w:type="dxa"/>
            </w:tcMar>
            <w:vAlign w:val="bottom"/>
          </w:tcPr>
          <w:p w14:paraId="7B66E3CA" w14:textId="77777777" w:rsidR="0040300B" w:rsidRDefault="00BB2D4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7B66E3C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3CC" w14:textId="77777777" w:rsidR="0040300B" w:rsidRDefault="00BB2D4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7B66E3C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3CE" w14:textId="77777777" w:rsidR="0040300B" w:rsidRDefault="00BB2D44">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7B66E3C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3D0" w14:textId="77777777" w:rsidR="0040300B" w:rsidRDefault="00BB2D4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 Loss</w:t>
            </w:r>
          </w:p>
        </w:tc>
        <w:tc>
          <w:tcPr>
            <w:tcW w:w="0" w:type="auto"/>
            <w:gridSpan w:val="3"/>
            <w:shd w:val="clear" w:color="auto" w:fill="auto"/>
            <w:tcMar>
              <w:top w:w="0" w:type="dxa"/>
              <w:left w:w="20" w:type="dxa"/>
              <w:bottom w:w="0" w:type="dxa"/>
              <w:right w:w="20" w:type="dxa"/>
            </w:tcMar>
          </w:tcPr>
          <w:p w14:paraId="7B66E3D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3D2" w14:textId="77777777" w:rsidR="0040300B" w:rsidRDefault="00BB2D4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w:t>
            </w:r>
            <w:r>
              <w:rPr>
                <w:rFonts w:ascii="Times New Roman" w:eastAsia="宋体" w:hAnsi="Times New Roman"/>
                <w:color w:val="000000"/>
                <w:sz w:val="14"/>
                <w:szCs w:val="14"/>
              </w:rPr>
              <w:t>uity</w:t>
            </w:r>
          </w:p>
        </w:tc>
      </w:tr>
      <w:tr w:rsidR="0040300B" w14:paraId="7B66E3E7" w14:textId="77777777">
        <w:trPr>
          <w:jc w:val="center"/>
        </w:trPr>
        <w:tc>
          <w:tcPr>
            <w:tcW w:w="0" w:type="auto"/>
            <w:gridSpan w:val="3"/>
            <w:shd w:val="clear" w:color="auto" w:fill="CCEEFF"/>
            <w:tcMar>
              <w:top w:w="40" w:type="dxa"/>
              <w:left w:w="20" w:type="dxa"/>
              <w:bottom w:w="40" w:type="dxa"/>
              <w:right w:w="20" w:type="dxa"/>
            </w:tcMar>
            <w:vAlign w:val="bottom"/>
          </w:tcPr>
          <w:p w14:paraId="7B66E3D4" w14:textId="77777777" w:rsidR="0040300B" w:rsidRDefault="00BB2D44">
            <w:pPr>
              <w:textAlignment w:val="bottom"/>
            </w:pPr>
            <w:r>
              <w:rPr>
                <w:rFonts w:ascii="Times New Roman" w:eastAsia="宋体" w:hAnsi="Times New Roman"/>
                <w:color w:val="000000"/>
                <w:sz w:val="20"/>
                <w:szCs w:val="20"/>
              </w:rPr>
              <w:t>Balance at January 23,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3D5" w14:textId="77777777" w:rsidR="0040300B" w:rsidRDefault="00BB2D44">
            <w:pPr>
              <w:jc w:val="right"/>
              <w:textAlignment w:val="bottom"/>
            </w:pPr>
            <w:r>
              <w:rPr>
                <w:rFonts w:ascii="Times New Roman" w:eastAsia="宋体" w:hAnsi="Times New Roman"/>
                <w:color w:val="000000"/>
                <w:sz w:val="19"/>
                <w:szCs w:val="19"/>
              </w:rPr>
              <w:t>4,221 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D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D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3D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3D9" w14:textId="77777777" w:rsidR="0040300B" w:rsidRDefault="00BB2D44">
            <w:pPr>
              <w:jc w:val="right"/>
              <w:textAlignment w:val="bottom"/>
            </w:pPr>
            <w:r>
              <w:rPr>
                <w:rFonts w:ascii="Times New Roman" w:eastAsia="宋体" w:hAnsi="Times New Roman"/>
                <w:color w:val="000000"/>
                <w:sz w:val="19"/>
                <w:szCs w:val="19"/>
              </w:rPr>
              <w:t>41,690 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D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D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3D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3DD" w14:textId="77777777" w:rsidR="0040300B" w:rsidRDefault="00BB2D44">
            <w:pPr>
              <w:jc w:val="right"/>
              <w:textAlignment w:val="bottom"/>
            </w:pPr>
            <w:r>
              <w:rPr>
                <w:rFonts w:ascii="Times New Roman" w:eastAsia="宋体" w:hAnsi="Times New Roman"/>
                <w:color w:val="000000"/>
                <w:sz w:val="19"/>
                <w:szCs w:val="19"/>
              </w:rPr>
              <w:t>(2,351)</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D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D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3E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3E1" w14:textId="77777777" w:rsidR="0040300B" w:rsidRDefault="00BB2D44">
            <w:pPr>
              <w:jc w:val="right"/>
              <w:textAlignment w:val="bottom"/>
            </w:pPr>
            <w:r>
              <w:rPr>
                <w:rFonts w:ascii="Times New Roman" w:eastAsia="宋体" w:hAnsi="Times New Roman"/>
                <w:color w:val="000000"/>
                <w:sz w:val="19"/>
                <w:szCs w:val="19"/>
              </w:rPr>
              <w:t>(218)</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E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3E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3E5" w14:textId="77777777" w:rsidR="0040300B" w:rsidRDefault="00BB2D44">
            <w:pPr>
              <w:jc w:val="right"/>
              <w:textAlignment w:val="bottom"/>
            </w:pPr>
            <w:r>
              <w:rPr>
                <w:rFonts w:ascii="Times New Roman" w:eastAsia="宋体" w:hAnsi="Times New Roman"/>
                <w:color w:val="000000"/>
                <w:sz w:val="19"/>
                <w:szCs w:val="19"/>
              </w:rPr>
              <w:t>39,121 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3E6" w14:textId="77777777" w:rsidR="0040300B" w:rsidRDefault="0040300B">
            <w:pPr>
              <w:jc w:val="right"/>
              <w:rPr>
                <w:rFonts w:ascii="宋体"/>
              </w:rPr>
            </w:pPr>
          </w:p>
        </w:tc>
      </w:tr>
      <w:tr w:rsidR="0040300B" w14:paraId="7B66E3F4" w14:textId="77777777">
        <w:trPr>
          <w:jc w:val="center"/>
        </w:trPr>
        <w:tc>
          <w:tcPr>
            <w:tcW w:w="0" w:type="auto"/>
            <w:gridSpan w:val="3"/>
            <w:shd w:val="clear" w:color="auto" w:fill="FFFFFF"/>
            <w:tcMar>
              <w:top w:w="40" w:type="dxa"/>
              <w:left w:w="20" w:type="dxa"/>
              <w:bottom w:w="40" w:type="dxa"/>
              <w:right w:w="20" w:type="dxa"/>
            </w:tcMar>
            <w:vAlign w:val="bottom"/>
          </w:tcPr>
          <w:p w14:paraId="7B66E3E8" w14:textId="77777777" w:rsidR="0040300B" w:rsidRDefault="00BB2D44">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7B66E3E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E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EC"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3ED" w14:textId="77777777" w:rsidR="0040300B" w:rsidRDefault="00BB2D44">
            <w:pPr>
              <w:jc w:val="right"/>
              <w:textAlignment w:val="bottom"/>
            </w:pPr>
            <w:r>
              <w:rPr>
                <w:rFonts w:ascii="Times New Roman" w:eastAsia="宋体" w:hAnsi="Times New Roman"/>
                <w:color w:val="000000"/>
                <w:sz w:val="19"/>
                <w:szCs w:val="19"/>
              </w:rPr>
              <w:t>2,863 </w:t>
            </w:r>
          </w:p>
        </w:tc>
        <w:tc>
          <w:tcPr>
            <w:tcW w:w="0" w:type="auto"/>
            <w:shd w:val="clear" w:color="auto" w:fill="auto"/>
            <w:tcMar>
              <w:top w:w="40" w:type="dxa"/>
              <w:left w:w="0" w:type="dxa"/>
              <w:bottom w:w="40" w:type="dxa"/>
              <w:right w:w="20" w:type="dxa"/>
            </w:tcMar>
            <w:vAlign w:val="bottom"/>
          </w:tcPr>
          <w:p w14:paraId="7B66E3E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3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F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3F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3F2" w14:textId="77777777" w:rsidR="0040300B" w:rsidRDefault="00BB2D44">
            <w:pPr>
              <w:jc w:val="right"/>
              <w:textAlignment w:val="bottom"/>
            </w:pPr>
            <w:r>
              <w:rPr>
                <w:rFonts w:ascii="Times New Roman" w:eastAsia="宋体" w:hAnsi="Times New Roman"/>
                <w:color w:val="000000"/>
                <w:sz w:val="19"/>
                <w:szCs w:val="19"/>
              </w:rPr>
              <w:t>2,863 </w:t>
            </w:r>
          </w:p>
        </w:tc>
        <w:tc>
          <w:tcPr>
            <w:tcW w:w="0" w:type="auto"/>
            <w:shd w:val="clear" w:color="auto" w:fill="FFFFFF"/>
            <w:tcMar>
              <w:top w:w="40" w:type="dxa"/>
              <w:left w:w="0" w:type="dxa"/>
              <w:bottom w:w="40" w:type="dxa"/>
              <w:right w:w="20" w:type="dxa"/>
            </w:tcMar>
            <w:vAlign w:val="bottom"/>
          </w:tcPr>
          <w:p w14:paraId="7B66E3F3" w14:textId="77777777" w:rsidR="0040300B" w:rsidRDefault="0040300B">
            <w:pPr>
              <w:jc w:val="right"/>
              <w:rPr>
                <w:rFonts w:ascii="宋体"/>
              </w:rPr>
            </w:pPr>
          </w:p>
        </w:tc>
      </w:tr>
      <w:tr w:rsidR="0040300B" w14:paraId="7B66E401" w14:textId="77777777">
        <w:trPr>
          <w:jc w:val="center"/>
        </w:trPr>
        <w:tc>
          <w:tcPr>
            <w:tcW w:w="0" w:type="auto"/>
            <w:gridSpan w:val="3"/>
            <w:shd w:val="clear" w:color="auto" w:fill="CCEEFF"/>
            <w:tcMar>
              <w:top w:w="40" w:type="dxa"/>
              <w:left w:w="20" w:type="dxa"/>
              <w:bottom w:w="40" w:type="dxa"/>
              <w:right w:w="20" w:type="dxa"/>
            </w:tcMar>
            <w:vAlign w:val="bottom"/>
          </w:tcPr>
          <w:p w14:paraId="7B66E3F5" w14:textId="77777777" w:rsidR="0040300B" w:rsidRDefault="00BB2D44">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loss</w:t>
            </w:r>
          </w:p>
        </w:tc>
        <w:tc>
          <w:tcPr>
            <w:tcW w:w="0" w:type="auto"/>
            <w:gridSpan w:val="3"/>
            <w:shd w:val="clear" w:color="auto" w:fill="CCEEFF"/>
            <w:tcMar>
              <w:top w:w="0" w:type="dxa"/>
              <w:left w:w="20" w:type="dxa"/>
              <w:bottom w:w="0" w:type="dxa"/>
              <w:right w:w="20" w:type="dxa"/>
            </w:tcMar>
          </w:tcPr>
          <w:p w14:paraId="7B66E3F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F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F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F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3F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FC" w14:textId="77777777" w:rsidR="0040300B" w:rsidRDefault="00BB2D44">
            <w:pPr>
              <w:jc w:val="right"/>
              <w:textAlignment w:val="bottom"/>
            </w:pPr>
            <w:r>
              <w:rPr>
                <w:rFonts w:ascii="Times New Roman" w:eastAsia="宋体" w:hAnsi="Times New Roman"/>
                <w:color w:val="000000"/>
                <w:sz w:val="19"/>
                <w:szCs w:val="19"/>
              </w:rPr>
              <w:t>(70)</w:t>
            </w:r>
          </w:p>
        </w:tc>
        <w:tc>
          <w:tcPr>
            <w:tcW w:w="0" w:type="auto"/>
            <w:shd w:val="clear" w:color="auto" w:fill="CCEEFF"/>
            <w:tcMar>
              <w:top w:w="40" w:type="dxa"/>
              <w:left w:w="0" w:type="dxa"/>
              <w:bottom w:w="40" w:type="dxa"/>
              <w:right w:w="20" w:type="dxa"/>
            </w:tcMar>
            <w:vAlign w:val="bottom"/>
          </w:tcPr>
          <w:p w14:paraId="7B66E3F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3F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3FF" w14:textId="77777777" w:rsidR="0040300B" w:rsidRDefault="00BB2D44">
            <w:pPr>
              <w:jc w:val="right"/>
              <w:textAlignment w:val="bottom"/>
            </w:pPr>
            <w:r>
              <w:rPr>
                <w:rFonts w:ascii="Times New Roman" w:eastAsia="宋体" w:hAnsi="Times New Roman"/>
                <w:color w:val="000000"/>
                <w:sz w:val="19"/>
                <w:szCs w:val="19"/>
              </w:rPr>
              <w:t>(70)</w:t>
            </w:r>
          </w:p>
        </w:tc>
        <w:tc>
          <w:tcPr>
            <w:tcW w:w="0" w:type="auto"/>
            <w:shd w:val="clear" w:color="auto" w:fill="CCEEFF"/>
            <w:tcMar>
              <w:top w:w="40" w:type="dxa"/>
              <w:left w:w="0" w:type="dxa"/>
              <w:bottom w:w="40" w:type="dxa"/>
              <w:right w:w="20" w:type="dxa"/>
            </w:tcMar>
            <w:vAlign w:val="bottom"/>
          </w:tcPr>
          <w:p w14:paraId="7B66E400" w14:textId="77777777" w:rsidR="0040300B" w:rsidRDefault="0040300B">
            <w:pPr>
              <w:jc w:val="right"/>
              <w:rPr>
                <w:rFonts w:ascii="宋体"/>
              </w:rPr>
            </w:pPr>
          </w:p>
        </w:tc>
      </w:tr>
      <w:tr w:rsidR="0040300B" w14:paraId="7B66E40F" w14:textId="77777777">
        <w:trPr>
          <w:jc w:val="center"/>
        </w:trPr>
        <w:tc>
          <w:tcPr>
            <w:tcW w:w="0" w:type="auto"/>
            <w:gridSpan w:val="3"/>
            <w:shd w:val="clear" w:color="auto" w:fill="FFFFFF"/>
            <w:tcMar>
              <w:top w:w="40" w:type="dxa"/>
              <w:left w:w="20" w:type="dxa"/>
              <w:bottom w:w="40" w:type="dxa"/>
              <w:right w:w="20" w:type="dxa"/>
            </w:tcMar>
            <w:vAlign w:val="bottom"/>
          </w:tcPr>
          <w:p w14:paraId="7B66E402" w14:textId="77777777" w:rsidR="0040300B" w:rsidRDefault="00BB2D44">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7B66E403" w14:textId="77777777" w:rsidR="0040300B" w:rsidRDefault="00BB2D44">
            <w:pPr>
              <w:jc w:val="right"/>
              <w:textAlignment w:val="bottom"/>
            </w:pPr>
            <w:r>
              <w:rPr>
                <w:rFonts w:ascii="Times New Roman" w:eastAsia="宋体" w:hAnsi="Times New Roman"/>
                <w:color w:val="000000"/>
                <w:sz w:val="19"/>
                <w:szCs w:val="19"/>
              </w:rPr>
              <w:t>6 </w:t>
            </w:r>
          </w:p>
        </w:tc>
        <w:tc>
          <w:tcPr>
            <w:tcW w:w="0" w:type="auto"/>
            <w:shd w:val="clear" w:color="auto" w:fill="FFFFFF"/>
            <w:tcMar>
              <w:top w:w="40" w:type="dxa"/>
              <w:left w:w="0" w:type="dxa"/>
              <w:bottom w:w="40" w:type="dxa"/>
              <w:right w:w="20" w:type="dxa"/>
            </w:tcMar>
            <w:vAlign w:val="bottom"/>
          </w:tcPr>
          <w:p w14:paraId="7B66E40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0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06"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7B66E40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0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0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0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0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0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0D"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7B66E40E" w14:textId="77777777" w:rsidR="0040300B" w:rsidRDefault="0040300B">
            <w:pPr>
              <w:jc w:val="right"/>
              <w:rPr>
                <w:rFonts w:ascii="宋体"/>
              </w:rPr>
            </w:pPr>
          </w:p>
        </w:tc>
      </w:tr>
      <w:tr w:rsidR="0040300B" w14:paraId="7B66E41E" w14:textId="77777777">
        <w:trPr>
          <w:jc w:val="center"/>
        </w:trPr>
        <w:tc>
          <w:tcPr>
            <w:tcW w:w="0" w:type="auto"/>
            <w:gridSpan w:val="3"/>
            <w:shd w:val="clear" w:color="auto" w:fill="CCEEFF"/>
            <w:tcMar>
              <w:top w:w="40" w:type="dxa"/>
              <w:left w:w="20" w:type="dxa"/>
              <w:bottom w:w="40" w:type="dxa"/>
              <w:right w:w="20" w:type="dxa"/>
            </w:tcMar>
            <w:vAlign w:val="bottom"/>
          </w:tcPr>
          <w:p w14:paraId="7B66E410" w14:textId="77777777" w:rsidR="0040300B" w:rsidRDefault="00BB2D44">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7B66E411" w14:textId="77777777" w:rsidR="0040300B" w:rsidRDefault="00BB2D44">
            <w:pPr>
              <w:jc w:val="right"/>
              <w:textAlignment w:val="bottom"/>
            </w:pPr>
            <w:r>
              <w:rPr>
                <w:rFonts w:ascii="Times New Roman" w:eastAsia="宋体" w:hAnsi="Times New Roman"/>
                <w:color w:val="000000"/>
                <w:sz w:val="19"/>
                <w:szCs w:val="19"/>
              </w:rPr>
              <w:t>(10)</w:t>
            </w:r>
          </w:p>
        </w:tc>
        <w:tc>
          <w:tcPr>
            <w:tcW w:w="0" w:type="auto"/>
            <w:shd w:val="clear" w:color="auto" w:fill="CCEEFF"/>
            <w:tcMar>
              <w:top w:w="40" w:type="dxa"/>
              <w:left w:w="0" w:type="dxa"/>
              <w:bottom w:w="40" w:type="dxa"/>
              <w:right w:w="20" w:type="dxa"/>
            </w:tcMar>
            <w:vAlign w:val="bottom"/>
          </w:tcPr>
          <w:p w14:paraId="7B66E41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1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14" w14:textId="77777777" w:rsidR="0040300B" w:rsidRDefault="00BB2D44">
            <w:pPr>
              <w:jc w:val="right"/>
              <w:textAlignment w:val="bottom"/>
            </w:pPr>
            <w:r>
              <w:rPr>
                <w:rFonts w:ascii="Times New Roman" w:eastAsia="宋体" w:hAnsi="Times New Roman"/>
                <w:color w:val="000000"/>
                <w:sz w:val="19"/>
                <w:szCs w:val="19"/>
              </w:rPr>
              <w:t>(103)</w:t>
            </w:r>
          </w:p>
        </w:tc>
        <w:tc>
          <w:tcPr>
            <w:tcW w:w="0" w:type="auto"/>
            <w:shd w:val="clear" w:color="auto" w:fill="CCEEFF"/>
            <w:tcMar>
              <w:top w:w="40" w:type="dxa"/>
              <w:left w:w="0" w:type="dxa"/>
              <w:bottom w:w="40" w:type="dxa"/>
              <w:right w:w="20" w:type="dxa"/>
            </w:tcMar>
            <w:vAlign w:val="bottom"/>
          </w:tcPr>
          <w:p w14:paraId="7B66E41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1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17" w14:textId="77777777" w:rsidR="0040300B" w:rsidRDefault="00BB2D44">
            <w:pPr>
              <w:jc w:val="right"/>
              <w:textAlignment w:val="bottom"/>
            </w:pPr>
            <w:r>
              <w:rPr>
                <w:rFonts w:ascii="Times New Roman" w:eastAsia="宋体" w:hAnsi="Times New Roman"/>
                <w:color w:val="000000"/>
                <w:sz w:val="19"/>
                <w:szCs w:val="19"/>
              </w:rPr>
              <w:t>(407)</w:t>
            </w:r>
          </w:p>
        </w:tc>
        <w:tc>
          <w:tcPr>
            <w:tcW w:w="0" w:type="auto"/>
            <w:shd w:val="clear" w:color="auto" w:fill="CCEEFF"/>
            <w:tcMar>
              <w:top w:w="40" w:type="dxa"/>
              <w:left w:w="0" w:type="dxa"/>
              <w:bottom w:w="40" w:type="dxa"/>
              <w:right w:w="20" w:type="dxa"/>
            </w:tcMar>
            <w:vAlign w:val="bottom"/>
          </w:tcPr>
          <w:p w14:paraId="7B66E41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1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1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1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1C" w14:textId="77777777" w:rsidR="0040300B" w:rsidRDefault="00BB2D44">
            <w:pPr>
              <w:jc w:val="right"/>
              <w:textAlignment w:val="bottom"/>
            </w:pPr>
            <w:r>
              <w:rPr>
                <w:rFonts w:ascii="Times New Roman" w:eastAsia="宋体" w:hAnsi="Times New Roman"/>
                <w:color w:val="000000"/>
                <w:sz w:val="19"/>
                <w:szCs w:val="19"/>
              </w:rPr>
              <w:t>(510)</w:t>
            </w:r>
          </w:p>
        </w:tc>
        <w:tc>
          <w:tcPr>
            <w:tcW w:w="0" w:type="auto"/>
            <w:shd w:val="clear" w:color="auto" w:fill="CCEEFF"/>
            <w:tcMar>
              <w:top w:w="40" w:type="dxa"/>
              <w:left w:w="0" w:type="dxa"/>
              <w:bottom w:w="40" w:type="dxa"/>
              <w:right w:w="20" w:type="dxa"/>
            </w:tcMar>
            <w:vAlign w:val="bottom"/>
          </w:tcPr>
          <w:p w14:paraId="7B66E41D" w14:textId="77777777" w:rsidR="0040300B" w:rsidRDefault="0040300B">
            <w:pPr>
              <w:jc w:val="right"/>
              <w:rPr>
                <w:rFonts w:ascii="宋体"/>
              </w:rPr>
            </w:pPr>
          </w:p>
        </w:tc>
      </w:tr>
      <w:tr w:rsidR="0040300B" w14:paraId="7B66E42C" w14:textId="77777777">
        <w:trPr>
          <w:jc w:val="center"/>
        </w:trPr>
        <w:tc>
          <w:tcPr>
            <w:tcW w:w="0" w:type="auto"/>
            <w:gridSpan w:val="3"/>
            <w:shd w:val="clear" w:color="auto" w:fill="FFFFFF"/>
            <w:tcMar>
              <w:top w:w="40" w:type="dxa"/>
              <w:left w:w="20" w:type="dxa"/>
              <w:bottom w:w="40" w:type="dxa"/>
              <w:right w:w="20" w:type="dxa"/>
            </w:tcMar>
            <w:vAlign w:val="bottom"/>
          </w:tcPr>
          <w:p w14:paraId="7B66E41F" w14:textId="77777777" w:rsidR="0040300B" w:rsidRDefault="00BB2D44">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7B66E420"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7B66E42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2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23" w14:textId="77777777" w:rsidR="0040300B" w:rsidRDefault="00BB2D44">
            <w:pPr>
              <w:jc w:val="right"/>
              <w:textAlignment w:val="bottom"/>
            </w:pPr>
            <w:r>
              <w:rPr>
                <w:rFonts w:ascii="Times New Roman" w:eastAsia="宋体" w:hAnsi="Times New Roman"/>
                <w:color w:val="000000"/>
                <w:sz w:val="19"/>
                <w:szCs w:val="19"/>
              </w:rPr>
              <w:t>(102)</w:t>
            </w:r>
          </w:p>
        </w:tc>
        <w:tc>
          <w:tcPr>
            <w:tcW w:w="0" w:type="auto"/>
            <w:shd w:val="clear" w:color="auto" w:fill="FFFFFF"/>
            <w:tcMar>
              <w:top w:w="40" w:type="dxa"/>
              <w:left w:w="0" w:type="dxa"/>
              <w:bottom w:w="40" w:type="dxa"/>
              <w:right w:w="20" w:type="dxa"/>
            </w:tcMar>
            <w:vAlign w:val="bottom"/>
          </w:tcPr>
          <w:p w14:paraId="7B66E42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2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2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2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2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2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2A" w14:textId="77777777" w:rsidR="0040300B" w:rsidRDefault="00BB2D44">
            <w:pPr>
              <w:jc w:val="right"/>
              <w:textAlignment w:val="bottom"/>
            </w:pPr>
            <w:r>
              <w:rPr>
                <w:rFonts w:ascii="Times New Roman" w:eastAsia="宋体" w:hAnsi="Times New Roman"/>
                <w:color w:val="000000"/>
                <w:sz w:val="19"/>
                <w:szCs w:val="19"/>
              </w:rPr>
              <w:t>(102)</w:t>
            </w:r>
          </w:p>
        </w:tc>
        <w:tc>
          <w:tcPr>
            <w:tcW w:w="0" w:type="auto"/>
            <w:shd w:val="clear" w:color="auto" w:fill="FFFFFF"/>
            <w:tcMar>
              <w:top w:w="40" w:type="dxa"/>
              <w:left w:w="0" w:type="dxa"/>
              <w:bottom w:w="40" w:type="dxa"/>
              <w:right w:w="20" w:type="dxa"/>
            </w:tcMar>
            <w:vAlign w:val="bottom"/>
          </w:tcPr>
          <w:p w14:paraId="7B66E42B" w14:textId="77777777" w:rsidR="0040300B" w:rsidRDefault="0040300B">
            <w:pPr>
              <w:jc w:val="right"/>
              <w:rPr>
                <w:rFonts w:ascii="宋体"/>
              </w:rPr>
            </w:pPr>
          </w:p>
        </w:tc>
      </w:tr>
      <w:tr w:rsidR="0040300B" w14:paraId="7B66E439" w14:textId="77777777">
        <w:trPr>
          <w:jc w:val="center"/>
        </w:trPr>
        <w:tc>
          <w:tcPr>
            <w:tcW w:w="0" w:type="auto"/>
            <w:gridSpan w:val="3"/>
            <w:shd w:val="clear" w:color="auto" w:fill="CCEEFF"/>
            <w:tcMar>
              <w:top w:w="40" w:type="dxa"/>
              <w:left w:w="20" w:type="dxa"/>
              <w:bottom w:w="40" w:type="dxa"/>
              <w:right w:w="20" w:type="dxa"/>
            </w:tcMar>
            <w:vAlign w:val="bottom"/>
          </w:tcPr>
          <w:p w14:paraId="7B66E42D" w14:textId="77777777" w:rsidR="0040300B" w:rsidRDefault="00BB2D44">
            <w:pPr>
              <w:textAlignment w:val="bottom"/>
            </w:pPr>
            <w:r>
              <w:rPr>
                <w:rFonts w:ascii="Times New Roman" w:eastAsia="宋体" w:hAnsi="Times New Roman"/>
                <w:color w:val="000000"/>
                <w:sz w:val="20"/>
                <w:szCs w:val="20"/>
              </w:rPr>
              <w:t>Cash dividends declared ($0.37 per common share)</w:t>
            </w:r>
          </w:p>
        </w:tc>
        <w:tc>
          <w:tcPr>
            <w:tcW w:w="0" w:type="auto"/>
            <w:gridSpan w:val="3"/>
            <w:shd w:val="clear" w:color="auto" w:fill="CCEEFF"/>
            <w:tcMar>
              <w:top w:w="0" w:type="dxa"/>
              <w:left w:w="20" w:type="dxa"/>
              <w:bottom w:w="0" w:type="dxa"/>
              <w:right w:w="20" w:type="dxa"/>
            </w:tcMar>
          </w:tcPr>
          <w:p w14:paraId="7B66E42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2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3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3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32" w14:textId="77777777" w:rsidR="0040300B" w:rsidRDefault="00BB2D44">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7B66E4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3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3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3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37" w14:textId="77777777" w:rsidR="0040300B" w:rsidRDefault="00BB2D44">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7B66E438" w14:textId="77777777" w:rsidR="0040300B" w:rsidRDefault="0040300B">
            <w:pPr>
              <w:jc w:val="right"/>
              <w:rPr>
                <w:rFonts w:ascii="宋体"/>
              </w:rPr>
            </w:pPr>
          </w:p>
        </w:tc>
      </w:tr>
      <w:tr w:rsidR="0040300B" w14:paraId="7B66E446" w14:textId="77777777">
        <w:trPr>
          <w:jc w:val="center"/>
        </w:trPr>
        <w:tc>
          <w:tcPr>
            <w:tcW w:w="0" w:type="auto"/>
            <w:gridSpan w:val="3"/>
            <w:shd w:val="clear" w:color="auto" w:fill="FFFFFF"/>
            <w:tcMar>
              <w:top w:w="40" w:type="dxa"/>
              <w:left w:w="20" w:type="dxa"/>
              <w:bottom w:w="40" w:type="dxa"/>
              <w:right w:w="20" w:type="dxa"/>
            </w:tcMar>
            <w:vAlign w:val="bottom"/>
          </w:tcPr>
          <w:p w14:paraId="7B66E43A" w14:textId="77777777" w:rsidR="0040300B" w:rsidRDefault="00BB2D44">
            <w:pPr>
              <w:textAlignment w:val="bottom"/>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w:t>
            </w:r>
          </w:p>
        </w:tc>
        <w:tc>
          <w:tcPr>
            <w:tcW w:w="0" w:type="auto"/>
            <w:gridSpan w:val="3"/>
            <w:shd w:val="clear" w:color="auto" w:fill="FFFFFF"/>
            <w:tcMar>
              <w:top w:w="0" w:type="dxa"/>
              <w:left w:w="20" w:type="dxa"/>
              <w:bottom w:w="0" w:type="dxa"/>
              <w:right w:w="20" w:type="dxa"/>
            </w:tcMar>
          </w:tcPr>
          <w:p w14:paraId="7B66E43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3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3D" w14:textId="77777777" w:rsidR="0040300B" w:rsidRDefault="00BB2D44">
            <w:pPr>
              <w:jc w:val="right"/>
              <w:textAlignment w:val="bottom"/>
            </w:pPr>
            <w:r>
              <w:rPr>
                <w:rFonts w:ascii="Times New Roman" w:eastAsia="宋体" w:hAnsi="Times New Roman"/>
                <w:color w:val="000000"/>
                <w:sz w:val="19"/>
                <w:szCs w:val="19"/>
              </w:rPr>
              <w:t>463 </w:t>
            </w:r>
          </w:p>
        </w:tc>
        <w:tc>
          <w:tcPr>
            <w:tcW w:w="0" w:type="auto"/>
            <w:shd w:val="clear" w:color="auto" w:fill="FFFFFF"/>
            <w:tcMar>
              <w:top w:w="40" w:type="dxa"/>
              <w:left w:w="0" w:type="dxa"/>
              <w:bottom w:w="40" w:type="dxa"/>
              <w:right w:w="20" w:type="dxa"/>
            </w:tcMar>
            <w:vAlign w:val="bottom"/>
          </w:tcPr>
          <w:p w14:paraId="7B66E43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3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4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4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4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4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44" w14:textId="77777777" w:rsidR="0040300B" w:rsidRDefault="00BB2D44">
            <w:pPr>
              <w:jc w:val="right"/>
              <w:textAlignment w:val="bottom"/>
            </w:pPr>
            <w:r>
              <w:rPr>
                <w:rFonts w:ascii="Times New Roman" w:eastAsia="宋体" w:hAnsi="Times New Roman"/>
                <w:color w:val="000000"/>
                <w:sz w:val="19"/>
                <w:szCs w:val="19"/>
              </w:rPr>
              <w:t>463 </w:t>
            </w:r>
          </w:p>
        </w:tc>
        <w:tc>
          <w:tcPr>
            <w:tcW w:w="0" w:type="auto"/>
            <w:shd w:val="clear" w:color="auto" w:fill="FFFFFF"/>
            <w:tcMar>
              <w:top w:w="40" w:type="dxa"/>
              <w:left w:w="0" w:type="dxa"/>
              <w:bottom w:w="40" w:type="dxa"/>
              <w:right w:w="20" w:type="dxa"/>
            </w:tcMar>
            <w:vAlign w:val="bottom"/>
          </w:tcPr>
          <w:p w14:paraId="7B66E445" w14:textId="77777777" w:rsidR="0040300B" w:rsidRDefault="0040300B">
            <w:pPr>
              <w:jc w:val="right"/>
              <w:rPr>
                <w:rFonts w:ascii="宋体"/>
              </w:rPr>
            </w:pPr>
          </w:p>
        </w:tc>
      </w:tr>
      <w:tr w:rsidR="0040300B" w14:paraId="7B66E45A" w14:textId="77777777">
        <w:trPr>
          <w:jc w:val="center"/>
        </w:trPr>
        <w:tc>
          <w:tcPr>
            <w:tcW w:w="0" w:type="auto"/>
            <w:gridSpan w:val="3"/>
            <w:shd w:val="clear" w:color="auto" w:fill="CCEEFF"/>
            <w:tcMar>
              <w:top w:w="40" w:type="dxa"/>
              <w:left w:w="20" w:type="dxa"/>
              <w:bottom w:w="40" w:type="dxa"/>
              <w:right w:w="20" w:type="dxa"/>
            </w:tcMar>
            <w:vAlign w:val="bottom"/>
          </w:tcPr>
          <w:p w14:paraId="7B66E447" w14:textId="77777777" w:rsidR="0040300B" w:rsidRDefault="00BB2D44">
            <w:pPr>
              <w:textAlignment w:val="bottom"/>
            </w:pPr>
            <w:r>
              <w:rPr>
                <w:rFonts w:ascii="Times New Roman" w:eastAsia="宋体" w:hAnsi="Times New Roman"/>
                <w:color w:val="000000"/>
                <w:sz w:val="20"/>
                <w:szCs w:val="20"/>
              </w:rPr>
              <w:t>Balance at May 1, 2021</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448" w14:textId="77777777" w:rsidR="0040300B" w:rsidRDefault="00BB2D44">
            <w:pPr>
              <w:jc w:val="right"/>
              <w:textAlignment w:val="bottom"/>
            </w:pPr>
            <w:r>
              <w:rPr>
                <w:rFonts w:ascii="Times New Roman" w:eastAsia="宋体" w:hAnsi="Times New Roman"/>
                <w:color w:val="000000"/>
                <w:sz w:val="19"/>
                <w:szCs w:val="19"/>
              </w:rPr>
              <w:t>4,215 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44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4A"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44B"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44C" w14:textId="77777777" w:rsidR="0040300B" w:rsidRDefault="00BB2D44">
            <w:pPr>
              <w:jc w:val="right"/>
              <w:textAlignment w:val="bottom"/>
            </w:pPr>
            <w:r>
              <w:rPr>
                <w:rFonts w:ascii="Times New Roman" w:eastAsia="宋体" w:hAnsi="Times New Roman"/>
                <w:color w:val="000000"/>
                <w:sz w:val="19"/>
                <w:szCs w:val="19"/>
              </w:rPr>
              <w:t>41,949 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44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4E"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44F"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450" w14:textId="77777777" w:rsidR="0040300B" w:rsidRDefault="00BB2D44">
            <w:pPr>
              <w:jc w:val="right"/>
              <w:textAlignment w:val="bottom"/>
            </w:pPr>
            <w:r>
              <w:rPr>
                <w:rFonts w:ascii="Times New Roman" w:eastAsia="宋体" w:hAnsi="Times New Roman"/>
                <w:color w:val="000000"/>
                <w:sz w:val="19"/>
                <w:szCs w:val="19"/>
              </w:rPr>
              <w:t>(1,456)</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45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52"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453"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454" w14:textId="77777777" w:rsidR="0040300B" w:rsidRDefault="00BB2D44">
            <w:pPr>
              <w:jc w:val="right"/>
              <w:textAlignment w:val="bottom"/>
            </w:pPr>
            <w:r>
              <w:rPr>
                <w:rFonts w:ascii="Times New Roman" w:eastAsia="宋体" w:hAnsi="Times New Roman"/>
                <w:color w:val="000000"/>
                <w:sz w:val="19"/>
                <w:szCs w:val="19"/>
              </w:rPr>
              <w:t>(288)</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45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56"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457"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458" w14:textId="77777777" w:rsidR="0040300B" w:rsidRDefault="00BB2D44">
            <w:pPr>
              <w:jc w:val="right"/>
              <w:textAlignment w:val="bottom"/>
            </w:pPr>
            <w:r>
              <w:rPr>
                <w:rFonts w:ascii="Times New Roman" w:eastAsia="宋体" w:hAnsi="Times New Roman"/>
                <w:color w:val="000000"/>
                <w:sz w:val="19"/>
                <w:szCs w:val="19"/>
              </w:rPr>
              <w:t>40,205 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459" w14:textId="77777777" w:rsidR="0040300B" w:rsidRDefault="0040300B">
            <w:pPr>
              <w:jc w:val="right"/>
              <w:rPr>
                <w:rFonts w:ascii="宋体"/>
              </w:rPr>
            </w:pPr>
          </w:p>
        </w:tc>
      </w:tr>
    </w:tbl>
    <w:p w14:paraId="7B66E45B" w14:textId="77777777" w:rsidR="0040300B" w:rsidRDefault="0040300B">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40300B" w14:paraId="7B66E47A" w14:textId="77777777">
        <w:trPr>
          <w:jc w:val="center"/>
        </w:trPr>
        <w:tc>
          <w:tcPr>
            <w:tcW w:w="50" w:type="pct"/>
            <w:shd w:val="clear" w:color="auto" w:fill="auto"/>
          </w:tcPr>
          <w:p w14:paraId="7B66E45C" w14:textId="77777777" w:rsidR="0040300B" w:rsidRDefault="0040300B">
            <w:pPr>
              <w:rPr>
                <w:rFonts w:ascii="宋体"/>
              </w:rPr>
            </w:pPr>
          </w:p>
        </w:tc>
        <w:tc>
          <w:tcPr>
            <w:tcW w:w="2349" w:type="pct"/>
            <w:shd w:val="clear" w:color="auto" w:fill="auto"/>
          </w:tcPr>
          <w:p w14:paraId="7B66E45D" w14:textId="77777777" w:rsidR="0040300B" w:rsidRDefault="0040300B">
            <w:pPr>
              <w:rPr>
                <w:rFonts w:ascii="宋体"/>
              </w:rPr>
            </w:pPr>
          </w:p>
        </w:tc>
        <w:tc>
          <w:tcPr>
            <w:tcW w:w="5" w:type="pct"/>
            <w:shd w:val="clear" w:color="auto" w:fill="auto"/>
          </w:tcPr>
          <w:p w14:paraId="7B66E45E" w14:textId="77777777" w:rsidR="0040300B" w:rsidRDefault="0040300B">
            <w:pPr>
              <w:rPr>
                <w:rFonts w:ascii="宋体"/>
              </w:rPr>
            </w:pPr>
          </w:p>
        </w:tc>
        <w:tc>
          <w:tcPr>
            <w:tcW w:w="50" w:type="pct"/>
            <w:shd w:val="clear" w:color="auto" w:fill="auto"/>
          </w:tcPr>
          <w:p w14:paraId="7B66E45F" w14:textId="77777777" w:rsidR="0040300B" w:rsidRDefault="0040300B">
            <w:pPr>
              <w:rPr>
                <w:rFonts w:ascii="宋体"/>
              </w:rPr>
            </w:pPr>
          </w:p>
        </w:tc>
        <w:tc>
          <w:tcPr>
            <w:tcW w:w="434" w:type="pct"/>
            <w:shd w:val="clear" w:color="auto" w:fill="auto"/>
          </w:tcPr>
          <w:p w14:paraId="7B66E460" w14:textId="77777777" w:rsidR="0040300B" w:rsidRDefault="0040300B">
            <w:pPr>
              <w:rPr>
                <w:rFonts w:ascii="宋体"/>
              </w:rPr>
            </w:pPr>
          </w:p>
        </w:tc>
        <w:tc>
          <w:tcPr>
            <w:tcW w:w="5" w:type="pct"/>
            <w:shd w:val="clear" w:color="auto" w:fill="auto"/>
          </w:tcPr>
          <w:p w14:paraId="7B66E461" w14:textId="77777777" w:rsidR="0040300B" w:rsidRDefault="0040300B">
            <w:pPr>
              <w:rPr>
                <w:rFonts w:ascii="宋体"/>
              </w:rPr>
            </w:pPr>
          </w:p>
        </w:tc>
        <w:tc>
          <w:tcPr>
            <w:tcW w:w="5" w:type="pct"/>
            <w:shd w:val="clear" w:color="auto" w:fill="auto"/>
          </w:tcPr>
          <w:p w14:paraId="7B66E462" w14:textId="77777777" w:rsidR="0040300B" w:rsidRDefault="0040300B">
            <w:pPr>
              <w:rPr>
                <w:rFonts w:ascii="宋体"/>
              </w:rPr>
            </w:pPr>
          </w:p>
        </w:tc>
        <w:tc>
          <w:tcPr>
            <w:tcW w:w="26" w:type="pct"/>
            <w:shd w:val="clear" w:color="auto" w:fill="auto"/>
          </w:tcPr>
          <w:p w14:paraId="7B66E463" w14:textId="77777777" w:rsidR="0040300B" w:rsidRDefault="0040300B">
            <w:pPr>
              <w:rPr>
                <w:rFonts w:ascii="宋体"/>
              </w:rPr>
            </w:pPr>
          </w:p>
        </w:tc>
        <w:tc>
          <w:tcPr>
            <w:tcW w:w="5" w:type="pct"/>
            <w:shd w:val="clear" w:color="auto" w:fill="auto"/>
          </w:tcPr>
          <w:p w14:paraId="7B66E464" w14:textId="77777777" w:rsidR="0040300B" w:rsidRDefault="0040300B">
            <w:pPr>
              <w:rPr>
                <w:rFonts w:ascii="宋体"/>
              </w:rPr>
            </w:pPr>
          </w:p>
        </w:tc>
        <w:tc>
          <w:tcPr>
            <w:tcW w:w="50" w:type="pct"/>
            <w:shd w:val="clear" w:color="auto" w:fill="auto"/>
          </w:tcPr>
          <w:p w14:paraId="7B66E465" w14:textId="77777777" w:rsidR="0040300B" w:rsidRDefault="0040300B">
            <w:pPr>
              <w:rPr>
                <w:rFonts w:ascii="宋体"/>
              </w:rPr>
            </w:pPr>
          </w:p>
        </w:tc>
        <w:tc>
          <w:tcPr>
            <w:tcW w:w="434" w:type="pct"/>
            <w:shd w:val="clear" w:color="auto" w:fill="auto"/>
          </w:tcPr>
          <w:p w14:paraId="7B66E466" w14:textId="77777777" w:rsidR="0040300B" w:rsidRDefault="0040300B">
            <w:pPr>
              <w:rPr>
                <w:rFonts w:ascii="宋体"/>
              </w:rPr>
            </w:pPr>
          </w:p>
        </w:tc>
        <w:tc>
          <w:tcPr>
            <w:tcW w:w="5" w:type="pct"/>
            <w:shd w:val="clear" w:color="auto" w:fill="auto"/>
          </w:tcPr>
          <w:p w14:paraId="7B66E467" w14:textId="77777777" w:rsidR="0040300B" w:rsidRDefault="0040300B">
            <w:pPr>
              <w:rPr>
                <w:rFonts w:ascii="宋体"/>
              </w:rPr>
            </w:pPr>
          </w:p>
        </w:tc>
        <w:tc>
          <w:tcPr>
            <w:tcW w:w="5" w:type="pct"/>
            <w:shd w:val="clear" w:color="auto" w:fill="auto"/>
          </w:tcPr>
          <w:p w14:paraId="7B66E468" w14:textId="77777777" w:rsidR="0040300B" w:rsidRDefault="0040300B">
            <w:pPr>
              <w:rPr>
                <w:rFonts w:ascii="宋体"/>
              </w:rPr>
            </w:pPr>
          </w:p>
        </w:tc>
        <w:tc>
          <w:tcPr>
            <w:tcW w:w="26" w:type="pct"/>
            <w:shd w:val="clear" w:color="auto" w:fill="auto"/>
          </w:tcPr>
          <w:p w14:paraId="7B66E469" w14:textId="77777777" w:rsidR="0040300B" w:rsidRDefault="0040300B">
            <w:pPr>
              <w:rPr>
                <w:rFonts w:ascii="宋体"/>
              </w:rPr>
            </w:pPr>
          </w:p>
        </w:tc>
        <w:tc>
          <w:tcPr>
            <w:tcW w:w="5" w:type="pct"/>
            <w:shd w:val="clear" w:color="auto" w:fill="auto"/>
          </w:tcPr>
          <w:p w14:paraId="7B66E46A" w14:textId="77777777" w:rsidR="0040300B" w:rsidRDefault="0040300B">
            <w:pPr>
              <w:rPr>
                <w:rFonts w:ascii="宋体"/>
              </w:rPr>
            </w:pPr>
          </w:p>
        </w:tc>
        <w:tc>
          <w:tcPr>
            <w:tcW w:w="50" w:type="pct"/>
            <w:shd w:val="clear" w:color="auto" w:fill="auto"/>
          </w:tcPr>
          <w:p w14:paraId="7B66E46B" w14:textId="77777777" w:rsidR="0040300B" w:rsidRDefault="0040300B">
            <w:pPr>
              <w:rPr>
                <w:rFonts w:ascii="宋体"/>
              </w:rPr>
            </w:pPr>
          </w:p>
        </w:tc>
        <w:tc>
          <w:tcPr>
            <w:tcW w:w="434" w:type="pct"/>
            <w:shd w:val="clear" w:color="auto" w:fill="auto"/>
          </w:tcPr>
          <w:p w14:paraId="7B66E46C" w14:textId="77777777" w:rsidR="0040300B" w:rsidRDefault="0040300B">
            <w:pPr>
              <w:rPr>
                <w:rFonts w:ascii="宋体"/>
              </w:rPr>
            </w:pPr>
          </w:p>
        </w:tc>
        <w:tc>
          <w:tcPr>
            <w:tcW w:w="5" w:type="pct"/>
            <w:shd w:val="clear" w:color="auto" w:fill="auto"/>
          </w:tcPr>
          <w:p w14:paraId="7B66E46D" w14:textId="77777777" w:rsidR="0040300B" w:rsidRDefault="0040300B">
            <w:pPr>
              <w:rPr>
                <w:rFonts w:ascii="宋体"/>
              </w:rPr>
            </w:pPr>
          </w:p>
        </w:tc>
        <w:tc>
          <w:tcPr>
            <w:tcW w:w="5" w:type="pct"/>
            <w:shd w:val="clear" w:color="auto" w:fill="auto"/>
          </w:tcPr>
          <w:p w14:paraId="7B66E46E" w14:textId="77777777" w:rsidR="0040300B" w:rsidRDefault="0040300B">
            <w:pPr>
              <w:rPr>
                <w:rFonts w:ascii="宋体"/>
              </w:rPr>
            </w:pPr>
          </w:p>
        </w:tc>
        <w:tc>
          <w:tcPr>
            <w:tcW w:w="26" w:type="pct"/>
            <w:shd w:val="clear" w:color="auto" w:fill="auto"/>
          </w:tcPr>
          <w:p w14:paraId="7B66E46F" w14:textId="77777777" w:rsidR="0040300B" w:rsidRDefault="0040300B">
            <w:pPr>
              <w:rPr>
                <w:rFonts w:ascii="宋体"/>
              </w:rPr>
            </w:pPr>
          </w:p>
        </w:tc>
        <w:tc>
          <w:tcPr>
            <w:tcW w:w="5" w:type="pct"/>
            <w:shd w:val="clear" w:color="auto" w:fill="auto"/>
          </w:tcPr>
          <w:p w14:paraId="7B66E470" w14:textId="77777777" w:rsidR="0040300B" w:rsidRDefault="0040300B">
            <w:pPr>
              <w:rPr>
                <w:rFonts w:ascii="宋体"/>
              </w:rPr>
            </w:pPr>
          </w:p>
        </w:tc>
        <w:tc>
          <w:tcPr>
            <w:tcW w:w="50" w:type="pct"/>
            <w:shd w:val="clear" w:color="auto" w:fill="auto"/>
          </w:tcPr>
          <w:p w14:paraId="7B66E471" w14:textId="77777777" w:rsidR="0040300B" w:rsidRDefault="0040300B">
            <w:pPr>
              <w:rPr>
                <w:rFonts w:ascii="宋体"/>
              </w:rPr>
            </w:pPr>
          </w:p>
        </w:tc>
        <w:tc>
          <w:tcPr>
            <w:tcW w:w="434" w:type="pct"/>
            <w:shd w:val="clear" w:color="auto" w:fill="auto"/>
          </w:tcPr>
          <w:p w14:paraId="7B66E472" w14:textId="77777777" w:rsidR="0040300B" w:rsidRDefault="0040300B">
            <w:pPr>
              <w:rPr>
                <w:rFonts w:ascii="宋体"/>
              </w:rPr>
            </w:pPr>
          </w:p>
        </w:tc>
        <w:tc>
          <w:tcPr>
            <w:tcW w:w="5" w:type="pct"/>
            <w:shd w:val="clear" w:color="auto" w:fill="auto"/>
          </w:tcPr>
          <w:p w14:paraId="7B66E473" w14:textId="77777777" w:rsidR="0040300B" w:rsidRDefault="0040300B">
            <w:pPr>
              <w:rPr>
                <w:rFonts w:ascii="宋体"/>
              </w:rPr>
            </w:pPr>
          </w:p>
        </w:tc>
        <w:tc>
          <w:tcPr>
            <w:tcW w:w="5" w:type="pct"/>
            <w:shd w:val="clear" w:color="auto" w:fill="auto"/>
          </w:tcPr>
          <w:p w14:paraId="7B66E474" w14:textId="77777777" w:rsidR="0040300B" w:rsidRDefault="0040300B">
            <w:pPr>
              <w:rPr>
                <w:rFonts w:ascii="宋体"/>
              </w:rPr>
            </w:pPr>
          </w:p>
        </w:tc>
        <w:tc>
          <w:tcPr>
            <w:tcW w:w="26" w:type="pct"/>
            <w:shd w:val="clear" w:color="auto" w:fill="auto"/>
          </w:tcPr>
          <w:p w14:paraId="7B66E475" w14:textId="77777777" w:rsidR="0040300B" w:rsidRDefault="0040300B">
            <w:pPr>
              <w:rPr>
                <w:rFonts w:ascii="宋体"/>
              </w:rPr>
            </w:pPr>
          </w:p>
        </w:tc>
        <w:tc>
          <w:tcPr>
            <w:tcW w:w="5" w:type="pct"/>
            <w:shd w:val="clear" w:color="auto" w:fill="auto"/>
          </w:tcPr>
          <w:p w14:paraId="7B66E476" w14:textId="77777777" w:rsidR="0040300B" w:rsidRDefault="0040300B">
            <w:pPr>
              <w:rPr>
                <w:rFonts w:ascii="宋体"/>
              </w:rPr>
            </w:pPr>
          </w:p>
        </w:tc>
        <w:tc>
          <w:tcPr>
            <w:tcW w:w="50" w:type="pct"/>
            <w:shd w:val="clear" w:color="auto" w:fill="auto"/>
          </w:tcPr>
          <w:p w14:paraId="7B66E477" w14:textId="77777777" w:rsidR="0040300B" w:rsidRDefault="0040300B">
            <w:pPr>
              <w:rPr>
                <w:rFonts w:ascii="宋体"/>
              </w:rPr>
            </w:pPr>
          </w:p>
        </w:tc>
        <w:tc>
          <w:tcPr>
            <w:tcW w:w="435" w:type="pct"/>
            <w:shd w:val="clear" w:color="auto" w:fill="auto"/>
          </w:tcPr>
          <w:p w14:paraId="7B66E478" w14:textId="77777777" w:rsidR="0040300B" w:rsidRDefault="0040300B">
            <w:pPr>
              <w:rPr>
                <w:rFonts w:ascii="宋体"/>
              </w:rPr>
            </w:pPr>
          </w:p>
        </w:tc>
        <w:tc>
          <w:tcPr>
            <w:tcW w:w="5" w:type="pct"/>
            <w:shd w:val="clear" w:color="auto" w:fill="auto"/>
          </w:tcPr>
          <w:p w14:paraId="7B66E479" w14:textId="77777777" w:rsidR="0040300B" w:rsidRDefault="0040300B">
            <w:pPr>
              <w:rPr>
                <w:rFonts w:ascii="宋体"/>
              </w:rPr>
            </w:pPr>
          </w:p>
        </w:tc>
      </w:tr>
      <w:tr w:rsidR="0040300B" w14:paraId="7B66E485" w14:textId="77777777">
        <w:trPr>
          <w:jc w:val="center"/>
        </w:trPr>
        <w:tc>
          <w:tcPr>
            <w:tcW w:w="0" w:type="auto"/>
            <w:gridSpan w:val="3"/>
            <w:shd w:val="clear" w:color="auto" w:fill="auto"/>
            <w:tcMar>
              <w:top w:w="40" w:type="dxa"/>
              <w:left w:w="20" w:type="dxa"/>
              <w:bottom w:w="40" w:type="dxa"/>
              <w:right w:w="20" w:type="dxa"/>
            </w:tcMar>
            <w:vAlign w:val="bottom"/>
          </w:tcPr>
          <w:p w14:paraId="7B66E47B" w14:textId="77777777" w:rsidR="0040300B" w:rsidRDefault="00BB2D44">
            <w:pPr>
              <w:textAlignment w:val="bottom"/>
            </w:pPr>
            <w:r>
              <w:rPr>
                <w:rFonts w:ascii="Times New Roman" w:eastAsia="宋体" w:hAnsi="Times New Roman"/>
                <w:color w:val="000000"/>
                <w:sz w:val="16"/>
                <w:szCs w:val="16"/>
                <w:u w:val="single"/>
              </w:rPr>
              <w:t>Nine Months Ended May 1, 2021</w:t>
            </w:r>
          </w:p>
        </w:tc>
        <w:tc>
          <w:tcPr>
            <w:tcW w:w="0" w:type="auto"/>
            <w:gridSpan w:val="3"/>
            <w:shd w:val="clear" w:color="auto" w:fill="auto"/>
            <w:tcMar>
              <w:top w:w="40" w:type="dxa"/>
              <w:left w:w="20" w:type="dxa"/>
              <w:bottom w:w="40" w:type="dxa"/>
              <w:right w:w="20" w:type="dxa"/>
            </w:tcMar>
            <w:vAlign w:val="bottom"/>
          </w:tcPr>
          <w:p w14:paraId="7B66E47C" w14:textId="77777777" w:rsidR="0040300B" w:rsidRDefault="00BB2D4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7B66E47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47E" w14:textId="77777777" w:rsidR="0040300B" w:rsidRDefault="00BB2D4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7B66E47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480" w14:textId="77777777" w:rsidR="0040300B" w:rsidRDefault="00BB2D44">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7B66E48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482" w14:textId="77777777" w:rsidR="0040300B" w:rsidRDefault="00BB2D4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tcPr>
          <w:p w14:paraId="7B66E48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484" w14:textId="77777777" w:rsidR="0040300B" w:rsidRDefault="00BB2D4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40300B" w14:paraId="7B66E499" w14:textId="77777777">
        <w:trPr>
          <w:jc w:val="center"/>
        </w:trPr>
        <w:tc>
          <w:tcPr>
            <w:tcW w:w="0" w:type="auto"/>
            <w:gridSpan w:val="3"/>
            <w:shd w:val="clear" w:color="auto" w:fill="CCEEFF"/>
            <w:tcMar>
              <w:top w:w="40" w:type="dxa"/>
              <w:left w:w="20" w:type="dxa"/>
              <w:bottom w:w="40" w:type="dxa"/>
              <w:right w:w="20" w:type="dxa"/>
            </w:tcMar>
            <w:vAlign w:val="bottom"/>
          </w:tcPr>
          <w:p w14:paraId="7B66E486" w14:textId="77777777" w:rsidR="0040300B" w:rsidRDefault="00BB2D44">
            <w:pPr>
              <w:textAlignment w:val="bottom"/>
            </w:pPr>
            <w:r>
              <w:rPr>
                <w:rFonts w:ascii="Times New Roman" w:eastAsia="宋体" w:hAnsi="Times New Roman"/>
                <w:color w:val="000000"/>
                <w:sz w:val="20"/>
                <w:szCs w:val="20"/>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487" w14:textId="77777777" w:rsidR="0040300B" w:rsidRDefault="00BB2D44">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48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8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48A"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48B" w14:textId="77777777" w:rsidR="0040300B" w:rsidRDefault="00BB2D44">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48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8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48E"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48F" w14:textId="77777777" w:rsidR="0040300B" w:rsidRDefault="00BB2D44">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49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9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492"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493" w14:textId="77777777" w:rsidR="0040300B" w:rsidRDefault="00BB2D44">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49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9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496"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497" w14:textId="77777777" w:rsidR="0040300B" w:rsidRDefault="00BB2D44">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498" w14:textId="77777777" w:rsidR="0040300B" w:rsidRDefault="0040300B">
            <w:pPr>
              <w:jc w:val="right"/>
              <w:rPr>
                <w:rFonts w:ascii="宋体"/>
              </w:rPr>
            </w:pPr>
          </w:p>
        </w:tc>
      </w:tr>
      <w:tr w:rsidR="0040300B" w14:paraId="7B66E4A6" w14:textId="77777777">
        <w:trPr>
          <w:jc w:val="center"/>
        </w:trPr>
        <w:tc>
          <w:tcPr>
            <w:tcW w:w="0" w:type="auto"/>
            <w:gridSpan w:val="3"/>
            <w:shd w:val="clear" w:color="auto" w:fill="FFFFFF"/>
            <w:tcMar>
              <w:top w:w="40" w:type="dxa"/>
              <w:left w:w="20" w:type="dxa"/>
              <w:bottom w:w="40" w:type="dxa"/>
              <w:right w:w="20" w:type="dxa"/>
            </w:tcMar>
            <w:vAlign w:val="bottom"/>
          </w:tcPr>
          <w:p w14:paraId="7B66E49A" w14:textId="77777777" w:rsidR="0040300B" w:rsidRDefault="00BB2D44">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7B66E49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9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9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9E"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49F" w14:textId="77777777" w:rsidR="0040300B" w:rsidRDefault="00BB2D44">
            <w:pPr>
              <w:jc w:val="right"/>
              <w:textAlignment w:val="bottom"/>
            </w:pPr>
            <w:r>
              <w:rPr>
                <w:rFonts w:ascii="Times New Roman" w:eastAsia="宋体" w:hAnsi="Times New Roman"/>
                <w:color w:val="000000"/>
                <w:sz w:val="19"/>
                <w:szCs w:val="19"/>
              </w:rPr>
              <w:t>7,582 </w:t>
            </w:r>
          </w:p>
        </w:tc>
        <w:tc>
          <w:tcPr>
            <w:tcW w:w="0" w:type="auto"/>
            <w:shd w:val="clear" w:color="auto" w:fill="auto"/>
            <w:tcMar>
              <w:top w:w="40" w:type="dxa"/>
              <w:left w:w="0" w:type="dxa"/>
              <w:bottom w:w="40" w:type="dxa"/>
              <w:right w:w="20" w:type="dxa"/>
            </w:tcMar>
            <w:vAlign w:val="bottom"/>
          </w:tcPr>
          <w:p w14:paraId="7B66E4A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A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A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A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A4" w14:textId="77777777" w:rsidR="0040300B" w:rsidRDefault="00BB2D44">
            <w:pPr>
              <w:jc w:val="right"/>
              <w:textAlignment w:val="bottom"/>
            </w:pPr>
            <w:r>
              <w:rPr>
                <w:rFonts w:ascii="Times New Roman" w:eastAsia="宋体" w:hAnsi="Times New Roman"/>
                <w:color w:val="000000"/>
                <w:sz w:val="19"/>
                <w:szCs w:val="19"/>
              </w:rPr>
              <w:t>7,582 </w:t>
            </w:r>
          </w:p>
        </w:tc>
        <w:tc>
          <w:tcPr>
            <w:tcW w:w="0" w:type="auto"/>
            <w:shd w:val="clear" w:color="auto" w:fill="FFFFFF"/>
            <w:tcMar>
              <w:top w:w="40" w:type="dxa"/>
              <w:left w:w="0" w:type="dxa"/>
              <w:bottom w:w="40" w:type="dxa"/>
              <w:right w:w="20" w:type="dxa"/>
            </w:tcMar>
            <w:vAlign w:val="bottom"/>
          </w:tcPr>
          <w:p w14:paraId="7B66E4A5" w14:textId="77777777" w:rsidR="0040300B" w:rsidRDefault="0040300B">
            <w:pPr>
              <w:jc w:val="right"/>
              <w:rPr>
                <w:rFonts w:ascii="宋体"/>
              </w:rPr>
            </w:pPr>
          </w:p>
        </w:tc>
      </w:tr>
      <w:tr w:rsidR="0040300B" w14:paraId="7B66E4B3" w14:textId="77777777">
        <w:trPr>
          <w:jc w:val="center"/>
        </w:trPr>
        <w:tc>
          <w:tcPr>
            <w:tcW w:w="0" w:type="auto"/>
            <w:gridSpan w:val="3"/>
            <w:shd w:val="clear" w:color="auto" w:fill="CCEEFF"/>
            <w:tcMar>
              <w:top w:w="40" w:type="dxa"/>
              <w:left w:w="20" w:type="dxa"/>
              <w:bottom w:w="40" w:type="dxa"/>
              <w:right w:w="20" w:type="dxa"/>
            </w:tcMar>
            <w:vAlign w:val="bottom"/>
          </w:tcPr>
          <w:p w14:paraId="7B66E4A7" w14:textId="77777777" w:rsidR="0040300B" w:rsidRDefault="00BB2D44">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w:t>
            </w:r>
          </w:p>
        </w:tc>
        <w:tc>
          <w:tcPr>
            <w:tcW w:w="0" w:type="auto"/>
            <w:gridSpan w:val="3"/>
            <w:shd w:val="clear" w:color="auto" w:fill="CCEEFF"/>
            <w:tcMar>
              <w:top w:w="0" w:type="dxa"/>
              <w:left w:w="20" w:type="dxa"/>
              <w:bottom w:w="0" w:type="dxa"/>
              <w:right w:w="20" w:type="dxa"/>
            </w:tcMar>
          </w:tcPr>
          <w:p w14:paraId="7B66E4A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A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A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A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A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A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AE" w14:textId="77777777" w:rsidR="0040300B" w:rsidRDefault="00BB2D44">
            <w:pPr>
              <w:jc w:val="right"/>
              <w:textAlignment w:val="bottom"/>
            </w:pPr>
            <w:r>
              <w:rPr>
                <w:rFonts w:ascii="Times New Roman" w:eastAsia="宋体" w:hAnsi="Times New Roman"/>
                <w:color w:val="000000"/>
                <w:sz w:val="19"/>
                <w:szCs w:val="19"/>
              </w:rPr>
              <w:t>231 </w:t>
            </w:r>
          </w:p>
        </w:tc>
        <w:tc>
          <w:tcPr>
            <w:tcW w:w="0" w:type="auto"/>
            <w:shd w:val="clear" w:color="auto" w:fill="CCEEFF"/>
            <w:tcMar>
              <w:top w:w="40" w:type="dxa"/>
              <w:left w:w="0" w:type="dxa"/>
              <w:bottom w:w="40" w:type="dxa"/>
              <w:right w:w="20" w:type="dxa"/>
            </w:tcMar>
            <w:vAlign w:val="bottom"/>
          </w:tcPr>
          <w:p w14:paraId="7B66E4A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B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B1" w14:textId="77777777" w:rsidR="0040300B" w:rsidRDefault="00BB2D44">
            <w:pPr>
              <w:jc w:val="right"/>
              <w:textAlignment w:val="bottom"/>
            </w:pPr>
            <w:r>
              <w:rPr>
                <w:rFonts w:ascii="Times New Roman" w:eastAsia="宋体" w:hAnsi="Times New Roman"/>
                <w:color w:val="000000"/>
                <w:sz w:val="19"/>
                <w:szCs w:val="19"/>
              </w:rPr>
              <w:t>231 </w:t>
            </w:r>
          </w:p>
        </w:tc>
        <w:tc>
          <w:tcPr>
            <w:tcW w:w="0" w:type="auto"/>
            <w:shd w:val="clear" w:color="auto" w:fill="CCEEFF"/>
            <w:tcMar>
              <w:top w:w="40" w:type="dxa"/>
              <w:left w:w="0" w:type="dxa"/>
              <w:bottom w:w="40" w:type="dxa"/>
              <w:right w:w="20" w:type="dxa"/>
            </w:tcMar>
            <w:vAlign w:val="bottom"/>
          </w:tcPr>
          <w:p w14:paraId="7B66E4B2" w14:textId="77777777" w:rsidR="0040300B" w:rsidRDefault="0040300B">
            <w:pPr>
              <w:jc w:val="right"/>
              <w:rPr>
                <w:rFonts w:ascii="宋体"/>
              </w:rPr>
            </w:pPr>
          </w:p>
        </w:tc>
      </w:tr>
      <w:tr w:rsidR="0040300B" w14:paraId="7B66E4C1" w14:textId="77777777">
        <w:trPr>
          <w:jc w:val="center"/>
        </w:trPr>
        <w:tc>
          <w:tcPr>
            <w:tcW w:w="0" w:type="auto"/>
            <w:gridSpan w:val="3"/>
            <w:shd w:val="clear" w:color="auto" w:fill="FFFFFF"/>
            <w:tcMar>
              <w:top w:w="40" w:type="dxa"/>
              <w:left w:w="20" w:type="dxa"/>
              <w:bottom w:w="40" w:type="dxa"/>
              <w:right w:w="20" w:type="dxa"/>
            </w:tcMar>
            <w:vAlign w:val="bottom"/>
          </w:tcPr>
          <w:p w14:paraId="7B66E4B4" w14:textId="77777777" w:rsidR="0040300B" w:rsidRDefault="00BB2D44">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7B66E4B5" w14:textId="77777777" w:rsidR="0040300B" w:rsidRDefault="00BB2D44">
            <w:pPr>
              <w:jc w:val="right"/>
              <w:textAlignment w:val="bottom"/>
            </w:pPr>
            <w:r>
              <w:rPr>
                <w:rFonts w:ascii="Times New Roman" w:eastAsia="宋体" w:hAnsi="Times New Roman"/>
                <w:color w:val="000000"/>
                <w:sz w:val="19"/>
                <w:szCs w:val="19"/>
              </w:rPr>
              <w:t>37 </w:t>
            </w:r>
          </w:p>
        </w:tc>
        <w:tc>
          <w:tcPr>
            <w:tcW w:w="0" w:type="auto"/>
            <w:shd w:val="clear" w:color="auto" w:fill="FFFFFF"/>
            <w:tcMar>
              <w:top w:w="40" w:type="dxa"/>
              <w:left w:w="0" w:type="dxa"/>
              <w:bottom w:w="40" w:type="dxa"/>
              <w:right w:w="20" w:type="dxa"/>
            </w:tcMar>
            <w:vAlign w:val="bottom"/>
          </w:tcPr>
          <w:p w14:paraId="7B66E4B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B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B8" w14:textId="77777777" w:rsidR="0040300B" w:rsidRDefault="00BB2D44">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7B66E4B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B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B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B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B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B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BF" w14:textId="77777777" w:rsidR="0040300B" w:rsidRDefault="00BB2D44">
            <w:pPr>
              <w:jc w:val="right"/>
              <w:textAlignment w:val="bottom"/>
            </w:pPr>
            <w:r>
              <w:rPr>
                <w:rFonts w:ascii="Times New Roman" w:eastAsia="宋体" w:hAnsi="Times New Roman"/>
                <w:color w:val="000000"/>
                <w:sz w:val="19"/>
                <w:szCs w:val="19"/>
              </w:rPr>
              <w:t>307 </w:t>
            </w:r>
          </w:p>
        </w:tc>
        <w:tc>
          <w:tcPr>
            <w:tcW w:w="0" w:type="auto"/>
            <w:shd w:val="clear" w:color="auto" w:fill="FFFFFF"/>
            <w:tcMar>
              <w:top w:w="40" w:type="dxa"/>
              <w:left w:w="0" w:type="dxa"/>
              <w:bottom w:w="40" w:type="dxa"/>
              <w:right w:w="20" w:type="dxa"/>
            </w:tcMar>
            <w:vAlign w:val="bottom"/>
          </w:tcPr>
          <w:p w14:paraId="7B66E4C0" w14:textId="77777777" w:rsidR="0040300B" w:rsidRDefault="0040300B">
            <w:pPr>
              <w:jc w:val="right"/>
              <w:rPr>
                <w:rFonts w:ascii="宋体"/>
              </w:rPr>
            </w:pPr>
          </w:p>
        </w:tc>
      </w:tr>
      <w:tr w:rsidR="0040300B" w14:paraId="7B66E4D0" w14:textId="77777777">
        <w:trPr>
          <w:jc w:val="center"/>
        </w:trPr>
        <w:tc>
          <w:tcPr>
            <w:tcW w:w="0" w:type="auto"/>
            <w:gridSpan w:val="3"/>
            <w:shd w:val="clear" w:color="auto" w:fill="CCEEFF"/>
            <w:tcMar>
              <w:top w:w="40" w:type="dxa"/>
              <w:left w:w="20" w:type="dxa"/>
              <w:bottom w:w="40" w:type="dxa"/>
              <w:right w:w="20" w:type="dxa"/>
            </w:tcMar>
            <w:vAlign w:val="bottom"/>
          </w:tcPr>
          <w:p w14:paraId="7B66E4C2" w14:textId="77777777" w:rsidR="0040300B" w:rsidRDefault="00BB2D44">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7B66E4C3" w14:textId="77777777" w:rsidR="0040300B" w:rsidRDefault="00BB2D44">
            <w:pPr>
              <w:jc w:val="right"/>
              <w:textAlignment w:val="bottom"/>
            </w:pPr>
            <w:r>
              <w:rPr>
                <w:rFonts w:ascii="Times New Roman" w:eastAsia="宋体" w:hAnsi="Times New Roman"/>
                <w:color w:val="000000"/>
                <w:sz w:val="19"/>
                <w:szCs w:val="19"/>
              </w:rPr>
              <w:t>(49)</w:t>
            </w:r>
          </w:p>
        </w:tc>
        <w:tc>
          <w:tcPr>
            <w:tcW w:w="0" w:type="auto"/>
            <w:shd w:val="clear" w:color="auto" w:fill="CCEEFF"/>
            <w:tcMar>
              <w:top w:w="40" w:type="dxa"/>
              <w:left w:w="0" w:type="dxa"/>
              <w:bottom w:w="40" w:type="dxa"/>
              <w:right w:w="20" w:type="dxa"/>
            </w:tcMar>
            <w:vAlign w:val="bottom"/>
          </w:tcPr>
          <w:p w14:paraId="7B66E4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C6" w14:textId="77777777" w:rsidR="0040300B" w:rsidRDefault="00BB2D44">
            <w:pPr>
              <w:jc w:val="right"/>
              <w:textAlignment w:val="bottom"/>
            </w:pPr>
            <w:r>
              <w:rPr>
                <w:rFonts w:ascii="Times New Roman" w:eastAsia="宋体" w:hAnsi="Times New Roman"/>
                <w:color w:val="000000"/>
                <w:sz w:val="19"/>
                <w:szCs w:val="19"/>
              </w:rPr>
              <w:t>(478)</w:t>
            </w:r>
          </w:p>
        </w:tc>
        <w:tc>
          <w:tcPr>
            <w:tcW w:w="0" w:type="auto"/>
            <w:shd w:val="clear" w:color="auto" w:fill="CCEEFF"/>
            <w:tcMar>
              <w:top w:w="40" w:type="dxa"/>
              <w:left w:w="0" w:type="dxa"/>
              <w:bottom w:w="40" w:type="dxa"/>
              <w:right w:w="20" w:type="dxa"/>
            </w:tcMar>
            <w:vAlign w:val="bottom"/>
          </w:tcPr>
          <w:p w14:paraId="7B66E4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C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C9" w14:textId="77777777" w:rsidR="0040300B" w:rsidRDefault="00BB2D44">
            <w:pPr>
              <w:jc w:val="right"/>
              <w:textAlignment w:val="bottom"/>
            </w:pPr>
            <w:r>
              <w:rPr>
                <w:rFonts w:ascii="Times New Roman" w:eastAsia="宋体" w:hAnsi="Times New Roman"/>
                <w:color w:val="000000"/>
                <w:sz w:val="19"/>
                <w:szCs w:val="19"/>
              </w:rPr>
              <w:t>(1,633)</w:t>
            </w:r>
          </w:p>
        </w:tc>
        <w:tc>
          <w:tcPr>
            <w:tcW w:w="0" w:type="auto"/>
            <w:shd w:val="clear" w:color="auto" w:fill="CCEEFF"/>
            <w:tcMar>
              <w:top w:w="40" w:type="dxa"/>
              <w:left w:w="0" w:type="dxa"/>
              <w:bottom w:w="40" w:type="dxa"/>
              <w:right w:w="20" w:type="dxa"/>
            </w:tcMar>
            <w:vAlign w:val="bottom"/>
          </w:tcPr>
          <w:p w14:paraId="7B66E4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C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C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C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CE" w14:textId="77777777" w:rsidR="0040300B" w:rsidRDefault="00BB2D44">
            <w:pPr>
              <w:jc w:val="right"/>
              <w:textAlignment w:val="bottom"/>
            </w:pPr>
            <w:r>
              <w:rPr>
                <w:rFonts w:ascii="Times New Roman" w:eastAsia="宋体" w:hAnsi="Times New Roman"/>
                <w:color w:val="000000"/>
                <w:sz w:val="19"/>
                <w:szCs w:val="19"/>
              </w:rPr>
              <w:t>(2,111)</w:t>
            </w:r>
          </w:p>
        </w:tc>
        <w:tc>
          <w:tcPr>
            <w:tcW w:w="0" w:type="auto"/>
            <w:shd w:val="clear" w:color="auto" w:fill="CCEEFF"/>
            <w:tcMar>
              <w:top w:w="40" w:type="dxa"/>
              <w:left w:w="0" w:type="dxa"/>
              <w:bottom w:w="40" w:type="dxa"/>
              <w:right w:w="20" w:type="dxa"/>
            </w:tcMar>
            <w:vAlign w:val="bottom"/>
          </w:tcPr>
          <w:p w14:paraId="7B66E4CF" w14:textId="77777777" w:rsidR="0040300B" w:rsidRDefault="0040300B">
            <w:pPr>
              <w:jc w:val="right"/>
              <w:rPr>
                <w:rFonts w:ascii="宋体"/>
              </w:rPr>
            </w:pPr>
          </w:p>
        </w:tc>
      </w:tr>
      <w:tr w:rsidR="0040300B" w14:paraId="7B66E4DE" w14:textId="77777777">
        <w:trPr>
          <w:jc w:val="center"/>
        </w:trPr>
        <w:tc>
          <w:tcPr>
            <w:tcW w:w="0" w:type="auto"/>
            <w:gridSpan w:val="3"/>
            <w:shd w:val="clear" w:color="auto" w:fill="FFFFFF"/>
            <w:tcMar>
              <w:top w:w="40" w:type="dxa"/>
              <w:left w:w="20" w:type="dxa"/>
              <w:bottom w:w="40" w:type="dxa"/>
              <w:right w:w="20" w:type="dxa"/>
            </w:tcMar>
            <w:vAlign w:val="bottom"/>
          </w:tcPr>
          <w:p w14:paraId="7B66E4D1" w14:textId="77777777" w:rsidR="0040300B" w:rsidRDefault="00BB2D44">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7B66E4D2" w14:textId="77777777" w:rsidR="0040300B" w:rsidRDefault="00BB2D44">
            <w:pPr>
              <w:jc w:val="right"/>
              <w:textAlignment w:val="bottom"/>
            </w:pPr>
            <w:r>
              <w:rPr>
                <w:rFonts w:ascii="Times New Roman" w:eastAsia="宋体" w:hAnsi="Times New Roman"/>
                <w:color w:val="000000"/>
                <w:sz w:val="19"/>
                <w:szCs w:val="19"/>
              </w:rPr>
              <w:t>(10)</w:t>
            </w:r>
          </w:p>
        </w:tc>
        <w:tc>
          <w:tcPr>
            <w:tcW w:w="0" w:type="auto"/>
            <w:shd w:val="clear" w:color="auto" w:fill="FFFFFF"/>
            <w:tcMar>
              <w:top w:w="40" w:type="dxa"/>
              <w:left w:w="0" w:type="dxa"/>
              <w:bottom w:w="40" w:type="dxa"/>
              <w:right w:w="20" w:type="dxa"/>
            </w:tcMar>
            <w:vAlign w:val="bottom"/>
          </w:tcPr>
          <w:p w14:paraId="7B66E4D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D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D5" w14:textId="77777777" w:rsidR="0040300B" w:rsidRDefault="00BB2D44">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7B66E4D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D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D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D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D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D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DC" w14:textId="77777777" w:rsidR="0040300B" w:rsidRDefault="00BB2D44">
            <w:pPr>
              <w:jc w:val="right"/>
              <w:textAlignment w:val="bottom"/>
            </w:pPr>
            <w:r>
              <w:rPr>
                <w:rFonts w:ascii="Times New Roman" w:eastAsia="宋体" w:hAnsi="Times New Roman"/>
                <w:color w:val="000000"/>
                <w:sz w:val="19"/>
                <w:szCs w:val="19"/>
              </w:rPr>
              <w:t>(419)</w:t>
            </w:r>
          </w:p>
        </w:tc>
        <w:tc>
          <w:tcPr>
            <w:tcW w:w="0" w:type="auto"/>
            <w:shd w:val="clear" w:color="auto" w:fill="FFFFFF"/>
            <w:tcMar>
              <w:top w:w="40" w:type="dxa"/>
              <w:left w:w="0" w:type="dxa"/>
              <w:bottom w:w="40" w:type="dxa"/>
              <w:right w:w="20" w:type="dxa"/>
            </w:tcMar>
            <w:vAlign w:val="bottom"/>
          </w:tcPr>
          <w:p w14:paraId="7B66E4DD" w14:textId="77777777" w:rsidR="0040300B" w:rsidRDefault="0040300B">
            <w:pPr>
              <w:jc w:val="right"/>
              <w:rPr>
                <w:rFonts w:ascii="宋体"/>
              </w:rPr>
            </w:pPr>
          </w:p>
        </w:tc>
      </w:tr>
      <w:tr w:rsidR="0040300B" w14:paraId="7B66E4EB" w14:textId="77777777">
        <w:trPr>
          <w:jc w:val="center"/>
        </w:trPr>
        <w:tc>
          <w:tcPr>
            <w:tcW w:w="0" w:type="auto"/>
            <w:gridSpan w:val="3"/>
            <w:shd w:val="clear" w:color="auto" w:fill="CCEEFF"/>
            <w:tcMar>
              <w:top w:w="40" w:type="dxa"/>
              <w:left w:w="20" w:type="dxa"/>
              <w:bottom w:w="40" w:type="dxa"/>
              <w:right w:w="20" w:type="dxa"/>
            </w:tcMar>
            <w:vAlign w:val="bottom"/>
          </w:tcPr>
          <w:p w14:paraId="7B66E4DF" w14:textId="77777777" w:rsidR="0040300B" w:rsidRDefault="00BB2D44">
            <w:pPr>
              <w:textAlignment w:val="bottom"/>
            </w:pPr>
            <w:r>
              <w:rPr>
                <w:rFonts w:ascii="Times New Roman" w:eastAsia="宋体" w:hAnsi="Times New Roman"/>
                <w:color w:val="000000"/>
                <w:sz w:val="20"/>
                <w:szCs w:val="20"/>
              </w:rPr>
              <w:t>Cash dividends declared ($1.09 per common share)</w:t>
            </w:r>
          </w:p>
        </w:tc>
        <w:tc>
          <w:tcPr>
            <w:tcW w:w="0" w:type="auto"/>
            <w:gridSpan w:val="3"/>
            <w:shd w:val="clear" w:color="auto" w:fill="CCEEFF"/>
            <w:tcMar>
              <w:top w:w="0" w:type="dxa"/>
              <w:left w:w="20" w:type="dxa"/>
              <w:bottom w:w="0" w:type="dxa"/>
              <w:right w:w="20" w:type="dxa"/>
            </w:tcMar>
          </w:tcPr>
          <w:p w14:paraId="7B66E4E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E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E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E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E4" w14:textId="77777777" w:rsidR="0040300B" w:rsidRDefault="00BB2D44">
            <w:pPr>
              <w:jc w:val="right"/>
              <w:textAlignment w:val="bottom"/>
            </w:pPr>
            <w:r>
              <w:rPr>
                <w:rFonts w:ascii="Times New Roman" w:eastAsia="宋体" w:hAnsi="Times New Roman"/>
                <w:color w:val="000000"/>
                <w:sz w:val="19"/>
                <w:szCs w:val="19"/>
              </w:rPr>
              <w:t>(4,604)</w:t>
            </w:r>
          </w:p>
        </w:tc>
        <w:tc>
          <w:tcPr>
            <w:tcW w:w="0" w:type="auto"/>
            <w:shd w:val="clear" w:color="auto" w:fill="CCEEFF"/>
            <w:tcMar>
              <w:top w:w="40" w:type="dxa"/>
              <w:left w:w="0" w:type="dxa"/>
              <w:bottom w:w="40" w:type="dxa"/>
              <w:right w:w="20" w:type="dxa"/>
            </w:tcMar>
            <w:vAlign w:val="bottom"/>
          </w:tcPr>
          <w:p w14:paraId="7B66E4E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E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E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E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E9" w14:textId="77777777" w:rsidR="0040300B" w:rsidRDefault="00BB2D44">
            <w:pPr>
              <w:jc w:val="right"/>
              <w:textAlignment w:val="bottom"/>
            </w:pPr>
            <w:r>
              <w:rPr>
                <w:rFonts w:ascii="Times New Roman" w:eastAsia="宋体" w:hAnsi="Times New Roman"/>
                <w:color w:val="000000"/>
                <w:sz w:val="19"/>
                <w:szCs w:val="19"/>
              </w:rPr>
              <w:t>(4,604)</w:t>
            </w:r>
          </w:p>
        </w:tc>
        <w:tc>
          <w:tcPr>
            <w:tcW w:w="0" w:type="auto"/>
            <w:shd w:val="clear" w:color="auto" w:fill="CCEEFF"/>
            <w:tcMar>
              <w:top w:w="40" w:type="dxa"/>
              <w:left w:w="0" w:type="dxa"/>
              <w:bottom w:w="40" w:type="dxa"/>
              <w:right w:w="20" w:type="dxa"/>
            </w:tcMar>
            <w:vAlign w:val="bottom"/>
          </w:tcPr>
          <w:p w14:paraId="7B66E4EA" w14:textId="77777777" w:rsidR="0040300B" w:rsidRDefault="0040300B">
            <w:pPr>
              <w:jc w:val="right"/>
              <w:rPr>
                <w:rFonts w:ascii="宋体"/>
              </w:rPr>
            </w:pPr>
          </w:p>
        </w:tc>
      </w:tr>
      <w:tr w:rsidR="0040300B" w14:paraId="7B66E4F8" w14:textId="77777777">
        <w:trPr>
          <w:jc w:val="center"/>
        </w:trPr>
        <w:tc>
          <w:tcPr>
            <w:tcW w:w="0" w:type="auto"/>
            <w:gridSpan w:val="3"/>
            <w:shd w:val="clear" w:color="auto" w:fill="FFFFFF"/>
            <w:tcMar>
              <w:top w:w="40" w:type="dxa"/>
              <w:left w:w="20" w:type="dxa"/>
              <w:bottom w:w="40" w:type="dxa"/>
              <w:right w:w="20" w:type="dxa"/>
            </w:tcMar>
            <w:vAlign w:val="bottom"/>
          </w:tcPr>
          <w:p w14:paraId="7B66E4EC" w14:textId="77777777" w:rsidR="0040300B" w:rsidRDefault="00BB2D44">
            <w:pPr>
              <w:textAlignment w:val="bottom"/>
            </w:pPr>
            <w:r>
              <w:rPr>
                <w:rFonts w:ascii="Times New Roman" w:eastAsia="宋体" w:hAnsi="Times New Roman"/>
                <w:color w:val="000000"/>
                <w:sz w:val="20"/>
                <w:szCs w:val="20"/>
              </w:rPr>
              <w:t xml:space="preserve">Effect of adoption of </w:t>
            </w:r>
            <w:r>
              <w:rPr>
                <w:rFonts w:ascii="Times New Roman" w:eastAsia="宋体" w:hAnsi="Times New Roman"/>
                <w:color w:val="000000"/>
                <w:sz w:val="20"/>
                <w:szCs w:val="20"/>
              </w:rPr>
              <w:t>accounting standard</w:t>
            </w:r>
          </w:p>
        </w:tc>
        <w:tc>
          <w:tcPr>
            <w:tcW w:w="0" w:type="auto"/>
            <w:gridSpan w:val="3"/>
            <w:shd w:val="clear" w:color="auto" w:fill="FFFFFF"/>
            <w:tcMar>
              <w:top w:w="0" w:type="dxa"/>
              <w:left w:w="20" w:type="dxa"/>
              <w:bottom w:w="0" w:type="dxa"/>
              <w:right w:w="20" w:type="dxa"/>
            </w:tcMar>
          </w:tcPr>
          <w:p w14:paraId="7B66E4E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E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F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F1" w14:textId="77777777" w:rsidR="0040300B" w:rsidRDefault="00BB2D44">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7B66E4F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4F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F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4F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4F6" w14:textId="77777777" w:rsidR="0040300B" w:rsidRDefault="00BB2D44">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7B66E4F7" w14:textId="77777777" w:rsidR="0040300B" w:rsidRDefault="0040300B">
            <w:pPr>
              <w:jc w:val="right"/>
              <w:rPr>
                <w:rFonts w:ascii="宋体"/>
              </w:rPr>
            </w:pPr>
          </w:p>
        </w:tc>
      </w:tr>
      <w:tr w:rsidR="0040300B" w14:paraId="7B66E505" w14:textId="77777777">
        <w:trPr>
          <w:jc w:val="center"/>
        </w:trPr>
        <w:tc>
          <w:tcPr>
            <w:tcW w:w="0" w:type="auto"/>
            <w:gridSpan w:val="3"/>
            <w:shd w:val="clear" w:color="auto" w:fill="CCEEFF"/>
            <w:tcMar>
              <w:top w:w="40" w:type="dxa"/>
              <w:left w:w="20" w:type="dxa"/>
              <w:bottom w:w="40" w:type="dxa"/>
              <w:right w:w="20" w:type="dxa"/>
            </w:tcMar>
            <w:vAlign w:val="bottom"/>
          </w:tcPr>
          <w:p w14:paraId="7B66E4F9" w14:textId="77777777" w:rsidR="0040300B" w:rsidRDefault="00BB2D44">
            <w:pPr>
              <w:textAlignment w:val="bottom"/>
            </w:pPr>
            <w:r>
              <w:rPr>
                <w:rFonts w:ascii="Times New Roman" w:eastAsia="宋体" w:hAnsi="Times New Roman"/>
                <w:color w:val="000000"/>
                <w:sz w:val="20"/>
                <w:szCs w:val="20"/>
              </w:rPr>
              <w:t>Share-based compensation</w:t>
            </w:r>
          </w:p>
        </w:tc>
        <w:tc>
          <w:tcPr>
            <w:tcW w:w="0" w:type="auto"/>
            <w:gridSpan w:val="3"/>
            <w:shd w:val="clear" w:color="auto" w:fill="CCEEFF"/>
            <w:tcMar>
              <w:top w:w="0" w:type="dxa"/>
              <w:left w:w="20" w:type="dxa"/>
              <w:bottom w:w="0" w:type="dxa"/>
              <w:right w:w="20" w:type="dxa"/>
            </w:tcMar>
          </w:tcPr>
          <w:p w14:paraId="7B66E4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F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4FC" w14:textId="77777777" w:rsidR="0040300B" w:rsidRDefault="00BB2D44">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7B66E4F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4F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4F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0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0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0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03" w14:textId="77777777" w:rsidR="0040300B" w:rsidRDefault="00BB2D44">
            <w:pPr>
              <w:jc w:val="right"/>
              <w:textAlignment w:val="bottom"/>
            </w:pPr>
            <w:r>
              <w:rPr>
                <w:rFonts w:ascii="Times New Roman" w:eastAsia="宋体" w:hAnsi="Times New Roman"/>
                <w:color w:val="000000"/>
                <w:sz w:val="19"/>
                <w:szCs w:val="19"/>
              </w:rPr>
              <w:t>1,337 </w:t>
            </w:r>
          </w:p>
        </w:tc>
        <w:tc>
          <w:tcPr>
            <w:tcW w:w="0" w:type="auto"/>
            <w:shd w:val="clear" w:color="auto" w:fill="CCEEFF"/>
            <w:tcMar>
              <w:top w:w="40" w:type="dxa"/>
              <w:left w:w="0" w:type="dxa"/>
              <w:bottom w:w="40" w:type="dxa"/>
              <w:right w:w="20" w:type="dxa"/>
            </w:tcMar>
            <w:vAlign w:val="bottom"/>
          </w:tcPr>
          <w:p w14:paraId="7B66E504" w14:textId="77777777" w:rsidR="0040300B" w:rsidRDefault="0040300B">
            <w:pPr>
              <w:jc w:val="right"/>
              <w:rPr>
                <w:rFonts w:ascii="宋体"/>
              </w:rPr>
            </w:pPr>
          </w:p>
        </w:tc>
      </w:tr>
      <w:tr w:rsidR="0040300B" w14:paraId="7B66E519" w14:textId="77777777">
        <w:trPr>
          <w:jc w:val="center"/>
        </w:trPr>
        <w:tc>
          <w:tcPr>
            <w:tcW w:w="0" w:type="auto"/>
            <w:gridSpan w:val="3"/>
            <w:shd w:val="clear" w:color="auto" w:fill="FFFFFF"/>
            <w:tcMar>
              <w:top w:w="40" w:type="dxa"/>
              <w:left w:w="20" w:type="dxa"/>
              <w:bottom w:w="40" w:type="dxa"/>
              <w:right w:w="20" w:type="dxa"/>
            </w:tcMar>
            <w:vAlign w:val="bottom"/>
          </w:tcPr>
          <w:p w14:paraId="7B66E506" w14:textId="77777777" w:rsidR="0040300B" w:rsidRDefault="00BB2D44">
            <w:pPr>
              <w:textAlignment w:val="bottom"/>
            </w:pPr>
            <w:r>
              <w:rPr>
                <w:rFonts w:ascii="Times New Roman" w:eastAsia="宋体" w:hAnsi="Times New Roman"/>
                <w:color w:val="000000"/>
                <w:sz w:val="20"/>
                <w:szCs w:val="20"/>
              </w:rPr>
              <w:t>Balance at May 1, 2021</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6E507" w14:textId="77777777" w:rsidR="0040300B" w:rsidRDefault="00BB2D44">
            <w:pPr>
              <w:jc w:val="right"/>
              <w:textAlignment w:val="bottom"/>
            </w:pPr>
            <w:r>
              <w:rPr>
                <w:rFonts w:ascii="Times New Roman" w:eastAsia="宋体" w:hAnsi="Times New Roman"/>
                <w:color w:val="000000"/>
                <w:sz w:val="19"/>
                <w:szCs w:val="19"/>
              </w:rPr>
              <w:t>4,215 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6E50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09" w14:textId="77777777" w:rsidR="0040300B" w:rsidRDefault="0040300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6E50A"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B66E50B" w14:textId="77777777" w:rsidR="0040300B" w:rsidRDefault="00BB2D44">
            <w:pPr>
              <w:jc w:val="right"/>
              <w:textAlignment w:val="bottom"/>
            </w:pPr>
            <w:r>
              <w:rPr>
                <w:rFonts w:ascii="Times New Roman" w:eastAsia="宋体" w:hAnsi="Times New Roman"/>
                <w:color w:val="000000"/>
                <w:sz w:val="19"/>
                <w:szCs w:val="19"/>
              </w:rPr>
              <w:t>41,949 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6E50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0D" w14:textId="77777777" w:rsidR="0040300B" w:rsidRDefault="0040300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6E50E"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B66E50F" w14:textId="77777777" w:rsidR="0040300B" w:rsidRDefault="00BB2D44">
            <w:pPr>
              <w:jc w:val="right"/>
              <w:textAlignment w:val="bottom"/>
            </w:pPr>
            <w:r>
              <w:rPr>
                <w:rFonts w:ascii="Times New Roman" w:eastAsia="宋体" w:hAnsi="Times New Roman"/>
                <w:color w:val="000000"/>
                <w:sz w:val="19"/>
                <w:szCs w:val="19"/>
              </w:rPr>
              <w:t>(1,456)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6E51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11" w14:textId="77777777" w:rsidR="0040300B" w:rsidRDefault="0040300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6E512"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B66E513" w14:textId="77777777" w:rsidR="0040300B" w:rsidRDefault="00BB2D44">
            <w:pPr>
              <w:jc w:val="right"/>
              <w:textAlignment w:val="bottom"/>
            </w:pPr>
            <w:r>
              <w:rPr>
                <w:rFonts w:ascii="Times New Roman" w:eastAsia="宋体" w:hAnsi="Times New Roman"/>
                <w:color w:val="000000"/>
                <w:sz w:val="19"/>
                <w:szCs w:val="19"/>
              </w:rPr>
              <w:t>(288)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6E51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15" w14:textId="77777777" w:rsidR="0040300B" w:rsidRDefault="0040300B">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6E516"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B66E517" w14:textId="77777777" w:rsidR="0040300B" w:rsidRDefault="00BB2D44">
            <w:pPr>
              <w:jc w:val="right"/>
              <w:textAlignment w:val="bottom"/>
            </w:pPr>
            <w:r>
              <w:rPr>
                <w:rFonts w:ascii="Times New Roman" w:eastAsia="宋体" w:hAnsi="Times New Roman"/>
                <w:color w:val="000000"/>
                <w:sz w:val="19"/>
                <w:szCs w:val="19"/>
              </w:rPr>
              <w:t>40,205 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6E518" w14:textId="77777777" w:rsidR="0040300B" w:rsidRDefault="0040300B">
            <w:pPr>
              <w:jc w:val="right"/>
              <w:rPr>
                <w:rFonts w:ascii="宋体"/>
              </w:rPr>
            </w:pPr>
          </w:p>
        </w:tc>
      </w:tr>
    </w:tbl>
    <w:p w14:paraId="7B66E51A" w14:textId="77777777" w:rsidR="0040300B" w:rsidRDefault="0040300B">
      <w:pPr>
        <w:jc w:val="center"/>
      </w:pPr>
    </w:p>
    <w:p w14:paraId="7B66E51B" w14:textId="77777777" w:rsidR="0040300B" w:rsidRDefault="0040300B">
      <w:pPr>
        <w:jc w:val="center"/>
      </w:pPr>
    </w:p>
    <w:p w14:paraId="7B66E51C" w14:textId="77777777" w:rsidR="0040300B" w:rsidRDefault="0040300B">
      <w:pPr>
        <w:jc w:val="center"/>
      </w:pPr>
    </w:p>
    <w:p w14:paraId="7B66E51D" w14:textId="77777777" w:rsidR="0040300B" w:rsidRDefault="0040300B">
      <w:pPr>
        <w:jc w:val="center"/>
      </w:pPr>
    </w:p>
    <w:p w14:paraId="7B66E51E" w14:textId="77777777" w:rsidR="0040300B" w:rsidRDefault="0040300B">
      <w:pPr>
        <w:jc w:val="center"/>
      </w:pPr>
    </w:p>
    <w:p w14:paraId="7B66E51F" w14:textId="77777777" w:rsidR="0040300B" w:rsidRDefault="0040300B">
      <w:pPr>
        <w:jc w:val="center"/>
      </w:pPr>
    </w:p>
    <w:p w14:paraId="7B66E520" w14:textId="77777777" w:rsidR="0040300B" w:rsidRDefault="0040300B">
      <w:pPr>
        <w:jc w:val="center"/>
      </w:pPr>
    </w:p>
    <w:p w14:paraId="7B66E521" w14:textId="77777777" w:rsidR="0040300B" w:rsidRDefault="0040300B">
      <w:pPr>
        <w:jc w:val="center"/>
      </w:pPr>
    </w:p>
    <w:p w14:paraId="7B66E522" w14:textId="77777777" w:rsidR="0040300B" w:rsidRDefault="0040300B">
      <w:pPr>
        <w:jc w:val="center"/>
      </w:pPr>
    </w:p>
    <w:p w14:paraId="7B66E523" w14:textId="77777777" w:rsidR="0040300B" w:rsidRDefault="0040300B">
      <w:pPr>
        <w:jc w:val="center"/>
      </w:pPr>
    </w:p>
    <w:p w14:paraId="7B66E524" w14:textId="77777777" w:rsidR="0040300B" w:rsidRDefault="0040300B">
      <w:pPr>
        <w:jc w:val="center"/>
      </w:pPr>
    </w:p>
    <w:p w14:paraId="7B66E525" w14:textId="77777777" w:rsidR="0040300B" w:rsidRDefault="0040300B">
      <w:pPr>
        <w:jc w:val="center"/>
      </w:pPr>
    </w:p>
    <w:p w14:paraId="7B66E526" w14:textId="77777777" w:rsidR="0040300B" w:rsidRDefault="0040300B">
      <w:pPr>
        <w:jc w:val="center"/>
      </w:pPr>
    </w:p>
    <w:p w14:paraId="7B66E527" w14:textId="77777777" w:rsidR="0040300B" w:rsidRDefault="0040300B">
      <w:pPr>
        <w:jc w:val="center"/>
      </w:pPr>
    </w:p>
    <w:p w14:paraId="7B66E528" w14:textId="77777777" w:rsidR="0040300B" w:rsidRDefault="0040300B">
      <w:pPr>
        <w:jc w:val="center"/>
      </w:pPr>
    </w:p>
    <w:p w14:paraId="7B66E529" w14:textId="77777777" w:rsidR="0040300B" w:rsidRDefault="0040300B">
      <w:pPr>
        <w:jc w:val="center"/>
      </w:pPr>
    </w:p>
    <w:p w14:paraId="7B66E52A" w14:textId="77777777" w:rsidR="0040300B" w:rsidRDefault="0040300B">
      <w:pPr>
        <w:jc w:val="center"/>
      </w:pPr>
    </w:p>
    <w:p w14:paraId="7B66E52B" w14:textId="77777777" w:rsidR="0040300B" w:rsidRDefault="0040300B">
      <w:pPr>
        <w:jc w:val="center"/>
      </w:pPr>
    </w:p>
    <w:p w14:paraId="7B66E52C" w14:textId="77777777" w:rsidR="0040300B" w:rsidRDefault="0040300B">
      <w:pPr>
        <w:jc w:val="center"/>
      </w:pPr>
    </w:p>
    <w:p w14:paraId="7B66E52D" w14:textId="77777777" w:rsidR="0040300B" w:rsidRDefault="0040300B">
      <w:pPr>
        <w:jc w:val="center"/>
      </w:pPr>
    </w:p>
    <w:p w14:paraId="7B66E52E" w14:textId="77777777" w:rsidR="0040300B" w:rsidRDefault="00BB2D44">
      <w:pPr>
        <w:jc w:val="center"/>
      </w:pPr>
      <w:r>
        <w:rPr>
          <w:rFonts w:ascii="Times New Roman" w:eastAsia="宋体" w:hAnsi="Times New Roman"/>
          <w:color w:val="000000"/>
          <w:sz w:val="20"/>
          <w:szCs w:val="20"/>
        </w:rPr>
        <w:t>7</w:t>
      </w:r>
    </w:p>
    <w:p w14:paraId="7B66E52F" w14:textId="77777777" w:rsidR="0040300B" w:rsidRDefault="00BB2D44">
      <w:r>
        <w:pict w14:anchorId="7B671C17">
          <v:rect id="_x0000_i1031" style="width:415.3pt;height:1.5pt" o:hralign="center" o:hrstd="t" o:hr="t" fillcolor="#a0a0a0" stroked="f"/>
        </w:pict>
      </w:r>
    </w:p>
    <w:p w14:paraId="7B66E530" w14:textId="77777777" w:rsidR="0040300B" w:rsidRDefault="00BB2D44">
      <w:hyperlink r:id="rId53" w:anchor="i52d5b40dbad7426a9806a2fd5167029f_7" w:history="1">
        <w:r>
          <w:rPr>
            <w:rStyle w:val="a5"/>
            <w:rFonts w:ascii="Times New Roman" w:eastAsia="宋体" w:hAnsi="Times New Roman"/>
            <w:sz w:val="18"/>
            <w:szCs w:val="18"/>
          </w:rPr>
          <w:t>Table of Contents</w:t>
        </w:r>
      </w:hyperlink>
    </w:p>
    <w:p w14:paraId="7B66E531" w14:textId="77777777" w:rsidR="0040300B" w:rsidRDefault="00BB2D44">
      <w:pPr>
        <w:jc w:val="center"/>
      </w:pPr>
      <w:r>
        <w:rPr>
          <w:rFonts w:ascii="Times New Roman" w:eastAsia="宋体" w:hAnsi="Times New Roman"/>
          <w:b/>
          <w:bCs/>
          <w:color w:val="000000"/>
          <w:sz w:val="19"/>
          <w:szCs w:val="19"/>
        </w:rPr>
        <w:t>CISCO SYSTEMS, INC.</w:t>
      </w:r>
    </w:p>
    <w:p w14:paraId="7B66E532" w14:textId="77777777" w:rsidR="0040300B" w:rsidRDefault="00BB2D44">
      <w:pPr>
        <w:jc w:val="center"/>
      </w:pPr>
      <w:r>
        <w:rPr>
          <w:rFonts w:ascii="Times New Roman" w:eastAsia="宋体" w:hAnsi="Times New Roman"/>
          <w:b/>
          <w:bCs/>
          <w:color w:val="000000"/>
          <w:sz w:val="19"/>
          <w:szCs w:val="19"/>
        </w:rPr>
        <w:t>CONSOLIDATED STATEMENTS OF EQUITY</w:t>
      </w:r>
    </w:p>
    <w:p w14:paraId="7B66E533" w14:textId="77777777" w:rsidR="0040300B" w:rsidRDefault="00BB2D44">
      <w:pPr>
        <w:jc w:val="center"/>
      </w:pPr>
      <w:r>
        <w:rPr>
          <w:rFonts w:ascii="Times New Roman" w:eastAsia="宋体" w:hAnsi="Times New Roman"/>
          <w:color w:val="000000"/>
          <w:sz w:val="18"/>
          <w:szCs w:val="18"/>
        </w:rPr>
        <w:t>(in millions, except per-share amou</w:t>
      </w:r>
      <w:r>
        <w:rPr>
          <w:rFonts w:ascii="Times New Roman" w:eastAsia="宋体" w:hAnsi="Times New Roman"/>
          <w:color w:val="000000"/>
          <w:sz w:val="18"/>
          <w:szCs w:val="18"/>
        </w:rPr>
        <w:t>nts)</w:t>
      </w:r>
    </w:p>
    <w:p w14:paraId="7B66E534" w14:textId="77777777" w:rsidR="0040300B" w:rsidRDefault="00BB2D44">
      <w:pPr>
        <w:jc w:val="center"/>
      </w:pPr>
      <w:r>
        <w:rPr>
          <w:rFonts w:ascii="Times New Roman" w:eastAsia="宋体" w:hAnsi="Times New Roman"/>
          <w:color w:val="000000"/>
          <w:sz w:val="18"/>
          <w:szCs w:val="18"/>
        </w:rPr>
        <w:t>(Unaudited)</w:t>
      </w:r>
    </w:p>
    <w:p w14:paraId="7B66E535" w14:textId="77777777" w:rsidR="0040300B" w:rsidRDefault="0040300B">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40300B" w14:paraId="7B66E554" w14:textId="77777777">
        <w:trPr>
          <w:jc w:val="center"/>
        </w:trPr>
        <w:tc>
          <w:tcPr>
            <w:tcW w:w="50" w:type="pct"/>
            <w:shd w:val="clear" w:color="auto" w:fill="auto"/>
          </w:tcPr>
          <w:p w14:paraId="7B66E536" w14:textId="77777777" w:rsidR="0040300B" w:rsidRDefault="0040300B">
            <w:pPr>
              <w:rPr>
                <w:rFonts w:ascii="宋体"/>
              </w:rPr>
            </w:pPr>
          </w:p>
        </w:tc>
        <w:tc>
          <w:tcPr>
            <w:tcW w:w="2349" w:type="pct"/>
            <w:shd w:val="clear" w:color="auto" w:fill="auto"/>
          </w:tcPr>
          <w:p w14:paraId="7B66E537" w14:textId="77777777" w:rsidR="0040300B" w:rsidRDefault="0040300B">
            <w:pPr>
              <w:rPr>
                <w:rFonts w:ascii="宋体"/>
              </w:rPr>
            </w:pPr>
          </w:p>
        </w:tc>
        <w:tc>
          <w:tcPr>
            <w:tcW w:w="5" w:type="pct"/>
            <w:shd w:val="clear" w:color="auto" w:fill="auto"/>
          </w:tcPr>
          <w:p w14:paraId="7B66E538" w14:textId="77777777" w:rsidR="0040300B" w:rsidRDefault="0040300B">
            <w:pPr>
              <w:rPr>
                <w:rFonts w:ascii="宋体"/>
              </w:rPr>
            </w:pPr>
          </w:p>
        </w:tc>
        <w:tc>
          <w:tcPr>
            <w:tcW w:w="50" w:type="pct"/>
            <w:shd w:val="clear" w:color="auto" w:fill="auto"/>
          </w:tcPr>
          <w:p w14:paraId="7B66E539" w14:textId="77777777" w:rsidR="0040300B" w:rsidRDefault="0040300B">
            <w:pPr>
              <w:rPr>
                <w:rFonts w:ascii="宋体"/>
              </w:rPr>
            </w:pPr>
          </w:p>
        </w:tc>
        <w:tc>
          <w:tcPr>
            <w:tcW w:w="434" w:type="pct"/>
            <w:shd w:val="clear" w:color="auto" w:fill="auto"/>
          </w:tcPr>
          <w:p w14:paraId="7B66E53A" w14:textId="77777777" w:rsidR="0040300B" w:rsidRDefault="0040300B">
            <w:pPr>
              <w:rPr>
                <w:rFonts w:ascii="宋体"/>
              </w:rPr>
            </w:pPr>
          </w:p>
        </w:tc>
        <w:tc>
          <w:tcPr>
            <w:tcW w:w="5" w:type="pct"/>
            <w:shd w:val="clear" w:color="auto" w:fill="auto"/>
          </w:tcPr>
          <w:p w14:paraId="7B66E53B" w14:textId="77777777" w:rsidR="0040300B" w:rsidRDefault="0040300B">
            <w:pPr>
              <w:rPr>
                <w:rFonts w:ascii="宋体"/>
              </w:rPr>
            </w:pPr>
          </w:p>
        </w:tc>
        <w:tc>
          <w:tcPr>
            <w:tcW w:w="5" w:type="pct"/>
            <w:shd w:val="clear" w:color="auto" w:fill="auto"/>
          </w:tcPr>
          <w:p w14:paraId="7B66E53C" w14:textId="77777777" w:rsidR="0040300B" w:rsidRDefault="0040300B">
            <w:pPr>
              <w:rPr>
                <w:rFonts w:ascii="宋体"/>
              </w:rPr>
            </w:pPr>
          </w:p>
        </w:tc>
        <w:tc>
          <w:tcPr>
            <w:tcW w:w="26" w:type="pct"/>
            <w:shd w:val="clear" w:color="auto" w:fill="auto"/>
          </w:tcPr>
          <w:p w14:paraId="7B66E53D" w14:textId="77777777" w:rsidR="0040300B" w:rsidRDefault="0040300B">
            <w:pPr>
              <w:rPr>
                <w:rFonts w:ascii="宋体"/>
              </w:rPr>
            </w:pPr>
          </w:p>
        </w:tc>
        <w:tc>
          <w:tcPr>
            <w:tcW w:w="5" w:type="pct"/>
            <w:shd w:val="clear" w:color="auto" w:fill="auto"/>
          </w:tcPr>
          <w:p w14:paraId="7B66E53E" w14:textId="77777777" w:rsidR="0040300B" w:rsidRDefault="0040300B">
            <w:pPr>
              <w:rPr>
                <w:rFonts w:ascii="宋体"/>
              </w:rPr>
            </w:pPr>
          </w:p>
        </w:tc>
        <w:tc>
          <w:tcPr>
            <w:tcW w:w="50" w:type="pct"/>
            <w:shd w:val="clear" w:color="auto" w:fill="auto"/>
          </w:tcPr>
          <w:p w14:paraId="7B66E53F" w14:textId="77777777" w:rsidR="0040300B" w:rsidRDefault="0040300B">
            <w:pPr>
              <w:rPr>
                <w:rFonts w:ascii="宋体"/>
              </w:rPr>
            </w:pPr>
          </w:p>
        </w:tc>
        <w:tc>
          <w:tcPr>
            <w:tcW w:w="434" w:type="pct"/>
            <w:shd w:val="clear" w:color="auto" w:fill="auto"/>
          </w:tcPr>
          <w:p w14:paraId="7B66E540" w14:textId="77777777" w:rsidR="0040300B" w:rsidRDefault="0040300B">
            <w:pPr>
              <w:rPr>
                <w:rFonts w:ascii="宋体"/>
              </w:rPr>
            </w:pPr>
          </w:p>
        </w:tc>
        <w:tc>
          <w:tcPr>
            <w:tcW w:w="5" w:type="pct"/>
            <w:shd w:val="clear" w:color="auto" w:fill="auto"/>
          </w:tcPr>
          <w:p w14:paraId="7B66E541" w14:textId="77777777" w:rsidR="0040300B" w:rsidRDefault="0040300B">
            <w:pPr>
              <w:rPr>
                <w:rFonts w:ascii="宋体"/>
              </w:rPr>
            </w:pPr>
          </w:p>
        </w:tc>
        <w:tc>
          <w:tcPr>
            <w:tcW w:w="5" w:type="pct"/>
            <w:shd w:val="clear" w:color="auto" w:fill="auto"/>
          </w:tcPr>
          <w:p w14:paraId="7B66E542" w14:textId="77777777" w:rsidR="0040300B" w:rsidRDefault="0040300B">
            <w:pPr>
              <w:rPr>
                <w:rFonts w:ascii="宋体"/>
              </w:rPr>
            </w:pPr>
          </w:p>
        </w:tc>
        <w:tc>
          <w:tcPr>
            <w:tcW w:w="26" w:type="pct"/>
            <w:shd w:val="clear" w:color="auto" w:fill="auto"/>
          </w:tcPr>
          <w:p w14:paraId="7B66E543" w14:textId="77777777" w:rsidR="0040300B" w:rsidRDefault="0040300B">
            <w:pPr>
              <w:rPr>
                <w:rFonts w:ascii="宋体"/>
              </w:rPr>
            </w:pPr>
          </w:p>
        </w:tc>
        <w:tc>
          <w:tcPr>
            <w:tcW w:w="5" w:type="pct"/>
            <w:shd w:val="clear" w:color="auto" w:fill="auto"/>
          </w:tcPr>
          <w:p w14:paraId="7B66E544" w14:textId="77777777" w:rsidR="0040300B" w:rsidRDefault="0040300B">
            <w:pPr>
              <w:rPr>
                <w:rFonts w:ascii="宋体"/>
              </w:rPr>
            </w:pPr>
          </w:p>
        </w:tc>
        <w:tc>
          <w:tcPr>
            <w:tcW w:w="50" w:type="pct"/>
            <w:shd w:val="clear" w:color="auto" w:fill="auto"/>
          </w:tcPr>
          <w:p w14:paraId="7B66E545" w14:textId="77777777" w:rsidR="0040300B" w:rsidRDefault="0040300B">
            <w:pPr>
              <w:rPr>
                <w:rFonts w:ascii="宋体"/>
              </w:rPr>
            </w:pPr>
          </w:p>
        </w:tc>
        <w:tc>
          <w:tcPr>
            <w:tcW w:w="434" w:type="pct"/>
            <w:shd w:val="clear" w:color="auto" w:fill="auto"/>
          </w:tcPr>
          <w:p w14:paraId="7B66E546" w14:textId="77777777" w:rsidR="0040300B" w:rsidRDefault="0040300B">
            <w:pPr>
              <w:rPr>
                <w:rFonts w:ascii="宋体"/>
              </w:rPr>
            </w:pPr>
          </w:p>
        </w:tc>
        <w:tc>
          <w:tcPr>
            <w:tcW w:w="5" w:type="pct"/>
            <w:shd w:val="clear" w:color="auto" w:fill="auto"/>
          </w:tcPr>
          <w:p w14:paraId="7B66E547" w14:textId="77777777" w:rsidR="0040300B" w:rsidRDefault="0040300B">
            <w:pPr>
              <w:rPr>
                <w:rFonts w:ascii="宋体"/>
              </w:rPr>
            </w:pPr>
          </w:p>
        </w:tc>
        <w:tc>
          <w:tcPr>
            <w:tcW w:w="5" w:type="pct"/>
            <w:shd w:val="clear" w:color="auto" w:fill="auto"/>
          </w:tcPr>
          <w:p w14:paraId="7B66E548" w14:textId="77777777" w:rsidR="0040300B" w:rsidRDefault="0040300B">
            <w:pPr>
              <w:rPr>
                <w:rFonts w:ascii="宋体"/>
              </w:rPr>
            </w:pPr>
          </w:p>
        </w:tc>
        <w:tc>
          <w:tcPr>
            <w:tcW w:w="26" w:type="pct"/>
            <w:shd w:val="clear" w:color="auto" w:fill="auto"/>
          </w:tcPr>
          <w:p w14:paraId="7B66E549" w14:textId="77777777" w:rsidR="0040300B" w:rsidRDefault="0040300B">
            <w:pPr>
              <w:rPr>
                <w:rFonts w:ascii="宋体"/>
              </w:rPr>
            </w:pPr>
          </w:p>
        </w:tc>
        <w:tc>
          <w:tcPr>
            <w:tcW w:w="5" w:type="pct"/>
            <w:shd w:val="clear" w:color="auto" w:fill="auto"/>
          </w:tcPr>
          <w:p w14:paraId="7B66E54A" w14:textId="77777777" w:rsidR="0040300B" w:rsidRDefault="0040300B">
            <w:pPr>
              <w:rPr>
                <w:rFonts w:ascii="宋体"/>
              </w:rPr>
            </w:pPr>
          </w:p>
        </w:tc>
        <w:tc>
          <w:tcPr>
            <w:tcW w:w="50" w:type="pct"/>
            <w:shd w:val="clear" w:color="auto" w:fill="auto"/>
          </w:tcPr>
          <w:p w14:paraId="7B66E54B" w14:textId="77777777" w:rsidR="0040300B" w:rsidRDefault="0040300B">
            <w:pPr>
              <w:rPr>
                <w:rFonts w:ascii="宋体"/>
              </w:rPr>
            </w:pPr>
          </w:p>
        </w:tc>
        <w:tc>
          <w:tcPr>
            <w:tcW w:w="434" w:type="pct"/>
            <w:shd w:val="clear" w:color="auto" w:fill="auto"/>
          </w:tcPr>
          <w:p w14:paraId="7B66E54C" w14:textId="77777777" w:rsidR="0040300B" w:rsidRDefault="0040300B">
            <w:pPr>
              <w:rPr>
                <w:rFonts w:ascii="宋体"/>
              </w:rPr>
            </w:pPr>
          </w:p>
        </w:tc>
        <w:tc>
          <w:tcPr>
            <w:tcW w:w="5" w:type="pct"/>
            <w:shd w:val="clear" w:color="auto" w:fill="auto"/>
          </w:tcPr>
          <w:p w14:paraId="7B66E54D" w14:textId="77777777" w:rsidR="0040300B" w:rsidRDefault="0040300B">
            <w:pPr>
              <w:rPr>
                <w:rFonts w:ascii="宋体"/>
              </w:rPr>
            </w:pPr>
          </w:p>
        </w:tc>
        <w:tc>
          <w:tcPr>
            <w:tcW w:w="5" w:type="pct"/>
            <w:shd w:val="clear" w:color="auto" w:fill="auto"/>
          </w:tcPr>
          <w:p w14:paraId="7B66E54E" w14:textId="77777777" w:rsidR="0040300B" w:rsidRDefault="0040300B">
            <w:pPr>
              <w:rPr>
                <w:rFonts w:ascii="宋体"/>
              </w:rPr>
            </w:pPr>
          </w:p>
        </w:tc>
        <w:tc>
          <w:tcPr>
            <w:tcW w:w="26" w:type="pct"/>
            <w:shd w:val="clear" w:color="auto" w:fill="auto"/>
          </w:tcPr>
          <w:p w14:paraId="7B66E54F" w14:textId="77777777" w:rsidR="0040300B" w:rsidRDefault="0040300B">
            <w:pPr>
              <w:rPr>
                <w:rFonts w:ascii="宋体"/>
              </w:rPr>
            </w:pPr>
          </w:p>
        </w:tc>
        <w:tc>
          <w:tcPr>
            <w:tcW w:w="5" w:type="pct"/>
            <w:shd w:val="clear" w:color="auto" w:fill="auto"/>
          </w:tcPr>
          <w:p w14:paraId="7B66E550" w14:textId="77777777" w:rsidR="0040300B" w:rsidRDefault="0040300B">
            <w:pPr>
              <w:rPr>
                <w:rFonts w:ascii="宋体"/>
              </w:rPr>
            </w:pPr>
          </w:p>
        </w:tc>
        <w:tc>
          <w:tcPr>
            <w:tcW w:w="50" w:type="pct"/>
            <w:shd w:val="clear" w:color="auto" w:fill="auto"/>
          </w:tcPr>
          <w:p w14:paraId="7B66E551" w14:textId="77777777" w:rsidR="0040300B" w:rsidRDefault="0040300B">
            <w:pPr>
              <w:rPr>
                <w:rFonts w:ascii="宋体"/>
              </w:rPr>
            </w:pPr>
          </w:p>
        </w:tc>
        <w:tc>
          <w:tcPr>
            <w:tcW w:w="435" w:type="pct"/>
            <w:shd w:val="clear" w:color="auto" w:fill="auto"/>
          </w:tcPr>
          <w:p w14:paraId="7B66E552" w14:textId="77777777" w:rsidR="0040300B" w:rsidRDefault="0040300B">
            <w:pPr>
              <w:rPr>
                <w:rFonts w:ascii="宋体"/>
              </w:rPr>
            </w:pPr>
          </w:p>
        </w:tc>
        <w:tc>
          <w:tcPr>
            <w:tcW w:w="5" w:type="pct"/>
            <w:shd w:val="clear" w:color="auto" w:fill="auto"/>
          </w:tcPr>
          <w:p w14:paraId="7B66E553" w14:textId="77777777" w:rsidR="0040300B" w:rsidRDefault="0040300B">
            <w:pPr>
              <w:rPr>
                <w:rFonts w:ascii="宋体"/>
              </w:rPr>
            </w:pPr>
          </w:p>
        </w:tc>
      </w:tr>
      <w:tr w:rsidR="0040300B" w14:paraId="7B66E55F" w14:textId="77777777">
        <w:trPr>
          <w:jc w:val="center"/>
        </w:trPr>
        <w:tc>
          <w:tcPr>
            <w:tcW w:w="0" w:type="auto"/>
            <w:gridSpan w:val="3"/>
            <w:shd w:val="clear" w:color="auto" w:fill="auto"/>
            <w:tcMar>
              <w:top w:w="40" w:type="dxa"/>
              <w:left w:w="20" w:type="dxa"/>
              <w:bottom w:w="40" w:type="dxa"/>
              <w:right w:w="20" w:type="dxa"/>
            </w:tcMar>
            <w:vAlign w:val="bottom"/>
          </w:tcPr>
          <w:p w14:paraId="7B66E555" w14:textId="77777777" w:rsidR="0040300B" w:rsidRDefault="00BB2D44">
            <w:pPr>
              <w:textAlignment w:val="bottom"/>
            </w:pPr>
            <w:r>
              <w:rPr>
                <w:rFonts w:ascii="Times New Roman" w:eastAsia="宋体" w:hAnsi="Times New Roman"/>
                <w:color w:val="000000"/>
                <w:sz w:val="16"/>
                <w:szCs w:val="16"/>
                <w:u w:val="single"/>
              </w:rPr>
              <w:t>Three Months Ended April 25, 2020</w:t>
            </w:r>
          </w:p>
        </w:tc>
        <w:tc>
          <w:tcPr>
            <w:tcW w:w="0" w:type="auto"/>
            <w:gridSpan w:val="3"/>
            <w:shd w:val="clear" w:color="auto" w:fill="auto"/>
            <w:tcMar>
              <w:top w:w="40" w:type="dxa"/>
              <w:left w:w="20" w:type="dxa"/>
              <w:bottom w:w="40" w:type="dxa"/>
              <w:right w:w="20" w:type="dxa"/>
            </w:tcMar>
            <w:vAlign w:val="bottom"/>
          </w:tcPr>
          <w:p w14:paraId="7B66E556" w14:textId="77777777" w:rsidR="0040300B" w:rsidRDefault="00BB2D4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7B66E55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558" w14:textId="77777777" w:rsidR="0040300B" w:rsidRDefault="00BB2D4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7B66E55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55A" w14:textId="77777777" w:rsidR="0040300B" w:rsidRDefault="00BB2D44">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7B66E55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55C" w14:textId="77777777" w:rsidR="0040300B" w:rsidRDefault="00BB2D4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tcPr>
          <w:p w14:paraId="7B66E55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55E" w14:textId="77777777" w:rsidR="0040300B" w:rsidRDefault="00BB2D4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40300B" w14:paraId="7B66E573" w14:textId="77777777">
        <w:trPr>
          <w:jc w:val="center"/>
        </w:trPr>
        <w:tc>
          <w:tcPr>
            <w:tcW w:w="0" w:type="auto"/>
            <w:gridSpan w:val="3"/>
            <w:shd w:val="clear" w:color="auto" w:fill="CCEEFF"/>
            <w:tcMar>
              <w:top w:w="40" w:type="dxa"/>
              <w:left w:w="20" w:type="dxa"/>
              <w:bottom w:w="40" w:type="dxa"/>
              <w:right w:w="20" w:type="dxa"/>
            </w:tcMar>
            <w:vAlign w:val="bottom"/>
          </w:tcPr>
          <w:p w14:paraId="7B66E560" w14:textId="77777777" w:rsidR="0040300B" w:rsidRDefault="00BB2D44">
            <w:pPr>
              <w:textAlignment w:val="bottom"/>
            </w:pPr>
            <w:r>
              <w:rPr>
                <w:rFonts w:ascii="Times New Roman" w:eastAsia="宋体" w:hAnsi="Times New Roman"/>
                <w:color w:val="000000"/>
                <w:sz w:val="20"/>
                <w:szCs w:val="20"/>
              </w:rPr>
              <w:t>Balance at January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561" w14:textId="77777777" w:rsidR="0040300B" w:rsidRDefault="00BB2D44">
            <w:pPr>
              <w:jc w:val="right"/>
              <w:textAlignment w:val="bottom"/>
            </w:pPr>
            <w:r>
              <w:rPr>
                <w:rFonts w:ascii="Times New Roman" w:eastAsia="宋体" w:hAnsi="Times New Roman"/>
                <w:color w:val="000000"/>
                <w:sz w:val="19"/>
                <w:szCs w:val="19"/>
              </w:rPr>
              <w:t>4,241 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56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6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56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565" w14:textId="77777777" w:rsidR="0040300B" w:rsidRDefault="00BB2D44">
            <w:pPr>
              <w:jc w:val="right"/>
              <w:textAlignment w:val="bottom"/>
            </w:pPr>
            <w:r>
              <w:rPr>
                <w:rFonts w:ascii="Times New Roman" w:eastAsia="宋体" w:hAnsi="Times New Roman"/>
                <w:color w:val="000000"/>
                <w:sz w:val="19"/>
                <w:szCs w:val="19"/>
              </w:rPr>
              <w:t>40,617 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56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6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56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569" w14:textId="77777777" w:rsidR="0040300B" w:rsidRDefault="00BB2D44">
            <w:pPr>
              <w:jc w:val="right"/>
              <w:textAlignment w:val="bottom"/>
            </w:pPr>
            <w:r>
              <w:rPr>
                <w:rFonts w:ascii="Times New Roman" w:eastAsia="宋体" w:hAnsi="Times New Roman"/>
                <w:color w:val="000000"/>
                <w:sz w:val="19"/>
                <w:szCs w:val="19"/>
              </w:rPr>
              <w:t>(4,384)</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56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6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56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56D" w14:textId="77777777" w:rsidR="0040300B" w:rsidRDefault="00BB2D44">
            <w:pPr>
              <w:jc w:val="right"/>
              <w:textAlignment w:val="bottom"/>
            </w:pPr>
            <w:r>
              <w:rPr>
                <w:rFonts w:ascii="Times New Roman" w:eastAsia="宋体" w:hAnsi="Times New Roman"/>
                <w:color w:val="000000"/>
                <w:sz w:val="19"/>
                <w:szCs w:val="19"/>
              </w:rPr>
              <w:t>(700)</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56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6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57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571" w14:textId="77777777" w:rsidR="0040300B" w:rsidRDefault="00BB2D44">
            <w:pPr>
              <w:jc w:val="right"/>
              <w:textAlignment w:val="bottom"/>
            </w:pPr>
            <w:r>
              <w:rPr>
                <w:rFonts w:ascii="Times New Roman" w:eastAsia="宋体" w:hAnsi="Times New Roman"/>
                <w:color w:val="000000"/>
                <w:sz w:val="19"/>
                <w:szCs w:val="19"/>
              </w:rPr>
              <w:t>35,533 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572" w14:textId="77777777" w:rsidR="0040300B" w:rsidRDefault="0040300B">
            <w:pPr>
              <w:jc w:val="right"/>
              <w:rPr>
                <w:rFonts w:ascii="宋体"/>
              </w:rPr>
            </w:pPr>
          </w:p>
        </w:tc>
      </w:tr>
      <w:tr w:rsidR="0040300B" w14:paraId="7B66E580" w14:textId="77777777">
        <w:trPr>
          <w:jc w:val="center"/>
        </w:trPr>
        <w:tc>
          <w:tcPr>
            <w:tcW w:w="0" w:type="auto"/>
            <w:gridSpan w:val="3"/>
            <w:shd w:val="clear" w:color="auto" w:fill="FFFFFF"/>
            <w:tcMar>
              <w:top w:w="40" w:type="dxa"/>
              <w:left w:w="20" w:type="dxa"/>
              <w:bottom w:w="40" w:type="dxa"/>
              <w:right w:w="20" w:type="dxa"/>
            </w:tcMar>
            <w:vAlign w:val="bottom"/>
          </w:tcPr>
          <w:p w14:paraId="7B66E574" w14:textId="77777777" w:rsidR="0040300B" w:rsidRDefault="00BB2D44">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7B66E57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7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7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78"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579" w14:textId="77777777" w:rsidR="0040300B" w:rsidRDefault="00BB2D44">
            <w:pPr>
              <w:jc w:val="right"/>
              <w:textAlignment w:val="bottom"/>
            </w:pPr>
            <w:r>
              <w:rPr>
                <w:rFonts w:ascii="Times New Roman" w:eastAsia="宋体" w:hAnsi="Times New Roman"/>
                <w:color w:val="000000"/>
                <w:sz w:val="19"/>
                <w:szCs w:val="19"/>
              </w:rPr>
              <w:t>2,774 </w:t>
            </w:r>
          </w:p>
        </w:tc>
        <w:tc>
          <w:tcPr>
            <w:tcW w:w="0" w:type="auto"/>
            <w:shd w:val="clear" w:color="auto" w:fill="auto"/>
            <w:tcMar>
              <w:top w:w="40" w:type="dxa"/>
              <w:left w:w="0" w:type="dxa"/>
              <w:bottom w:w="40" w:type="dxa"/>
              <w:right w:w="20" w:type="dxa"/>
            </w:tcMar>
            <w:vAlign w:val="bottom"/>
          </w:tcPr>
          <w:p w14:paraId="7B66E57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7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7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7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7E" w14:textId="77777777" w:rsidR="0040300B" w:rsidRDefault="00BB2D44">
            <w:pPr>
              <w:jc w:val="right"/>
              <w:textAlignment w:val="bottom"/>
            </w:pPr>
            <w:r>
              <w:rPr>
                <w:rFonts w:ascii="Times New Roman" w:eastAsia="宋体" w:hAnsi="Times New Roman"/>
                <w:color w:val="000000"/>
                <w:sz w:val="19"/>
                <w:szCs w:val="19"/>
              </w:rPr>
              <w:t>2,774 </w:t>
            </w:r>
          </w:p>
        </w:tc>
        <w:tc>
          <w:tcPr>
            <w:tcW w:w="0" w:type="auto"/>
            <w:shd w:val="clear" w:color="auto" w:fill="FFFFFF"/>
            <w:tcMar>
              <w:top w:w="40" w:type="dxa"/>
              <w:left w:w="0" w:type="dxa"/>
              <w:bottom w:w="40" w:type="dxa"/>
              <w:right w:w="20" w:type="dxa"/>
            </w:tcMar>
            <w:vAlign w:val="bottom"/>
          </w:tcPr>
          <w:p w14:paraId="7B66E57F" w14:textId="77777777" w:rsidR="0040300B" w:rsidRDefault="0040300B">
            <w:pPr>
              <w:jc w:val="right"/>
              <w:rPr>
                <w:rFonts w:ascii="宋体"/>
              </w:rPr>
            </w:pPr>
          </w:p>
        </w:tc>
      </w:tr>
      <w:tr w:rsidR="0040300B" w14:paraId="7B66E58D" w14:textId="77777777">
        <w:trPr>
          <w:jc w:val="center"/>
        </w:trPr>
        <w:tc>
          <w:tcPr>
            <w:tcW w:w="0" w:type="auto"/>
            <w:gridSpan w:val="3"/>
            <w:shd w:val="clear" w:color="auto" w:fill="CCEEFF"/>
            <w:tcMar>
              <w:top w:w="40" w:type="dxa"/>
              <w:left w:w="20" w:type="dxa"/>
              <w:bottom w:w="40" w:type="dxa"/>
              <w:right w:w="20" w:type="dxa"/>
            </w:tcMar>
            <w:vAlign w:val="bottom"/>
          </w:tcPr>
          <w:p w14:paraId="7B66E581" w14:textId="77777777" w:rsidR="0040300B" w:rsidRDefault="00BB2D44">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loss</w:t>
            </w:r>
          </w:p>
        </w:tc>
        <w:tc>
          <w:tcPr>
            <w:tcW w:w="0" w:type="auto"/>
            <w:gridSpan w:val="3"/>
            <w:shd w:val="clear" w:color="auto" w:fill="CCEEFF"/>
            <w:tcMar>
              <w:top w:w="0" w:type="dxa"/>
              <w:left w:w="20" w:type="dxa"/>
              <w:bottom w:w="0" w:type="dxa"/>
              <w:right w:w="20" w:type="dxa"/>
            </w:tcMar>
          </w:tcPr>
          <w:p w14:paraId="7B66E58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8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8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8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8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8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88" w14:textId="77777777" w:rsidR="0040300B" w:rsidRDefault="00BB2D44">
            <w:pPr>
              <w:jc w:val="right"/>
              <w:textAlignment w:val="bottom"/>
            </w:pPr>
            <w:r>
              <w:rPr>
                <w:rFonts w:ascii="Times New Roman" w:eastAsia="宋体" w:hAnsi="Times New Roman"/>
                <w:color w:val="000000"/>
                <w:sz w:val="19"/>
                <w:szCs w:val="19"/>
              </w:rPr>
              <w:t>(409)</w:t>
            </w:r>
          </w:p>
        </w:tc>
        <w:tc>
          <w:tcPr>
            <w:tcW w:w="0" w:type="auto"/>
            <w:shd w:val="clear" w:color="auto" w:fill="CCEEFF"/>
            <w:tcMar>
              <w:top w:w="40" w:type="dxa"/>
              <w:left w:w="0" w:type="dxa"/>
              <w:bottom w:w="40" w:type="dxa"/>
              <w:right w:w="20" w:type="dxa"/>
            </w:tcMar>
            <w:vAlign w:val="bottom"/>
          </w:tcPr>
          <w:p w14:paraId="7B66E58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8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8B" w14:textId="77777777" w:rsidR="0040300B" w:rsidRDefault="00BB2D44">
            <w:pPr>
              <w:jc w:val="right"/>
              <w:textAlignment w:val="bottom"/>
            </w:pPr>
            <w:r>
              <w:rPr>
                <w:rFonts w:ascii="Times New Roman" w:eastAsia="宋体" w:hAnsi="Times New Roman"/>
                <w:color w:val="000000"/>
                <w:sz w:val="19"/>
                <w:szCs w:val="19"/>
              </w:rPr>
              <w:t>(409)</w:t>
            </w:r>
          </w:p>
        </w:tc>
        <w:tc>
          <w:tcPr>
            <w:tcW w:w="0" w:type="auto"/>
            <w:shd w:val="clear" w:color="auto" w:fill="CCEEFF"/>
            <w:tcMar>
              <w:top w:w="40" w:type="dxa"/>
              <w:left w:w="0" w:type="dxa"/>
              <w:bottom w:w="40" w:type="dxa"/>
              <w:right w:w="20" w:type="dxa"/>
            </w:tcMar>
            <w:vAlign w:val="bottom"/>
          </w:tcPr>
          <w:p w14:paraId="7B66E58C" w14:textId="77777777" w:rsidR="0040300B" w:rsidRDefault="0040300B">
            <w:pPr>
              <w:jc w:val="right"/>
              <w:rPr>
                <w:rFonts w:ascii="宋体"/>
              </w:rPr>
            </w:pPr>
          </w:p>
        </w:tc>
      </w:tr>
      <w:tr w:rsidR="0040300B" w14:paraId="7B66E59B" w14:textId="77777777">
        <w:trPr>
          <w:jc w:val="center"/>
        </w:trPr>
        <w:tc>
          <w:tcPr>
            <w:tcW w:w="0" w:type="auto"/>
            <w:gridSpan w:val="3"/>
            <w:shd w:val="clear" w:color="auto" w:fill="FFFFFF"/>
            <w:tcMar>
              <w:top w:w="40" w:type="dxa"/>
              <w:left w:w="20" w:type="dxa"/>
              <w:bottom w:w="40" w:type="dxa"/>
              <w:right w:w="20" w:type="dxa"/>
            </w:tcMar>
            <w:vAlign w:val="bottom"/>
          </w:tcPr>
          <w:p w14:paraId="7B66E58E" w14:textId="77777777" w:rsidR="0040300B" w:rsidRDefault="00BB2D44">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7B66E58F" w14:textId="77777777" w:rsidR="0040300B" w:rsidRDefault="00BB2D44">
            <w:pPr>
              <w:jc w:val="right"/>
              <w:textAlignment w:val="bottom"/>
            </w:pPr>
            <w:r>
              <w:rPr>
                <w:rFonts w:ascii="Times New Roman" w:eastAsia="宋体" w:hAnsi="Times New Roman"/>
                <w:color w:val="000000"/>
                <w:sz w:val="19"/>
                <w:szCs w:val="19"/>
              </w:rPr>
              <w:t>6 </w:t>
            </w:r>
          </w:p>
        </w:tc>
        <w:tc>
          <w:tcPr>
            <w:tcW w:w="0" w:type="auto"/>
            <w:shd w:val="clear" w:color="auto" w:fill="FFFFFF"/>
            <w:tcMar>
              <w:top w:w="40" w:type="dxa"/>
              <w:left w:w="0" w:type="dxa"/>
              <w:bottom w:w="40" w:type="dxa"/>
              <w:right w:w="20" w:type="dxa"/>
            </w:tcMar>
            <w:vAlign w:val="bottom"/>
          </w:tcPr>
          <w:p w14:paraId="7B66E59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9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92"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7B66E59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9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9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9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9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9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99"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7B66E59A" w14:textId="77777777" w:rsidR="0040300B" w:rsidRDefault="0040300B">
            <w:pPr>
              <w:jc w:val="right"/>
              <w:rPr>
                <w:rFonts w:ascii="宋体"/>
              </w:rPr>
            </w:pPr>
          </w:p>
        </w:tc>
      </w:tr>
      <w:tr w:rsidR="0040300B" w14:paraId="7B66E5AA" w14:textId="77777777">
        <w:trPr>
          <w:jc w:val="center"/>
        </w:trPr>
        <w:tc>
          <w:tcPr>
            <w:tcW w:w="0" w:type="auto"/>
            <w:gridSpan w:val="3"/>
            <w:shd w:val="clear" w:color="auto" w:fill="CCEEFF"/>
            <w:tcMar>
              <w:top w:w="40" w:type="dxa"/>
              <w:left w:w="20" w:type="dxa"/>
              <w:bottom w:w="40" w:type="dxa"/>
              <w:right w:w="20" w:type="dxa"/>
            </w:tcMar>
            <w:vAlign w:val="bottom"/>
          </w:tcPr>
          <w:p w14:paraId="7B66E59C" w14:textId="77777777" w:rsidR="0040300B" w:rsidRDefault="00BB2D44">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7B66E59D" w14:textId="77777777" w:rsidR="0040300B" w:rsidRDefault="00BB2D44">
            <w:pPr>
              <w:jc w:val="right"/>
              <w:textAlignment w:val="bottom"/>
            </w:pPr>
            <w:r>
              <w:rPr>
                <w:rFonts w:ascii="Times New Roman" w:eastAsia="宋体" w:hAnsi="Times New Roman"/>
                <w:color w:val="000000"/>
                <w:sz w:val="19"/>
                <w:szCs w:val="19"/>
              </w:rPr>
              <w:t>(25)</w:t>
            </w:r>
          </w:p>
        </w:tc>
        <w:tc>
          <w:tcPr>
            <w:tcW w:w="0" w:type="auto"/>
            <w:shd w:val="clear" w:color="auto" w:fill="CCEEFF"/>
            <w:tcMar>
              <w:top w:w="40" w:type="dxa"/>
              <w:left w:w="0" w:type="dxa"/>
              <w:bottom w:w="40" w:type="dxa"/>
              <w:right w:w="20" w:type="dxa"/>
            </w:tcMar>
            <w:vAlign w:val="bottom"/>
          </w:tcPr>
          <w:p w14:paraId="7B66E5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9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A0" w14:textId="77777777" w:rsidR="0040300B" w:rsidRDefault="00BB2D44">
            <w:pPr>
              <w:jc w:val="right"/>
              <w:textAlignment w:val="bottom"/>
            </w:pPr>
            <w:r>
              <w:rPr>
                <w:rFonts w:ascii="Times New Roman" w:eastAsia="宋体" w:hAnsi="Times New Roman"/>
                <w:color w:val="000000"/>
                <w:sz w:val="19"/>
                <w:szCs w:val="19"/>
              </w:rPr>
              <w:t>(236)</w:t>
            </w:r>
          </w:p>
        </w:tc>
        <w:tc>
          <w:tcPr>
            <w:tcW w:w="0" w:type="auto"/>
            <w:shd w:val="clear" w:color="auto" w:fill="CCEEFF"/>
            <w:tcMar>
              <w:top w:w="40" w:type="dxa"/>
              <w:left w:w="0" w:type="dxa"/>
              <w:bottom w:w="40" w:type="dxa"/>
              <w:right w:w="20" w:type="dxa"/>
            </w:tcMar>
            <w:vAlign w:val="bottom"/>
          </w:tcPr>
          <w:p w14:paraId="7B66E5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A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A3" w14:textId="77777777" w:rsidR="0040300B" w:rsidRDefault="00BB2D44">
            <w:pPr>
              <w:jc w:val="right"/>
              <w:textAlignment w:val="bottom"/>
            </w:pPr>
            <w:r>
              <w:rPr>
                <w:rFonts w:ascii="Times New Roman" w:eastAsia="宋体" w:hAnsi="Times New Roman"/>
                <w:color w:val="000000"/>
                <w:sz w:val="19"/>
                <w:szCs w:val="19"/>
              </w:rPr>
              <w:t>(745)</w:t>
            </w:r>
          </w:p>
        </w:tc>
        <w:tc>
          <w:tcPr>
            <w:tcW w:w="0" w:type="auto"/>
            <w:shd w:val="clear" w:color="auto" w:fill="CCEEFF"/>
            <w:tcMar>
              <w:top w:w="40" w:type="dxa"/>
              <w:left w:w="0" w:type="dxa"/>
              <w:bottom w:w="40" w:type="dxa"/>
              <w:right w:w="20" w:type="dxa"/>
            </w:tcMar>
            <w:vAlign w:val="bottom"/>
          </w:tcPr>
          <w:p w14:paraId="7B66E5A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A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A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A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A8" w14:textId="77777777" w:rsidR="0040300B" w:rsidRDefault="00BB2D44">
            <w:pPr>
              <w:jc w:val="right"/>
              <w:textAlignment w:val="bottom"/>
            </w:pPr>
            <w:r>
              <w:rPr>
                <w:rFonts w:ascii="Times New Roman" w:eastAsia="宋体" w:hAnsi="Times New Roman"/>
                <w:color w:val="000000"/>
                <w:sz w:val="19"/>
                <w:szCs w:val="19"/>
              </w:rPr>
              <w:t>(981)</w:t>
            </w:r>
          </w:p>
        </w:tc>
        <w:tc>
          <w:tcPr>
            <w:tcW w:w="0" w:type="auto"/>
            <w:shd w:val="clear" w:color="auto" w:fill="CCEEFF"/>
            <w:tcMar>
              <w:top w:w="40" w:type="dxa"/>
              <w:left w:w="0" w:type="dxa"/>
              <w:bottom w:w="40" w:type="dxa"/>
              <w:right w:w="20" w:type="dxa"/>
            </w:tcMar>
            <w:vAlign w:val="bottom"/>
          </w:tcPr>
          <w:p w14:paraId="7B66E5A9" w14:textId="77777777" w:rsidR="0040300B" w:rsidRDefault="0040300B">
            <w:pPr>
              <w:jc w:val="right"/>
              <w:rPr>
                <w:rFonts w:ascii="宋体"/>
              </w:rPr>
            </w:pPr>
          </w:p>
        </w:tc>
      </w:tr>
      <w:tr w:rsidR="0040300B" w14:paraId="7B66E5B8" w14:textId="77777777">
        <w:trPr>
          <w:jc w:val="center"/>
        </w:trPr>
        <w:tc>
          <w:tcPr>
            <w:tcW w:w="0" w:type="auto"/>
            <w:gridSpan w:val="3"/>
            <w:shd w:val="clear" w:color="auto" w:fill="FFFFFF"/>
            <w:tcMar>
              <w:top w:w="40" w:type="dxa"/>
              <w:left w:w="20" w:type="dxa"/>
              <w:bottom w:w="40" w:type="dxa"/>
              <w:right w:w="20" w:type="dxa"/>
            </w:tcMar>
            <w:vAlign w:val="bottom"/>
          </w:tcPr>
          <w:p w14:paraId="7B66E5AB" w14:textId="77777777" w:rsidR="0040300B" w:rsidRDefault="00BB2D44">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7B66E5AC"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7B66E5A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A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AF" w14:textId="77777777" w:rsidR="0040300B" w:rsidRDefault="00BB2D44">
            <w:pPr>
              <w:jc w:val="right"/>
              <w:textAlignment w:val="bottom"/>
            </w:pPr>
            <w:r>
              <w:rPr>
                <w:rFonts w:ascii="Times New Roman" w:eastAsia="宋体" w:hAnsi="Times New Roman"/>
                <w:color w:val="000000"/>
                <w:sz w:val="19"/>
                <w:szCs w:val="19"/>
              </w:rPr>
              <w:t>(82)</w:t>
            </w:r>
          </w:p>
        </w:tc>
        <w:tc>
          <w:tcPr>
            <w:tcW w:w="0" w:type="auto"/>
            <w:shd w:val="clear" w:color="auto" w:fill="FFFFFF"/>
            <w:tcMar>
              <w:top w:w="40" w:type="dxa"/>
              <w:left w:w="0" w:type="dxa"/>
              <w:bottom w:w="40" w:type="dxa"/>
              <w:right w:w="20" w:type="dxa"/>
            </w:tcMar>
            <w:vAlign w:val="bottom"/>
          </w:tcPr>
          <w:p w14:paraId="7B66E5B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B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B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B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B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B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B6" w14:textId="77777777" w:rsidR="0040300B" w:rsidRDefault="00BB2D44">
            <w:pPr>
              <w:jc w:val="right"/>
              <w:textAlignment w:val="bottom"/>
            </w:pPr>
            <w:r>
              <w:rPr>
                <w:rFonts w:ascii="Times New Roman" w:eastAsia="宋体" w:hAnsi="Times New Roman"/>
                <w:color w:val="000000"/>
                <w:sz w:val="19"/>
                <w:szCs w:val="19"/>
              </w:rPr>
              <w:t>(82)</w:t>
            </w:r>
          </w:p>
        </w:tc>
        <w:tc>
          <w:tcPr>
            <w:tcW w:w="0" w:type="auto"/>
            <w:shd w:val="clear" w:color="auto" w:fill="FFFFFF"/>
            <w:tcMar>
              <w:top w:w="40" w:type="dxa"/>
              <w:left w:w="0" w:type="dxa"/>
              <w:bottom w:w="40" w:type="dxa"/>
              <w:right w:w="20" w:type="dxa"/>
            </w:tcMar>
            <w:vAlign w:val="bottom"/>
          </w:tcPr>
          <w:p w14:paraId="7B66E5B7" w14:textId="77777777" w:rsidR="0040300B" w:rsidRDefault="0040300B">
            <w:pPr>
              <w:jc w:val="right"/>
              <w:rPr>
                <w:rFonts w:ascii="宋体"/>
              </w:rPr>
            </w:pPr>
          </w:p>
        </w:tc>
      </w:tr>
      <w:tr w:rsidR="0040300B" w14:paraId="7B66E5C5" w14:textId="77777777">
        <w:trPr>
          <w:jc w:val="center"/>
        </w:trPr>
        <w:tc>
          <w:tcPr>
            <w:tcW w:w="0" w:type="auto"/>
            <w:gridSpan w:val="3"/>
            <w:shd w:val="clear" w:color="auto" w:fill="CCEEFF"/>
            <w:tcMar>
              <w:top w:w="40" w:type="dxa"/>
              <w:left w:w="20" w:type="dxa"/>
              <w:bottom w:w="40" w:type="dxa"/>
              <w:right w:w="20" w:type="dxa"/>
            </w:tcMar>
            <w:vAlign w:val="bottom"/>
          </w:tcPr>
          <w:p w14:paraId="7B66E5B9" w14:textId="77777777" w:rsidR="0040300B" w:rsidRDefault="00BB2D44">
            <w:pPr>
              <w:textAlignment w:val="bottom"/>
            </w:pPr>
            <w:r>
              <w:rPr>
                <w:rFonts w:ascii="Times New Roman" w:eastAsia="宋体" w:hAnsi="Times New Roman"/>
                <w:color w:val="000000"/>
                <w:sz w:val="20"/>
                <w:szCs w:val="20"/>
              </w:rPr>
              <w:t>Cash dividends declared ($0.36 per common share)</w:t>
            </w:r>
          </w:p>
        </w:tc>
        <w:tc>
          <w:tcPr>
            <w:tcW w:w="0" w:type="auto"/>
            <w:gridSpan w:val="3"/>
            <w:shd w:val="clear" w:color="auto" w:fill="CCEEFF"/>
            <w:tcMar>
              <w:top w:w="0" w:type="dxa"/>
              <w:left w:w="20" w:type="dxa"/>
              <w:bottom w:w="0" w:type="dxa"/>
              <w:right w:w="20" w:type="dxa"/>
            </w:tcMar>
          </w:tcPr>
          <w:p w14:paraId="7B66E5B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B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B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B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BE" w14:textId="77777777" w:rsidR="0040300B" w:rsidRDefault="00BB2D44">
            <w:pPr>
              <w:jc w:val="right"/>
              <w:textAlignment w:val="bottom"/>
            </w:pPr>
            <w:r>
              <w:rPr>
                <w:rFonts w:ascii="Times New Roman" w:eastAsia="宋体" w:hAnsi="Times New Roman"/>
                <w:color w:val="000000"/>
                <w:sz w:val="19"/>
                <w:szCs w:val="19"/>
              </w:rPr>
              <w:t>(1,519)</w:t>
            </w:r>
          </w:p>
        </w:tc>
        <w:tc>
          <w:tcPr>
            <w:tcW w:w="0" w:type="auto"/>
            <w:shd w:val="clear" w:color="auto" w:fill="CCEEFF"/>
            <w:tcMar>
              <w:top w:w="40" w:type="dxa"/>
              <w:left w:w="0" w:type="dxa"/>
              <w:bottom w:w="40" w:type="dxa"/>
              <w:right w:w="20" w:type="dxa"/>
            </w:tcMar>
            <w:vAlign w:val="bottom"/>
          </w:tcPr>
          <w:p w14:paraId="7B66E5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C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C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5C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5C3" w14:textId="77777777" w:rsidR="0040300B" w:rsidRDefault="00BB2D44">
            <w:pPr>
              <w:jc w:val="right"/>
              <w:textAlignment w:val="bottom"/>
            </w:pPr>
            <w:r>
              <w:rPr>
                <w:rFonts w:ascii="Times New Roman" w:eastAsia="宋体" w:hAnsi="Times New Roman"/>
                <w:color w:val="000000"/>
                <w:sz w:val="19"/>
                <w:szCs w:val="19"/>
              </w:rPr>
              <w:t>(1,519)</w:t>
            </w:r>
          </w:p>
        </w:tc>
        <w:tc>
          <w:tcPr>
            <w:tcW w:w="0" w:type="auto"/>
            <w:shd w:val="clear" w:color="auto" w:fill="CCEEFF"/>
            <w:tcMar>
              <w:top w:w="40" w:type="dxa"/>
              <w:left w:w="0" w:type="dxa"/>
              <w:bottom w:w="40" w:type="dxa"/>
              <w:right w:w="20" w:type="dxa"/>
            </w:tcMar>
            <w:vAlign w:val="bottom"/>
          </w:tcPr>
          <w:p w14:paraId="7B66E5C4" w14:textId="77777777" w:rsidR="0040300B" w:rsidRDefault="0040300B">
            <w:pPr>
              <w:jc w:val="right"/>
              <w:rPr>
                <w:rFonts w:ascii="宋体"/>
              </w:rPr>
            </w:pPr>
          </w:p>
        </w:tc>
      </w:tr>
      <w:tr w:rsidR="0040300B" w14:paraId="7B66E5D2" w14:textId="77777777">
        <w:trPr>
          <w:jc w:val="center"/>
        </w:trPr>
        <w:tc>
          <w:tcPr>
            <w:tcW w:w="0" w:type="auto"/>
            <w:gridSpan w:val="3"/>
            <w:shd w:val="clear" w:color="auto" w:fill="FFFFFF"/>
            <w:tcMar>
              <w:top w:w="40" w:type="dxa"/>
              <w:left w:w="20" w:type="dxa"/>
              <w:bottom w:w="40" w:type="dxa"/>
              <w:right w:w="20" w:type="dxa"/>
            </w:tcMar>
            <w:vAlign w:val="bottom"/>
          </w:tcPr>
          <w:p w14:paraId="7B66E5C6" w14:textId="77777777" w:rsidR="0040300B" w:rsidRDefault="00BB2D44">
            <w:pPr>
              <w:textAlignment w:val="bottom"/>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w:t>
            </w:r>
          </w:p>
        </w:tc>
        <w:tc>
          <w:tcPr>
            <w:tcW w:w="0" w:type="auto"/>
            <w:gridSpan w:val="3"/>
            <w:shd w:val="clear" w:color="auto" w:fill="FFFFFF"/>
            <w:tcMar>
              <w:top w:w="0" w:type="dxa"/>
              <w:left w:w="20" w:type="dxa"/>
              <w:bottom w:w="0" w:type="dxa"/>
              <w:right w:w="20" w:type="dxa"/>
            </w:tcMar>
          </w:tcPr>
          <w:p w14:paraId="7B66E5C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C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C9" w14:textId="77777777" w:rsidR="0040300B" w:rsidRDefault="00BB2D44">
            <w:pPr>
              <w:jc w:val="right"/>
              <w:textAlignment w:val="bottom"/>
            </w:pPr>
            <w:r>
              <w:rPr>
                <w:rFonts w:ascii="Times New Roman" w:eastAsia="宋体" w:hAnsi="Times New Roman"/>
                <w:color w:val="000000"/>
                <w:sz w:val="19"/>
                <w:szCs w:val="19"/>
              </w:rPr>
              <w:t>391 </w:t>
            </w:r>
          </w:p>
        </w:tc>
        <w:tc>
          <w:tcPr>
            <w:tcW w:w="0" w:type="auto"/>
            <w:shd w:val="clear" w:color="auto" w:fill="FFFFFF"/>
            <w:tcMar>
              <w:top w:w="40" w:type="dxa"/>
              <w:left w:w="0" w:type="dxa"/>
              <w:bottom w:w="40" w:type="dxa"/>
              <w:right w:w="20" w:type="dxa"/>
            </w:tcMar>
            <w:vAlign w:val="bottom"/>
          </w:tcPr>
          <w:p w14:paraId="7B66E5C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5C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C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C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C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5C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5D0" w14:textId="77777777" w:rsidR="0040300B" w:rsidRDefault="00BB2D44">
            <w:pPr>
              <w:jc w:val="right"/>
              <w:textAlignment w:val="bottom"/>
            </w:pPr>
            <w:r>
              <w:rPr>
                <w:rFonts w:ascii="Times New Roman" w:eastAsia="宋体" w:hAnsi="Times New Roman"/>
                <w:color w:val="000000"/>
                <w:sz w:val="19"/>
                <w:szCs w:val="19"/>
              </w:rPr>
              <w:t>391 </w:t>
            </w:r>
          </w:p>
        </w:tc>
        <w:tc>
          <w:tcPr>
            <w:tcW w:w="0" w:type="auto"/>
            <w:shd w:val="clear" w:color="auto" w:fill="FFFFFF"/>
            <w:tcMar>
              <w:top w:w="40" w:type="dxa"/>
              <w:left w:w="0" w:type="dxa"/>
              <w:bottom w:w="40" w:type="dxa"/>
              <w:right w:w="20" w:type="dxa"/>
            </w:tcMar>
            <w:vAlign w:val="bottom"/>
          </w:tcPr>
          <w:p w14:paraId="7B66E5D1" w14:textId="77777777" w:rsidR="0040300B" w:rsidRDefault="0040300B">
            <w:pPr>
              <w:jc w:val="right"/>
              <w:rPr>
                <w:rFonts w:ascii="宋体"/>
              </w:rPr>
            </w:pPr>
          </w:p>
        </w:tc>
      </w:tr>
      <w:tr w:rsidR="0040300B" w14:paraId="7B66E5E6" w14:textId="77777777">
        <w:trPr>
          <w:jc w:val="center"/>
        </w:trPr>
        <w:tc>
          <w:tcPr>
            <w:tcW w:w="0" w:type="auto"/>
            <w:gridSpan w:val="3"/>
            <w:shd w:val="clear" w:color="auto" w:fill="CCEEFF"/>
            <w:tcMar>
              <w:top w:w="40" w:type="dxa"/>
              <w:left w:w="20" w:type="dxa"/>
              <w:bottom w:w="40" w:type="dxa"/>
              <w:right w:w="20" w:type="dxa"/>
            </w:tcMar>
            <w:vAlign w:val="bottom"/>
          </w:tcPr>
          <w:p w14:paraId="7B66E5D3" w14:textId="77777777" w:rsidR="0040300B" w:rsidRDefault="00BB2D44">
            <w:pPr>
              <w:textAlignment w:val="bottom"/>
            </w:pPr>
            <w:r>
              <w:rPr>
                <w:rFonts w:ascii="Times New Roman" w:eastAsia="宋体" w:hAnsi="Times New Roman"/>
                <w:color w:val="000000"/>
                <w:sz w:val="20"/>
                <w:szCs w:val="20"/>
              </w:rPr>
              <w:t>Balance at April 25, 2020</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5D4" w14:textId="77777777" w:rsidR="0040300B" w:rsidRDefault="00BB2D44">
            <w:pPr>
              <w:jc w:val="right"/>
              <w:textAlignment w:val="bottom"/>
            </w:pPr>
            <w:r>
              <w:rPr>
                <w:rFonts w:ascii="Times New Roman" w:eastAsia="宋体" w:hAnsi="Times New Roman"/>
                <w:color w:val="000000"/>
                <w:sz w:val="19"/>
                <w:szCs w:val="19"/>
              </w:rPr>
              <w:t>4,220 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5D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D6"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5D7"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5D8" w14:textId="77777777" w:rsidR="0040300B" w:rsidRDefault="00BB2D44">
            <w:pPr>
              <w:jc w:val="right"/>
              <w:textAlignment w:val="bottom"/>
            </w:pPr>
            <w:r>
              <w:rPr>
                <w:rFonts w:ascii="Times New Roman" w:eastAsia="宋体" w:hAnsi="Times New Roman"/>
                <w:color w:val="000000"/>
                <w:sz w:val="19"/>
                <w:szCs w:val="19"/>
              </w:rPr>
              <w:t>40,691 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5D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DA"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5DB"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5DC" w14:textId="77777777" w:rsidR="0040300B" w:rsidRDefault="00BB2D44">
            <w:pPr>
              <w:jc w:val="right"/>
              <w:textAlignment w:val="bottom"/>
            </w:pPr>
            <w:r>
              <w:rPr>
                <w:rFonts w:ascii="Times New Roman" w:eastAsia="宋体" w:hAnsi="Times New Roman"/>
                <w:color w:val="000000"/>
                <w:sz w:val="19"/>
                <w:szCs w:val="19"/>
              </w:rPr>
              <w:t>(3,874)</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5D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DE"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5DF"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5E0" w14:textId="77777777" w:rsidR="0040300B" w:rsidRDefault="00BB2D44">
            <w:pPr>
              <w:jc w:val="right"/>
              <w:textAlignment w:val="bottom"/>
            </w:pPr>
            <w:r>
              <w:rPr>
                <w:rFonts w:ascii="Times New Roman" w:eastAsia="宋体" w:hAnsi="Times New Roman"/>
                <w:color w:val="000000"/>
                <w:sz w:val="19"/>
                <w:szCs w:val="19"/>
              </w:rPr>
              <w:t>(1,109)</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5E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5E2"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5E3"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5E4" w14:textId="77777777" w:rsidR="0040300B" w:rsidRDefault="00BB2D44">
            <w:pPr>
              <w:jc w:val="right"/>
              <w:textAlignment w:val="bottom"/>
            </w:pPr>
            <w:r>
              <w:rPr>
                <w:rFonts w:ascii="Times New Roman" w:eastAsia="宋体" w:hAnsi="Times New Roman"/>
                <w:color w:val="000000"/>
                <w:sz w:val="19"/>
                <w:szCs w:val="19"/>
              </w:rPr>
              <w:t>35,708 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5E5" w14:textId="77777777" w:rsidR="0040300B" w:rsidRDefault="0040300B">
            <w:pPr>
              <w:jc w:val="right"/>
              <w:rPr>
                <w:rFonts w:ascii="宋体"/>
              </w:rPr>
            </w:pPr>
          </w:p>
        </w:tc>
      </w:tr>
    </w:tbl>
    <w:p w14:paraId="7B66E5E7" w14:textId="77777777" w:rsidR="0040300B" w:rsidRDefault="0040300B">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40300B" w14:paraId="7B66E606" w14:textId="77777777">
        <w:trPr>
          <w:jc w:val="center"/>
        </w:trPr>
        <w:tc>
          <w:tcPr>
            <w:tcW w:w="50" w:type="pct"/>
            <w:shd w:val="clear" w:color="auto" w:fill="auto"/>
          </w:tcPr>
          <w:p w14:paraId="7B66E5E8" w14:textId="77777777" w:rsidR="0040300B" w:rsidRDefault="0040300B">
            <w:pPr>
              <w:rPr>
                <w:rFonts w:ascii="宋体"/>
              </w:rPr>
            </w:pPr>
          </w:p>
        </w:tc>
        <w:tc>
          <w:tcPr>
            <w:tcW w:w="2349" w:type="pct"/>
            <w:shd w:val="clear" w:color="auto" w:fill="auto"/>
          </w:tcPr>
          <w:p w14:paraId="7B66E5E9" w14:textId="77777777" w:rsidR="0040300B" w:rsidRDefault="0040300B">
            <w:pPr>
              <w:rPr>
                <w:rFonts w:ascii="宋体"/>
              </w:rPr>
            </w:pPr>
          </w:p>
        </w:tc>
        <w:tc>
          <w:tcPr>
            <w:tcW w:w="5" w:type="pct"/>
            <w:shd w:val="clear" w:color="auto" w:fill="auto"/>
          </w:tcPr>
          <w:p w14:paraId="7B66E5EA" w14:textId="77777777" w:rsidR="0040300B" w:rsidRDefault="0040300B">
            <w:pPr>
              <w:rPr>
                <w:rFonts w:ascii="宋体"/>
              </w:rPr>
            </w:pPr>
          </w:p>
        </w:tc>
        <w:tc>
          <w:tcPr>
            <w:tcW w:w="50" w:type="pct"/>
            <w:shd w:val="clear" w:color="auto" w:fill="auto"/>
          </w:tcPr>
          <w:p w14:paraId="7B66E5EB" w14:textId="77777777" w:rsidR="0040300B" w:rsidRDefault="0040300B">
            <w:pPr>
              <w:rPr>
                <w:rFonts w:ascii="宋体"/>
              </w:rPr>
            </w:pPr>
          </w:p>
        </w:tc>
        <w:tc>
          <w:tcPr>
            <w:tcW w:w="434" w:type="pct"/>
            <w:shd w:val="clear" w:color="auto" w:fill="auto"/>
          </w:tcPr>
          <w:p w14:paraId="7B66E5EC" w14:textId="77777777" w:rsidR="0040300B" w:rsidRDefault="0040300B">
            <w:pPr>
              <w:rPr>
                <w:rFonts w:ascii="宋体"/>
              </w:rPr>
            </w:pPr>
          </w:p>
        </w:tc>
        <w:tc>
          <w:tcPr>
            <w:tcW w:w="5" w:type="pct"/>
            <w:shd w:val="clear" w:color="auto" w:fill="auto"/>
          </w:tcPr>
          <w:p w14:paraId="7B66E5ED" w14:textId="77777777" w:rsidR="0040300B" w:rsidRDefault="0040300B">
            <w:pPr>
              <w:rPr>
                <w:rFonts w:ascii="宋体"/>
              </w:rPr>
            </w:pPr>
          </w:p>
        </w:tc>
        <w:tc>
          <w:tcPr>
            <w:tcW w:w="5" w:type="pct"/>
            <w:shd w:val="clear" w:color="auto" w:fill="auto"/>
          </w:tcPr>
          <w:p w14:paraId="7B66E5EE" w14:textId="77777777" w:rsidR="0040300B" w:rsidRDefault="0040300B">
            <w:pPr>
              <w:rPr>
                <w:rFonts w:ascii="宋体"/>
              </w:rPr>
            </w:pPr>
          </w:p>
        </w:tc>
        <w:tc>
          <w:tcPr>
            <w:tcW w:w="26" w:type="pct"/>
            <w:shd w:val="clear" w:color="auto" w:fill="auto"/>
          </w:tcPr>
          <w:p w14:paraId="7B66E5EF" w14:textId="77777777" w:rsidR="0040300B" w:rsidRDefault="0040300B">
            <w:pPr>
              <w:rPr>
                <w:rFonts w:ascii="宋体"/>
              </w:rPr>
            </w:pPr>
          </w:p>
        </w:tc>
        <w:tc>
          <w:tcPr>
            <w:tcW w:w="5" w:type="pct"/>
            <w:shd w:val="clear" w:color="auto" w:fill="auto"/>
          </w:tcPr>
          <w:p w14:paraId="7B66E5F0" w14:textId="77777777" w:rsidR="0040300B" w:rsidRDefault="0040300B">
            <w:pPr>
              <w:rPr>
                <w:rFonts w:ascii="宋体"/>
              </w:rPr>
            </w:pPr>
          </w:p>
        </w:tc>
        <w:tc>
          <w:tcPr>
            <w:tcW w:w="50" w:type="pct"/>
            <w:shd w:val="clear" w:color="auto" w:fill="auto"/>
          </w:tcPr>
          <w:p w14:paraId="7B66E5F1" w14:textId="77777777" w:rsidR="0040300B" w:rsidRDefault="0040300B">
            <w:pPr>
              <w:rPr>
                <w:rFonts w:ascii="宋体"/>
              </w:rPr>
            </w:pPr>
          </w:p>
        </w:tc>
        <w:tc>
          <w:tcPr>
            <w:tcW w:w="434" w:type="pct"/>
            <w:shd w:val="clear" w:color="auto" w:fill="auto"/>
          </w:tcPr>
          <w:p w14:paraId="7B66E5F2" w14:textId="77777777" w:rsidR="0040300B" w:rsidRDefault="0040300B">
            <w:pPr>
              <w:rPr>
                <w:rFonts w:ascii="宋体"/>
              </w:rPr>
            </w:pPr>
          </w:p>
        </w:tc>
        <w:tc>
          <w:tcPr>
            <w:tcW w:w="5" w:type="pct"/>
            <w:shd w:val="clear" w:color="auto" w:fill="auto"/>
          </w:tcPr>
          <w:p w14:paraId="7B66E5F3" w14:textId="77777777" w:rsidR="0040300B" w:rsidRDefault="0040300B">
            <w:pPr>
              <w:rPr>
                <w:rFonts w:ascii="宋体"/>
              </w:rPr>
            </w:pPr>
          </w:p>
        </w:tc>
        <w:tc>
          <w:tcPr>
            <w:tcW w:w="5" w:type="pct"/>
            <w:shd w:val="clear" w:color="auto" w:fill="auto"/>
          </w:tcPr>
          <w:p w14:paraId="7B66E5F4" w14:textId="77777777" w:rsidR="0040300B" w:rsidRDefault="0040300B">
            <w:pPr>
              <w:rPr>
                <w:rFonts w:ascii="宋体"/>
              </w:rPr>
            </w:pPr>
          </w:p>
        </w:tc>
        <w:tc>
          <w:tcPr>
            <w:tcW w:w="26" w:type="pct"/>
            <w:shd w:val="clear" w:color="auto" w:fill="auto"/>
          </w:tcPr>
          <w:p w14:paraId="7B66E5F5" w14:textId="77777777" w:rsidR="0040300B" w:rsidRDefault="0040300B">
            <w:pPr>
              <w:rPr>
                <w:rFonts w:ascii="宋体"/>
              </w:rPr>
            </w:pPr>
          </w:p>
        </w:tc>
        <w:tc>
          <w:tcPr>
            <w:tcW w:w="5" w:type="pct"/>
            <w:shd w:val="clear" w:color="auto" w:fill="auto"/>
          </w:tcPr>
          <w:p w14:paraId="7B66E5F6" w14:textId="77777777" w:rsidR="0040300B" w:rsidRDefault="0040300B">
            <w:pPr>
              <w:rPr>
                <w:rFonts w:ascii="宋体"/>
              </w:rPr>
            </w:pPr>
          </w:p>
        </w:tc>
        <w:tc>
          <w:tcPr>
            <w:tcW w:w="50" w:type="pct"/>
            <w:shd w:val="clear" w:color="auto" w:fill="auto"/>
          </w:tcPr>
          <w:p w14:paraId="7B66E5F7" w14:textId="77777777" w:rsidR="0040300B" w:rsidRDefault="0040300B">
            <w:pPr>
              <w:rPr>
                <w:rFonts w:ascii="宋体"/>
              </w:rPr>
            </w:pPr>
          </w:p>
        </w:tc>
        <w:tc>
          <w:tcPr>
            <w:tcW w:w="434" w:type="pct"/>
            <w:shd w:val="clear" w:color="auto" w:fill="auto"/>
          </w:tcPr>
          <w:p w14:paraId="7B66E5F8" w14:textId="77777777" w:rsidR="0040300B" w:rsidRDefault="0040300B">
            <w:pPr>
              <w:rPr>
                <w:rFonts w:ascii="宋体"/>
              </w:rPr>
            </w:pPr>
          </w:p>
        </w:tc>
        <w:tc>
          <w:tcPr>
            <w:tcW w:w="5" w:type="pct"/>
            <w:shd w:val="clear" w:color="auto" w:fill="auto"/>
          </w:tcPr>
          <w:p w14:paraId="7B66E5F9" w14:textId="77777777" w:rsidR="0040300B" w:rsidRDefault="0040300B">
            <w:pPr>
              <w:rPr>
                <w:rFonts w:ascii="宋体"/>
              </w:rPr>
            </w:pPr>
          </w:p>
        </w:tc>
        <w:tc>
          <w:tcPr>
            <w:tcW w:w="5" w:type="pct"/>
            <w:shd w:val="clear" w:color="auto" w:fill="auto"/>
          </w:tcPr>
          <w:p w14:paraId="7B66E5FA" w14:textId="77777777" w:rsidR="0040300B" w:rsidRDefault="0040300B">
            <w:pPr>
              <w:rPr>
                <w:rFonts w:ascii="宋体"/>
              </w:rPr>
            </w:pPr>
          </w:p>
        </w:tc>
        <w:tc>
          <w:tcPr>
            <w:tcW w:w="26" w:type="pct"/>
            <w:shd w:val="clear" w:color="auto" w:fill="auto"/>
          </w:tcPr>
          <w:p w14:paraId="7B66E5FB" w14:textId="77777777" w:rsidR="0040300B" w:rsidRDefault="0040300B">
            <w:pPr>
              <w:rPr>
                <w:rFonts w:ascii="宋体"/>
              </w:rPr>
            </w:pPr>
          </w:p>
        </w:tc>
        <w:tc>
          <w:tcPr>
            <w:tcW w:w="5" w:type="pct"/>
            <w:shd w:val="clear" w:color="auto" w:fill="auto"/>
          </w:tcPr>
          <w:p w14:paraId="7B66E5FC" w14:textId="77777777" w:rsidR="0040300B" w:rsidRDefault="0040300B">
            <w:pPr>
              <w:rPr>
                <w:rFonts w:ascii="宋体"/>
              </w:rPr>
            </w:pPr>
          </w:p>
        </w:tc>
        <w:tc>
          <w:tcPr>
            <w:tcW w:w="50" w:type="pct"/>
            <w:shd w:val="clear" w:color="auto" w:fill="auto"/>
          </w:tcPr>
          <w:p w14:paraId="7B66E5FD" w14:textId="77777777" w:rsidR="0040300B" w:rsidRDefault="0040300B">
            <w:pPr>
              <w:rPr>
                <w:rFonts w:ascii="宋体"/>
              </w:rPr>
            </w:pPr>
          </w:p>
        </w:tc>
        <w:tc>
          <w:tcPr>
            <w:tcW w:w="434" w:type="pct"/>
            <w:shd w:val="clear" w:color="auto" w:fill="auto"/>
          </w:tcPr>
          <w:p w14:paraId="7B66E5FE" w14:textId="77777777" w:rsidR="0040300B" w:rsidRDefault="0040300B">
            <w:pPr>
              <w:rPr>
                <w:rFonts w:ascii="宋体"/>
              </w:rPr>
            </w:pPr>
          </w:p>
        </w:tc>
        <w:tc>
          <w:tcPr>
            <w:tcW w:w="5" w:type="pct"/>
            <w:shd w:val="clear" w:color="auto" w:fill="auto"/>
          </w:tcPr>
          <w:p w14:paraId="7B66E5FF" w14:textId="77777777" w:rsidR="0040300B" w:rsidRDefault="0040300B">
            <w:pPr>
              <w:rPr>
                <w:rFonts w:ascii="宋体"/>
              </w:rPr>
            </w:pPr>
          </w:p>
        </w:tc>
        <w:tc>
          <w:tcPr>
            <w:tcW w:w="5" w:type="pct"/>
            <w:shd w:val="clear" w:color="auto" w:fill="auto"/>
          </w:tcPr>
          <w:p w14:paraId="7B66E600" w14:textId="77777777" w:rsidR="0040300B" w:rsidRDefault="0040300B">
            <w:pPr>
              <w:rPr>
                <w:rFonts w:ascii="宋体"/>
              </w:rPr>
            </w:pPr>
          </w:p>
        </w:tc>
        <w:tc>
          <w:tcPr>
            <w:tcW w:w="26" w:type="pct"/>
            <w:shd w:val="clear" w:color="auto" w:fill="auto"/>
          </w:tcPr>
          <w:p w14:paraId="7B66E601" w14:textId="77777777" w:rsidR="0040300B" w:rsidRDefault="0040300B">
            <w:pPr>
              <w:rPr>
                <w:rFonts w:ascii="宋体"/>
              </w:rPr>
            </w:pPr>
          </w:p>
        </w:tc>
        <w:tc>
          <w:tcPr>
            <w:tcW w:w="5" w:type="pct"/>
            <w:shd w:val="clear" w:color="auto" w:fill="auto"/>
          </w:tcPr>
          <w:p w14:paraId="7B66E602" w14:textId="77777777" w:rsidR="0040300B" w:rsidRDefault="0040300B">
            <w:pPr>
              <w:rPr>
                <w:rFonts w:ascii="宋体"/>
              </w:rPr>
            </w:pPr>
          </w:p>
        </w:tc>
        <w:tc>
          <w:tcPr>
            <w:tcW w:w="50" w:type="pct"/>
            <w:shd w:val="clear" w:color="auto" w:fill="auto"/>
          </w:tcPr>
          <w:p w14:paraId="7B66E603" w14:textId="77777777" w:rsidR="0040300B" w:rsidRDefault="0040300B">
            <w:pPr>
              <w:rPr>
                <w:rFonts w:ascii="宋体"/>
              </w:rPr>
            </w:pPr>
          </w:p>
        </w:tc>
        <w:tc>
          <w:tcPr>
            <w:tcW w:w="435" w:type="pct"/>
            <w:shd w:val="clear" w:color="auto" w:fill="auto"/>
          </w:tcPr>
          <w:p w14:paraId="7B66E604" w14:textId="77777777" w:rsidR="0040300B" w:rsidRDefault="0040300B">
            <w:pPr>
              <w:rPr>
                <w:rFonts w:ascii="宋体"/>
              </w:rPr>
            </w:pPr>
          </w:p>
        </w:tc>
        <w:tc>
          <w:tcPr>
            <w:tcW w:w="5" w:type="pct"/>
            <w:shd w:val="clear" w:color="auto" w:fill="auto"/>
          </w:tcPr>
          <w:p w14:paraId="7B66E605" w14:textId="77777777" w:rsidR="0040300B" w:rsidRDefault="0040300B">
            <w:pPr>
              <w:rPr>
                <w:rFonts w:ascii="宋体"/>
              </w:rPr>
            </w:pPr>
          </w:p>
        </w:tc>
      </w:tr>
      <w:tr w:rsidR="0040300B" w14:paraId="7B66E611" w14:textId="77777777">
        <w:trPr>
          <w:jc w:val="center"/>
        </w:trPr>
        <w:tc>
          <w:tcPr>
            <w:tcW w:w="0" w:type="auto"/>
            <w:gridSpan w:val="3"/>
            <w:shd w:val="clear" w:color="auto" w:fill="auto"/>
            <w:tcMar>
              <w:top w:w="40" w:type="dxa"/>
              <w:left w:w="20" w:type="dxa"/>
              <w:bottom w:w="40" w:type="dxa"/>
              <w:right w:w="20" w:type="dxa"/>
            </w:tcMar>
            <w:vAlign w:val="bottom"/>
          </w:tcPr>
          <w:p w14:paraId="7B66E607" w14:textId="77777777" w:rsidR="0040300B" w:rsidRDefault="00BB2D44">
            <w:pPr>
              <w:textAlignment w:val="bottom"/>
            </w:pPr>
            <w:r>
              <w:rPr>
                <w:rFonts w:ascii="Times New Roman" w:eastAsia="宋体" w:hAnsi="Times New Roman"/>
                <w:color w:val="000000"/>
                <w:sz w:val="16"/>
                <w:szCs w:val="16"/>
                <w:u w:val="single"/>
              </w:rPr>
              <w:t>Nine Months Ended April 25, 2020</w:t>
            </w:r>
          </w:p>
        </w:tc>
        <w:tc>
          <w:tcPr>
            <w:tcW w:w="0" w:type="auto"/>
            <w:gridSpan w:val="3"/>
            <w:shd w:val="clear" w:color="auto" w:fill="auto"/>
            <w:tcMar>
              <w:top w:w="40" w:type="dxa"/>
              <w:left w:w="20" w:type="dxa"/>
              <w:bottom w:w="40" w:type="dxa"/>
              <w:right w:w="20" w:type="dxa"/>
            </w:tcMar>
            <w:vAlign w:val="bottom"/>
          </w:tcPr>
          <w:p w14:paraId="7B66E608" w14:textId="77777777" w:rsidR="0040300B" w:rsidRDefault="00BB2D4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tcPr>
          <w:p w14:paraId="7B66E60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60A" w14:textId="77777777" w:rsidR="0040300B" w:rsidRDefault="00BB2D4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tcPr>
          <w:p w14:paraId="7B66E60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60C" w14:textId="77777777" w:rsidR="0040300B" w:rsidRDefault="00BB2D44">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tcPr>
          <w:p w14:paraId="7B66E60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60E" w14:textId="77777777" w:rsidR="0040300B" w:rsidRDefault="00BB2D4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tcPr>
          <w:p w14:paraId="7B66E60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610" w14:textId="77777777" w:rsidR="0040300B" w:rsidRDefault="00BB2D4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40300B" w14:paraId="7B66E625" w14:textId="77777777">
        <w:trPr>
          <w:jc w:val="center"/>
        </w:trPr>
        <w:tc>
          <w:tcPr>
            <w:tcW w:w="0" w:type="auto"/>
            <w:gridSpan w:val="3"/>
            <w:shd w:val="clear" w:color="auto" w:fill="CCEEFF"/>
            <w:tcMar>
              <w:top w:w="40" w:type="dxa"/>
              <w:left w:w="20" w:type="dxa"/>
              <w:bottom w:w="40" w:type="dxa"/>
              <w:right w:w="20" w:type="dxa"/>
            </w:tcMar>
            <w:vAlign w:val="bottom"/>
          </w:tcPr>
          <w:p w14:paraId="7B66E612" w14:textId="77777777" w:rsidR="0040300B" w:rsidRDefault="00BB2D44">
            <w:pPr>
              <w:textAlignment w:val="bottom"/>
            </w:pPr>
            <w:r>
              <w:rPr>
                <w:rFonts w:ascii="Times New Roman" w:eastAsia="宋体" w:hAnsi="Times New Roman"/>
                <w:color w:val="000000"/>
                <w:sz w:val="20"/>
                <w:szCs w:val="20"/>
              </w:rPr>
              <w:t>Balance at July 27,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613" w14:textId="77777777" w:rsidR="0040300B" w:rsidRDefault="00BB2D44">
            <w:pPr>
              <w:jc w:val="right"/>
              <w:textAlignment w:val="bottom"/>
            </w:pPr>
            <w:r>
              <w:rPr>
                <w:rFonts w:ascii="Times New Roman" w:eastAsia="宋体" w:hAnsi="Times New Roman"/>
                <w:color w:val="000000"/>
                <w:sz w:val="19"/>
                <w:szCs w:val="19"/>
              </w:rPr>
              <w:t>4,250 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61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1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616"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617" w14:textId="77777777" w:rsidR="0040300B" w:rsidRDefault="00BB2D44">
            <w:pPr>
              <w:jc w:val="right"/>
              <w:textAlignment w:val="bottom"/>
            </w:pPr>
            <w:r>
              <w:rPr>
                <w:rFonts w:ascii="Times New Roman" w:eastAsia="宋体" w:hAnsi="Times New Roman"/>
                <w:color w:val="000000"/>
                <w:sz w:val="19"/>
                <w:szCs w:val="19"/>
              </w:rPr>
              <w:t>40,266 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61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1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61A"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61B" w14:textId="77777777" w:rsidR="0040300B" w:rsidRDefault="00BB2D44">
            <w:pPr>
              <w:jc w:val="right"/>
              <w:textAlignment w:val="bottom"/>
            </w:pPr>
            <w:r>
              <w:rPr>
                <w:rFonts w:ascii="Times New Roman" w:eastAsia="宋体" w:hAnsi="Times New Roman"/>
                <w:color w:val="000000"/>
                <w:sz w:val="19"/>
                <w:szCs w:val="19"/>
              </w:rPr>
              <w:t>(5,903)</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61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1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61E"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61F" w14:textId="77777777" w:rsidR="0040300B" w:rsidRDefault="00BB2D44">
            <w:pPr>
              <w:jc w:val="right"/>
              <w:textAlignment w:val="bottom"/>
            </w:pPr>
            <w:r>
              <w:rPr>
                <w:rFonts w:ascii="Times New Roman" w:eastAsia="宋体" w:hAnsi="Times New Roman"/>
                <w:color w:val="000000"/>
                <w:sz w:val="19"/>
                <w:szCs w:val="19"/>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62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2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622"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623" w14:textId="77777777" w:rsidR="0040300B" w:rsidRDefault="00BB2D44">
            <w:pPr>
              <w:jc w:val="right"/>
              <w:textAlignment w:val="bottom"/>
            </w:pPr>
            <w:r>
              <w:rPr>
                <w:rFonts w:ascii="Times New Roman" w:eastAsia="宋体" w:hAnsi="Times New Roman"/>
                <w:color w:val="000000"/>
                <w:sz w:val="19"/>
                <w:szCs w:val="19"/>
              </w:rPr>
              <w:t>33,571 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624" w14:textId="77777777" w:rsidR="0040300B" w:rsidRDefault="0040300B">
            <w:pPr>
              <w:jc w:val="right"/>
              <w:rPr>
                <w:rFonts w:ascii="宋体"/>
              </w:rPr>
            </w:pPr>
          </w:p>
        </w:tc>
      </w:tr>
      <w:tr w:rsidR="0040300B" w14:paraId="7B66E632" w14:textId="77777777">
        <w:trPr>
          <w:jc w:val="center"/>
        </w:trPr>
        <w:tc>
          <w:tcPr>
            <w:tcW w:w="0" w:type="auto"/>
            <w:gridSpan w:val="3"/>
            <w:shd w:val="clear" w:color="auto" w:fill="FFFFFF"/>
            <w:tcMar>
              <w:top w:w="40" w:type="dxa"/>
              <w:left w:w="20" w:type="dxa"/>
              <w:bottom w:w="40" w:type="dxa"/>
              <w:right w:w="20" w:type="dxa"/>
            </w:tcMar>
            <w:vAlign w:val="bottom"/>
          </w:tcPr>
          <w:p w14:paraId="7B66E626" w14:textId="77777777" w:rsidR="0040300B" w:rsidRDefault="00BB2D44">
            <w:pPr>
              <w:textAlignment w:val="bottom"/>
            </w:pPr>
            <w:r>
              <w:rPr>
                <w:rFonts w:ascii="Times New Roman" w:eastAsia="宋体" w:hAnsi="Times New Roman"/>
                <w:color w:val="000000"/>
                <w:sz w:val="20"/>
                <w:szCs w:val="20"/>
              </w:rPr>
              <w:t>Net income</w:t>
            </w:r>
          </w:p>
        </w:tc>
        <w:tc>
          <w:tcPr>
            <w:tcW w:w="0" w:type="auto"/>
            <w:gridSpan w:val="3"/>
            <w:shd w:val="clear" w:color="auto" w:fill="FFFFFF"/>
            <w:tcMar>
              <w:top w:w="0" w:type="dxa"/>
              <w:left w:w="20" w:type="dxa"/>
              <w:bottom w:w="0" w:type="dxa"/>
              <w:right w:w="20" w:type="dxa"/>
            </w:tcMar>
          </w:tcPr>
          <w:p w14:paraId="7B66E62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2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2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2A"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62B" w14:textId="77777777" w:rsidR="0040300B" w:rsidRDefault="00BB2D44">
            <w:pPr>
              <w:jc w:val="right"/>
              <w:textAlignment w:val="bottom"/>
            </w:pPr>
            <w:r>
              <w:rPr>
                <w:rFonts w:ascii="Times New Roman" w:eastAsia="宋体" w:hAnsi="Times New Roman"/>
                <w:color w:val="000000"/>
                <w:sz w:val="19"/>
                <w:szCs w:val="19"/>
              </w:rPr>
              <w:t>8,578 </w:t>
            </w:r>
          </w:p>
        </w:tc>
        <w:tc>
          <w:tcPr>
            <w:tcW w:w="0" w:type="auto"/>
            <w:shd w:val="clear" w:color="auto" w:fill="auto"/>
            <w:tcMar>
              <w:top w:w="40" w:type="dxa"/>
              <w:left w:w="0" w:type="dxa"/>
              <w:bottom w:w="40" w:type="dxa"/>
              <w:right w:w="20" w:type="dxa"/>
            </w:tcMar>
            <w:vAlign w:val="bottom"/>
          </w:tcPr>
          <w:p w14:paraId="7B66E62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2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2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2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30" w14:textId="77777777" w:rsidR="0040300B" w:rsidRDefault="00BB2D44">
            <w:pPr>
              <w:jc w:val="right"/>
              <w:textAlignment w:val="bottom"/>
            </w:pPr>
            <w:r>
              <w:rPr>
                <w:rFonts w:ascii="Times New Roman" w:eastAsia="宋体" w:hAnsi="Times New Roman"/>
                <w:color w:val="000000"/>
                <w:sz w:val="19"/>
                <w:szCs w:val="19"/>
              </w:rPr>
              <w:t>8,578 </w:t>
            </w:r>
          </w:p>
        </w:tc>
        <w:tc>
          <w:tcPr>
            <w:tcW w:w="0" w:type="auto"/>
            <w:shd w:val="clear" w:color="auto" w:fill="FFFFFF"/>
            <w:tcMar>
              <w:top w:w="40" w:type="dxa"/>
              <w:left w:w="0" w:type="dxa"/>
              <w:bottom w:w="40" w:type="dxa"/>
              <w:right w:w="20" w:type="dxa"/>
            </w:tcMar>
            <w:vAlign w:val="bottom"/>
          </w:tcPr>
          <w:p w14:paraId="7B66E631" w14:textId="77777777" w:rsidR="0040300B" w:rsidRDefault="0040300B">
            <w:pPr>
              <w:jc w:val="right"/>
              <w:rPr>
                <w:rFonts w:ascii="宋体"/>
              </w:rPr>
            </w:pPr>
          </w:p>
        </w:tc>
      </w:tr>
      <w:tr w:rsidR="0040300B" w14:paraId="7B66E63F" w14:textId="77777777">
        <w:trPr>
          <w:jc w:val="center"/>
        </w:trPr>
        <w:tc>
          <w:tcPr>
            <w:tcW w:w="0" w:type="auto"/>
            <w:gridSpan w:val="3"/>
            <w:shd w:val="clear" w:color="auto" w:fill="CCEEFF"/>
            <w:tcMar>
              <w:top w:w="40" w:type="dxa"/>
              <w:left w:w="20" w:type="dxa"/>
              <w:bottom w:w="40" w:type="dxa"/>
              <w:right w:w="20" w:type="dxa"/>
            </w:tcMar>
            <w:vAlign w:val="bottom"/>
          </w:tcPr>
          <w:p w14:paraId="7B66E633" w14:textId="77777777" w:rsidR="0040300B" w:rsidRDefault="00BB2D44">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loss</w:t>
            </w:r>
          </w:p>
        </w:tc>
        <w:tc>
          <w:tcPr>
            <w:tcW w:w="0" w:type="auto"/>
            <w:gridSpan w:val="3"/>
            <w:shd w:val="clear" w:color="auto" w:fill="CCEEFF"/>
            <w:tcMar>
              <w:top w:w="0" w:type="dxa"/>
              <w:left w:w="20" w:type="dxa"/>
              <w:bottom w:w="0" w:type="dxa"/>
              <w:right w:w="20" w:type="dxa"/>
            </w:tcMar>
          </w:tcPr>
          <w:p w14:paraId="7B66E63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3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3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3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3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3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3A" w14:textId="77777777" w:rsidR="0040300B" w:rsidRDefault="00BB2D44">
            <w:pPr>
              <w:jc w:val="right"/>
              <w:textAlignment w:val="bottom"/>
            </w:pPr>
            <w:r>
              <w:rPr>
                <w:rFonts w:ascii="Times New Roman" w:eastAsia="宋体" w:hAnsi="Times New Roman"/>
                <w:color w:val="000000"/>
                <w:sz w:val="19"/>
                <w:szCs w:val="19"/>
              </w:rPr>
              <w:t>(317)</w:t>
            </w:r>
          </w:p>
        </w:tc>
        <w:tc>
          <w:tcPr>
            <w:tcW w:w="0" w:type="auto"/>
            <w:shd w:val="clear" w:color="auto" w:fill="CCEEFF"/>
            <w:tcMar>
              <w:top w:w="40" w:type="dxa"/>
              <w:left w:w="0" w:type="dxa"/>
              <w:bottom w:w="40" w:type="dxa"/>
              <w:right w:w="20" w:type="dxa"/>
            </w:tcMar>
            <w:vAlign w:val="bottom"/>
          </w:tcPr>
          <w:p w14:paraId="7B66E63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3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3D" w14:textId="77777777" w:rsidR="0040300B" w:rsidRDefault="00BB2D44">
            <w:pPr>
              <w:jc w:val="right"/>
              <w:textAlignment w:val="bottom"/>
            </w:pPr>
            <w:r>
              <w:rPr>
                <w:rFonts w:ascii="Times New Roman" w:eastAsia="宋体" w:hAnsi="Times New Roman"/>
                <w:color w:val="000000"/>
                <w:sz w:val="19"/>
                <w:szCs w:val="19"/>
              </w:rPr>
              <w:t>(317)</w:t>
            </w:r>
          </w:p>
        </w:tc>
        <w:tc>
          <w:tcPr>
            <w:tcW w:w="0" w:type="auto"/>
            <w:shd w:val="clear" w:color="auto" w:fill="CCEEFF"/>
            <w:tcMar>
              <w:top w:w="40" w:type="dxa"/>
              <w:left w:w="0" w:type="dxa"/>
              <w:bottom w:w="40" w:type="dxa"/>
              <w:right w:w="20" w:type="dxa"/>
            </w:tcMar>
            <w:vAlign w:val="bottom"/>
          </w:tcPr>
          <w:p w14:paraId="7B66E63E" w14:textId="77777777" w:rsidR="0040300B" w:rsidRDefault="0040300B">
            <w:pPr>
              <w:jc w:val="right"/>
              <w:rPr>
                <w:rFonts w:ascii="宋体"/>
              </w:rPr>
            </w:pPr>
          </w:p>
        </w:tc>
      </w:tr>
      <w:tr w:rsidR="0040300B" w14:paraId="7B66E64D" w14:textId="77777777">
        <w:trPr>
          <w:jc w:val="center"/>
        </w:trPr>
        <w:tc>
          <w:tcPr>
            <w:tcW w:w="0" w:type="auto"/>
            <w:gridSpan w:val="3"/>
            <w:shd w:val="clear" w:color="auto" w:fill="FFFFFF"/>
            <w:tcMar>
              <w:top w:w="40" w:type="dxa"/>
              <w:left w:w="20" w:type="dxa"/>
              <w:bottom w:w="40" w:type="dxa"/>
              <w:right w:w="20" w:type="dxa"/>
            </w:tcMar>
            <w:vAlign w:val="bottom"/>
          </w:tcPr>
          <w:p w14:paraId="7B66E640" w14:textId="77777777" w:rsidR="0040300B" w:rsidRDefault="00BB2D44">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7B66E641" w14:textId="77777777" w:rsidR="0040300B" w:rsidRDefault="00BB2D44">
            <w:pPr>
              <w:jc w:val="right"/>
              <w:textAlignment w:val="bottom"/>
            </w:pPr>
            <w:r>
              <w:rPr>
                <w:rFonts w:ascii="Times New Roman" w:eastAsia="宋体" w:hAnsi="Times New Roman"/>
                <w:color w:val="000000"/>
                <w:sz w:val="19"/>
                <w:szCs w:val="19"/>
              </w:rPr>
              <w:t>40 </w:t>
            </w:r>
          </w:p>
        </w:tc>
        <w:tc>
          <w:tcPr>
            <w:tcW w:w="0" w:type="auto"/>
            <w:shd w:val="clear" w:color="auto" w:fill="FFFFFF"/>
            <w:tcMar>
              <w:top w:w="40" w:type="dxa"/>
              <w:left w:w="0" w:type="dxa"/>
              <w:bottom w:w="40" w:type="dxa"/>
              <w:right w:w="20" w:type="dxa"/>
            </w:tcMar>
            <w:vAlign w:val="bottom"/>
          </w:tcPr>
          <w:p w14:paraId="7B66E64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4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44" w14:textId="77777777" w:rsidR="0040300B" w:rsidRDefault="00BB2D44">
            <w:pPr>
              <w:jc w:val="right"/>
              <w:textAlignment w:val="bottom"/>
            </w:pPr>
            <w:r>
              <w:rPr>
                <w:rFonts w:ascii="Times New Roman" w:eastAsia="宋体" w:hAnsi="Times New Roman"/>
                <w:color w:val="000000"/>
                <w:sz w:val="19"/>
                <w:szCs w:val="19"/>
              </w:rPr>
              <w:t>335 </w:t>
            </w:r>
          </w:p>
        </w:tc>
        <w:tc>
          <w:tcPr>
            <w:tcW w:w="0" w:type="auto"/>
            <w:shd w:val="clear" w:color="auto" w:fill="FFFFFF"/>
            <w:tcMar>
              <w:top w:w="40" w:type="dxa"/>
              <w:left w:w="0" w:type="dxa"/>
              <w:bottom w:w="40" w:type="dxa"/>
              <w:right w:w="20" w:type="dxa"/>
            </w:tcMar>
            <w:vAlign w:val="bottom"/>
          </w:tcPr>
          <w:p w14:paraId="7B66E64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4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4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4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4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4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4B" w14:textId="77777777" w:rsidR="0040300B" w:rsidRDefault="00BB2D44">
            <w:pPr>
              <w:jc w:val="right"/>
              <w:textAlignment w:val="bottom"/>
            </w:pPr>
            <w:r>
              <w:rPr>
                <w:rFonts w:ascii="Times New Roman" w:eastAsia="宋体" w:hAnsi="Times New Roman"/>
                <w:color w:val="000000"/>
                <w:sz w:val="19"/>
                <w:szCs w:val="19"/>
              </w:rPr>
              <w:t>335 </w:t>
            </w:r>
          </w:p>
        </w:tc>
        <w:tc>
          <w:tcPr>
            <w:tcW w:w="0" w:type="auto"/>
            <w:shd w:val="clear" w:color="auto" w:fill="FFFFFF"/>
            <w:tcMar>
              <w:top w:w="40" w:type="dxa"/>
              <w:left w:w="0" w:type="dxa"/>
              <w:bottom w:w="40" w:type="dxa"/>
              <w:right w:w="20" w:type="dxa"/>
            </w:tcMar>
            <w:vAlign w:val="bottom"/>
          </w:tcPr>
          <w:p w14:paraId="7B66E64C" w14:textId="77777777" w:rsidR="0040300B" w:rsidRDefault="0040300B">
            <w:pPr>
              <w:jc w:val="right"/>
              <w:rPr>
                <w:rFonts w:ascii="宋体"/>
              </w:rPr>
            </w:pPr>
          </w:p>
        </w:tc>
      </w:tr>
      <w:tr w:rsidR="0040300B" w14:paraId="7B66E65C" w14:textId="77777777">
        <w:trPr>
          <w:jc w:val="center"/>
        </w:trPr>
        <w:tc>
          <w:tcPr>
            <w:tcW w:w="0" w:type="auto"/>
            <w:gridSpan w:val="3"/>
            <w:shd w:val="clear" w:color="auto" w:fill="CCEEFF"/>
            <w:tcMar>
              <w:top w:w="40" w:type="dxa"/>
              <w:left w:w="20" w:type="dxa"/>
              <w:bottom w:w="40" w:type="dxa"/>
              <w:right w:w="20" w:type="dxa"/>
            </w:tcMar>
            <w:vAlign w:val="bottom"/>
          </w:tcPr>
          <w:p w14:paraId="7B66E64E" w14:textId="77777777" w:rsidR="0040300B" w:rsidRDefault="00BB2D44">
            <w:pPr>
              <w:textAlignment w:val="bottom"/>
            </w:pPr>
            <w:r>
              <w:rPr>
                <w:rFonts w:ascii="Times New Roman" w:eastAsia="宋体" w:hAnsi="Times New Roman"/>
                <w:color w:val="000000"/>
                <w:sz w:val="20"/>
                <w:szCs w:val="20"/>
              </w:rPr>
              <w:t>Repurchase of common stock</w:t>
            </w:r>
          </w:p>
        </w:tc>
        <w:tc>
          <w:tcPr>
            <w:tcW w:w="0" w:type="auto"/>
            <w:gridSpan w:val="2"/>
            <w:shd w:val="clear" w:color="auto" w:fill="CCEEFF"/>
            <w:tcMar>
              <w:top w:w="40" w:type="dxa"/>
              <w:left w:w="20" w:type="dxa"/>
              <w:bottom w:w="40" w:type="dxa"/>
              <w:right w:w="0" w:type="dxa"/>
            </w:tcMar>
            <w:vAlign w:val="bottom"/>
          </w:tcPr>
          <w:p w14:paraId="7B66E64F" w14:textId="77777777" w:rsidR="0040300B" w:rsidRDefault="00BB2D44">
            <w:pPr>
              <w:jc w:val="right"/>
              <w:textAlignment w:val="bottom"/>
            </w:pPr>
            <w:r>
              <w:rPr>
                <w:rFonts w:ascii="Times New Roman" w:eastAsia="宋体" w:hAnsi="Times New Roman"/>
                <w:color w:val="000000"/>
                <w:sz w:val="19"/>
                <w:szCs w:val="19"/>
              </w:rPr>
              <w:t>(59)</w:t>
            </w:r>
          </w:p>
        </w:tc>
        <w:tc>
          <w:tcPr>
            <w:tcW w:w="0" w:type="auto"/>
            <w:shd w:val="clear" w:color="auto" w:fill="CCEEFF"/>
            <w:tcMar>
              <w:top w:w="40" w:type="dxa"/>
              <w:left w:w="0" w:type="dxa"/>
              <w:bottom w:w="40" w:type="dxa"/>
              <w:right w:w="20" w:type="dxa"/>
            </w:tcMar>
            <w:vAlign w:val="bottom"/>
          </w:tcPr>
          <w:p w14:paraId="7B66E6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52" w14:textId="77777777" w:rsidR="0040300B" w:rsidRDefault="00BB2D44">
            <w:pPr>
              <w:jc w:val="right"/>
              <w:textAlignment w:val="bottom"/>
            </w:pPr>
            <w:r>
              <w:rPr>
                <w:rFonts w:ascii="Times New Roman" w:eastAsia="宋体" w:hAnsi="Times New Roman"/>
                <w:color w:val="000000"/>
                <w:sz w:val="19"/>
                <w:szCs w:val="19"/>
              </w:rPr>
              <w:t>(561)</w:t>
            </w:r>
          </w:p>
        </w:tc>
        <w:tc>
          <w:tcPr>
            <w:tcW w:w="0" w:type="auto"/>
            <w:shd w:val="clear" w:color="auto" w:fill="CCEEFF"/>
            <w:tcMar>
              <w:top w:w="40" w:type="dxa"/>
              <w:left w:w="0" w:type="dxa"/>
              <w:bottom w:w="40" w:type="dxa"/>
              <w:right w:w="20" w:type="dxa"/>
            </w:tcMar>
            <w:vAlign w:val="bottom"/>
          </w:tcPr>
          <w:p w14:paraId="7B66E65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5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55" w14:textId="77777777" w:rsidR="0040300B" w:rsidRDefault="00BB2D44">
            <w:pPr>
              <w:jc w:val="right"/>
              <w:textAlignment w:val="bottom"/>
            </w:pPr>
            <w:r>
              <w:rPr>
                <w:rFonts w:ascii="Times New Roman" w:eastAsia="宋体" w:hAnsi="Times New Roman"/>
                <w:color w:val="000000"/>
                <w:sz w:val="19"/>
                <w:szCs w:val="19"/>
              </w:rPr>
              <w:t>(2,058)</w:t>
            </w:r>
          </w:p>
        </w:tc>
        <w:tc>
          <w:tcPr>
            <w:tcW w:w="0" w:type="auto"/>
            <w:shd w:val="clear" w:color="auto" w:fill="CCEEFF"/>
            <w:tcMar>
              <w:top w:w="40" w:type="dxa"/>
              <w:left w:w="0" w:type="dxa"/>
              <w:bottom w:w="40" w:type="dxa"/>
              <w:right w:w="20" w:type="dxa"/>
            </w:tcMar>
            <w:vAlign w:val="bottom"/>
          </w:tcPr>
          <w:p w14:paraId="7B66E65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5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5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5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5A" w14:textId="77777777" w:rsidR="0040300B" w:rsidRDefault="00BB2D44">
            <w:pPr>
              <w:jc w:val="right"/>
              <w:textAlignment w:val="bottom"/>
            </w:pPr>
            <w:r>
              <w:rPr>
                <w:rFonts w:ascii="Times New Roman" w:eastAsia="宋体" w:hAnsi="Times New Roman"/>
                <w:color w:val="000000"/>
                <w:sz w:val="19"/>
                <w:szCs w:val="19"/>
              </w:rPr>
              <w:t>(2,619)</w:t>
            </w:r>
          </w:p>
        </w:tc>
        <w:tc>
          <w:tcPr>
            <w:tcW w:w="0" w:type="auto"/>
            <w:shd w:val="clear" w:color="auto" w:fill="CCEEFF"/>
            <w:tcMar>
              <w:top w:w="40" w:type="dxa"/>
              <w:left w:w="0" w:type="dxa"/>
              <w:bottom w:w="40" w:type="dxa"/>
              <w:right w:w="20" w:type="dxa"/>
            </w:tcMar>
            <w:vAlign w:val="bottom"/>
          </w:tcPr>
          <w:p w14:paraId="7B66E65B" w14:textId="77777777" w:rsidR="0040300B" w:rsidRDefault="0040300B">
            <w:pPr>
              <w:jc w:val="right"/>
              <w:rPr>
                <w:rFonts w:ascii="宋体"/>
              </w:rPr>
            </w:pPr>
          </w:p>
        </w:tc>
      </w:tr>
      <w:tr w:rsidR="0040300B" w14:paraId="7B66E66A" w14:textId="77777777">
        <w:trPr>
          <w:jc w:val="center"/>
        </w:trPr>
        <w:tc>
          <w:tcPr>
            <w:tcW w:w="0" w:type="auto"/>
            <w:gridSpan w:val="3"/>
            <w:shd w:val="clear" w:color="auto" w:fill="FFFFFF"/>
            <w:tcMar>
              <w:top w:w="40" w:type="dxa"/>
              <w:left w:w="20" w:type="dxa"/>
              <w:bottom w:w="40" w:type="dxa"/>
              <w:right w:w="20" w:type="dxa"/>
            </w:tcMar>
            <w:vAlign w:val="bottom"/>
          </w:tcPr>
          <w:p w14:paraId="7B66E65D" w14:textId="77777777" w:rsidR="0040300B" w:rsidRDefault="00BB2D44">
            <w:pPr>
              <w:textAlignment w:val="bottom"/>
            </w:pPr>
            <w:r>
              <w:rPr>
                <w:rFonts w:ascii="Times New Roman" w:eastAsia="宋体" w:hAnsi="Times New Roman"/>
                <w:color w:val="000000"/>
                <w:sz w:val="20"/>
                <w:szCs w:val="20"/>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7B66E65E" w14:textId="77777777" w:rsidR="0040300B" w:rsidRDefault="00BB2D44">
            <w:pPr>
              <w:jc w:val="right"/>
              <w:textAlignment w:val="bottom"/>
            </w:pPr>
            <w:r>
              <w:rPr>
                <w:rFonts w:ascii="Times New Roman" w:eastAsia="宋体" w:hAnsi="Times New Roman"/>
                <w:color w:val="000000"/>
                <w:sz w:val="19"/>
                <w:szCs w:val="19"/>
              </w:rPr>
              <w:t>(11)</w:t>
            </w:r>
          </w:p>
        </w:tc>
        <w:tc>
          <w:tcPr>
            <w:tcW w:w="0" w:type="auto"/>
            <w:shd w:val="clear" w:color="auto" w:fill="FFFFFF"/>
            <w:tcMar>
              <w:top w:w="40" w:type="dxa"/>
              <w:left w:w="0" w:type="dxa"/>
              <w:bottom w:w="40" w:type="dxa"/>
              <w:right w:w="20" w:type="dxa"/>
            </w:tcMar>
            <w:vAlign w:val="bottom"/>
          </w:tcPr>
          <w:p w14:paraId="7B66E65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6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61" w14:textId="77777777" w:rsidR="0040300B" w:rsidRDefault="00BB2D44">
            <w:pPr>
              <w:jc w:val="right"/>
              <w:textAlignment w:val="bottom"/>
            </w:pPr>
            <w:r>
              <w:rPr>
                <w:rFonts w:ascii="Times New Roman" w:eastAsia="宋体" w:hAnsi="Times New Roman"/>
                <w:color w:val="000000"/>
                <w:sz w:val="19"/>
                <w:szCs w:val="19"/>
              </w:rPr>
              <w:t>(519)</w:t>
            </w:r>
          </w:p>
        </w:tc>
        <w:tc>
          <w:tcPr>
            <w:tcW w:w="0" w:type="auto"/>
            <w:shd w:val="clear" w:color="auto" w:fill="FFFFFF"/>
            <w:tcMar>
              <w:top w:w="40" w:type="dxa"/>
              <w:left w:w="0" w:type="dxa"/>
              <w:bottom w:w="40" w:type="dxa"/>
              <w:right w:w="20" w:type="dxa"/>
            </w:tcMar>
            <w:vAlign w:val="bottom"/>
          </w:tcPr>
          <w:p w14:paraId="7B66E66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6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6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6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6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6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68" w14:textId="77777777" w:rsidR="0040300B" w:rsidRDefault="00BB2D44">
            <w:pPr>
              <w:jc w:val="right"/>
              <w:textAlignment w:val="bottom"/>
            </w:pPr>
            <w:r>
              <w:rPr>
                <w:rFonts w:ascii="Times New Roman" w:eastAsia="宋体" w:hAnsi="Times New Roman"/>
                <w:color w:val="000000"/>
                <w:sz w:val="19"/>
                <w:szCs w:val="19"/>
              </w:rPr>
              <w:t>(519)</w:t>
            </w:r>
          </w:p>
        </w:tc>
        <w:tc>
          <w:tcPr>
            <w:tcW w:w="0" w:type="auto"/>
            <w:shd w:val="clear" w:color="auto" w:fill="FFFFFF"/>
            <w:tcMar>
              <w:top w:w="40" w:type="dxa"/>
              <w:left w:w="0" w:type="dxa"/>
              <w:bottom w:w="40" w:type="dxa"/>
              <w:right w:w="20" w:type="dxa"/>
            </w:tcMar>
            <w:vAlign w:val="bottom"/>
          </w:tcPr>
          <w:p w14:paraId="7B66E669" w14:textId="77777777" w:rsidR="0040300B" w:rsidRDefault="0040300B">
            <w:pPr>
              <w:jc w:val="right"/>
              <w:rPr>
                <w:rFonts w:ascii="宋体"/>
              </w:rPr>
            </w:pPr>
          </w:p>
        </w:tc>
      </w:tr>
      <w:tr w:rsidR="0040300B" w14:paraId="7B66E677" w14:textId="77777777">
        <w:trPr>
          <w:jc w:val="center"/>
        </w:trPr>
        <w:tc>
          <w:tcPr>
            <w:tcW w:w="0" w:type="auto"/>
            <w:gridSpan w:val="3"/>
            <w:shd w:val="clear" w:color="auto" w:fill="CCEEFF"/>
            <w:tcMar>
              <w:top w:w="40" w:type="dxa"/>
              <w:left w:w="20" w:type="dxa"/>
              <w:bottom w:w="40" w:type="dxa"/>
              <w:right w:w="20" w:type="dxa"/>
            </w:tcMar>
            <w:vAlign w:val="bottom"/>
          </w:tcPr>
          <w:p w14:paraId="7B66E66B" w14:textId="77777777" w:rsidR="0040300B" w:rsidRDefault="00BB2D44">
            <w:pPr>
              <w:textAlignment w:val="bottom"/>
            </w:pPr>
            <w:r>
              <w:rPr>
                <w:rFonts w:ascii="Times New Roman" w:eastAsia="宋体" w:hAnsi="Times New Roman"/>
                <w:color w:val="000000"/>
                <w:sz w:val="20"/>
                <w:szCs w:val="20"/>
              </w:rPr>
              <w:t>Cash dividends declared ($1.06 per common share)</w:t>
            </w:r>
          </w:p>
        </w:tc>
        <w:tc>
          <w:tcPr>
            <w:tcW w:w="0" w:type="auto"/>
            <w:gridSpan w:val="3"/>
            <w:shd w:val="clear" w:color="auto" w:fill="CCEEFF"/>
            <w:tcMar>
              <w:top w:w="0" w:type="dxa"/>
              <w:left w:w="20" w:type="dxa"/>
              <w:bottom w:w="0" w:type="dxa"/>
              <w:right w:w="20" w:type="dxa"/>
            </w:tcMar>
          </w:tcPr>
          <w:p w14:paraId="7B66E66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6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6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6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70" w14:textId="77777777" w:rsidR="0040300B" w:rsidRDefault="00BB2D44">
            <w:pPr>
              <w:jc w:val="right"/>
              <w:textAlignment w:val="bottom"/>
            </w:pPr>
            <w:r>
              <w:rPr>
                <w:rFonts w:ascii="Times New Roman" w:eastAsia="宋体" w:hAnsi="Times New Roman"/>
                <w:color w:val="000000"/>
                <w:sz w:val="19"/>
                <w:szCs w:val="19"/>
              </w:rPr>
              <w:t>(4,491)</w:t>
            </w:r>
          </w:p>
        </w:tc>
        <w:tc>
          <w:tcPr>
            <w:tcW w:w="0" w:type="auto"/>
            <w:shd w:val="clear" w:color="auto" w:fill="CCEEFF"/>
            <w:tcMar>
              <w:top w:w="40" w:type="dxa"/>
              <w:left w:w="0" w:type="dxa"/>
              <w:bottom w:w="40" w:type="dxa"/>
              <w:right w:w="20" w:type="dxa"/>
            </w:tcMar>
            <w:vAlign w:val="bottom"/>
          </w:tcPr>
          <w:p w14:paraId="7B66E67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7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7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7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675" w14:textId="77777777" w:rsidR="0040300B" w:rsidRDefault="00BB2D44">
            <w:pPr>
              <w:jc w:val="right"/>
              <w:textAlignment w:val="bottom"/>
            </w:pPr>
            <w:r>
              <w:rPr>
                <w:rFonts w:ascii="Times New Roman" w:eastAsia="宋体" w:hAnsi="Times New Roman"/>
                <w:color w:val="000000"/>
                <w:sz w:val="19"/>
                <w:szCs w:val="19"/>
              </w:rPr>
              <w:t>(4,491)</w:t>
            </w:r>
          </w:p>
        </w:tc>
        <w:tc>
          <w:tcPr>
            <w:tcW w:w="0" w:type="auto"/>
            <w:shd w:val="clear" w:color="auto" w:fill="CCEEFF"/>
            <w:tcMar>
              <w:top w:w="40" w:type="dxa"/>
              <w:left w:w="0" w:type="dxa"/>
              <w:bottom w:w="40" w:type="dxa"/>
              <w:right w:w="20" w:type="dxa"/>
            </w:tcMar>
            <w:vAlign w:val="bottom"/>
          </w:tcPr>
          <w:p w14:paraId="7B66E676" w14:textId="77777777" w:rsidR="0040300B" w:rsidRDefault="0040300B">
            <w:pPr>
              <w:jc w:val="right"/>
              <w:rPr>
                <w:rFonts w:ascii="宋体"/>
              </w:rPr>
            </w:pPr>
          </w:p>
        </w:tc>
      </w:tr>
      <w:tr w:rsidR="0040300B" w14:paraId="7B66E684" w14:textId="77777777">
        <w:trPr>
          <w:jc w:val="center"/>
        </w:trPr>
        <w:tc>
          <w:tcPr>
            <w:tcW w:w="0" w:type="auto"/>
            <w:gridSpan w:val="3"/>
            <w:shd w:val="clear" w:color="auto" w:fill="FFFFFF"/>
            <w:tcMar>
              <w:top w:w="40" w:type="dxa"/>
              <w:left w:w="20" w:type="dxa"/>
              <w:bottom w:w="40" w:type="dxa"/>
              <w:right w:w="20" w:type="dxa"/>
            </w:tcMar>
            <w:vAlign w:val="bottom"/>
          </w:tcPr>
          <w:p w14:paraId="7B66E678" w14:textId="77777777" w:rsidR="0040300B" w:rsidRDefault="00BB2D44">
            <w:pPr>
              <w:textAlignment w:val="bottom"/>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w:t>
            </w:r>
          </w:p>
        </w:tc>
        <w:tc>
          <w:tcPr>
            <w:tcW w:w="0" w:type="auto"/>
            <w:gridSpan w:val="3"/>
            <w:shd w:val="clear" w:color="auto" w:fill="FFFFFF"/>
            <w:tcMar>
              <w:top w:w="0" w:type="dxa"/>
              <w:left w:w="20" w:type="dxa"/>
              <w:bottom w:w="0" w:type="dxa"/>
              <w:right w:w="20" w:type="dxa"/>
            </w:tcMar>
          </w:tcPr>
          <w:p w14:paraId="7B66E67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7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7B" w14:textId="77777777" w:rsidR="0040300B" w:rsidRDefault="00BB2D44">
            <w:pPr>
              <w:jc w:val="right"/>
              <w:textAlignment w:val="bottom"/>
            </w:pPr>
            <w:r>
              <w:rPr>
                <w:rFonts w:ascii="Times New Roman" w:eastAsia="宋体" w:hAnsi="Times New Roman"/>
                <w:color w:val="000000"/>
                <w:sz w:val="19"/>
                <w:szCs w:val="19"/>
              </w:rPr>
              <w:t>1,170 </w:t>
            </w:r>
          </w:p>
        </w:tc>
        <w:tc>
          <w:tcPr>
            <w:tcW w:w="0" w:type="auto"/>
            <w:shd w:val="clear" w:color="auto" w:fill="FFFFFF"/>
            <w:tcMar>
              <w:top w:w="40" w:type="dxa"/>
              <w:left w:w="0" w:type="dxa"/>
              <w:bottom w:w="40" w:type="dxa"/>
              <w:right w:w="20" w:type="dxa"/>
            </w:tcMar>
            <w:vAlign w:val="bottom"/>
          </w:tcPr>
          <w:p w14:paraId="7B66E67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67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7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7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8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68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682" w14:textId="77777777" w:rsidR="0040300B" w:rsidRDefault="00BB2D44">
            <w:pPr>
              <w:jc w:val="right"/>
              <w:textAlignment w:val="bottom"/>
            </w:pPr>
            <w:r>
              <w:rPr>
                <w:rFonts w:ascii="Times New Roman" w:eastAsia="宋体" w:hAnsi="Times New Roman"/>
                <w:color w:val="000000"/>
                <w:sz w:val="19"/>
                <w:szCs w:val="19"/>
              </w:rPr>
              <w:t>1,170 </w:t>
            </w:r>
          </w:p>
        </w:tc>
        <w:tc>
          <w:tcPr>
            <w:tcW w:w="0" w:type="auto"/>
            <w:shd w:val="clear" w:color="auto" w:fill="FFFFFF"/>
            <w:tcMar>
              <w:top w:w="40" w:type="dxa"/>
              <w:left w:w="0" w:type="dxa"/>
              <w:bottom w:w="40" w:type="dxa"/>
              <w:right w:w="20" w:type="dxa"/>
            </w:tcMar>
            <w:vAlign w:val="bottom"/>
          </w:tcPr>
          <w:p w14:paraId="7B66E683" w14:textId="77777777" w:rsidR="0040300B" w:rsidRDefault="0040300B">
            <w:pPr>
              <w:jc w:val="right"/>
              <w:rPr>
                <w:rFonts w:ascii="宋体"/>
              </w:rPr>
            </w:pPr>
          </w:p>
        </w:tc>
      </w:tr>
      <w:tr w:rsidR="0040300B" w14:paraId="7B66E698" w14:textId="77777777">
        <w:trPr>
          <w:jc w:val="center"/>
        </w:trPr>
        <w:tc>
          <w:tcPr>
            <w:tcW w:w="0" w:type="auto"/>
            <w:gridSpan w:val="3"/>
            <w:shd w:val="clear" w:color="auto" w:fill="CCEEFF"/>
            <w:tcMar>
              <w:top w:w="40" w:type="dxa"/>
              <w:left w:w="20" w:type="dxa"/>
              <w:bottom w:w="40" w:type="dxa"/>
              <w:right w:w="20" w:type="dxa"/>
            </w:tcMar>
            <w:vAlign w:val="bottom"/>
          </w:tcPr>
          <w:p w14:paraId="7B66E685" w14:textId="77777777" w:rsidR="0040300B" w:rsidRDefault="00BB2D44">
            <w:pPr>
              <w:textAlignment w:val="bottom"/>
            </w:pPr>
            <w:r>
              <w:rPr>
                <w:rFonts w:ascii="Times New Roman" w:eastAsia="宋体" w:hAnsi="Times New Roman"/>
                <w:color w:val="000000"/>
                <w:sz w:val="20"/>
                <w:szCs w:val="20"/>
              </w:rPr>
              <w:t>Balance at April 25, 2020</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686" w14:textId="77777777" w:rsidR="0040300B" w:rsidRDefault="00BB2D44">
            <w:pPr>
              <w:jc w:val="right"/>
              <w:textAlignment w:val="bottom"/>
            </w:pPr>
            <w:r>
              <w:rPr>
                <w:rFonts w:ascii="Times New Roman" w:eastAsia="宋体" w:hAnsi="Times New Roman"/>
                <w:color w:val="000000"/>
                <w:sz w:val="19"/>
                <w:szCs w:val="19"/>
              </w:rPr>
              <w:t>4,220 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68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88"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689"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68A" w14:textId="77777777" w:rsidR="0040300B" w:rsidRDefault="00BB2D44">
            <w:pPr>
              <w:jc w:val="right"/>
              <w:textAlignment w:val="bottom"/>
            </w:pPr>
            <w:r>
              <w:rPr>
                <w:rFonts w:ascii="Times New Roman" w:eastAsia="宋体" w:hAnsi="Times New Roman"/>
                <w:color w:val="000000"/>
                <w:sz w:val="19"/>
                <w:szCs w:val="19"/>
              </w:rPr>
              <w:t>40,691 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68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8C"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68D"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68E" w14:textId="77777777" w:rsidR="0040300B" w:rsidRDefault="00BB2D44">
            <w:pPr>
              <w:jc w:val="right"/>
              <w:textAlignment w:val="bottom"/>
            </w:pPr>
            <w:r>
              <w:rPr>
                <w:rFonts w:ascii="Times New Roman" w:eastAsia="宋体" w:hAnsi="Times New Roman"/>
                <w:color w:val="000000"/>
                <w:sz w:val="19"/>
                <w:szCs w:val="19"/>
              </w:rPr>
              <w:t>(3,874)</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68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90"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691"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692" w14:textId="77777777" w:rsidR="0040300B" w:rsidRDefault="00BB2D44">
            <w:pPr>
              <w:jc w:val="right"/>
              <w:textAlignment w:val="bottom"/>
            </w:pPr>
            <w:r>
              <w:rPr>
                <w:rFonts w:ascii="Times New Roman" w:eastAsia="宋体" w:hAnsi="Times New Roman"/>
                <w:color w:val="000000"/>
                <w:sz w:val="19"/>
                <w:szCs w:val="19"/>
              </w:rPr>
              <w:t>(1,109)</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69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694" w14:textId="77777777" w:rsidR="0040300B" w:rsidRDefault="0040300B">
            <w:pPr>
              <w:rPr>
                <w:rFonts w:ascii="宋体"/>
              </w:rPr>
            </w:pPr>
          </w:p>
        </w:tc>
        <w:tc>
          <w:tcPr>
            <w:tcW w:w="0" w:type="auto"/>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7B66E695"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CCEEFF"/>
            <w:tcMar>
              <w:top w:w="40" w:type="dxa"/>
              <w:left w:w="0" w:type="dxa"/>
              <w:bottom w:w="40" w:type="dxa"/>
              <w:right w:w="0" w:type="dxa"/>
            </w:tcMar>
            <w:vAlign w:val="bottom"/>
          </w:tcPr>
          <w:p w14:paraId="7B66E696" w14:textId="77777777" w:rsidR="0040300B" w:rsidRDefault="00BB2D44">
            <w:pPr>
              <w:jc w:val="right"/>
              <w:textAlignment w:val="bottom"/>
            </w:pPr>
            <w:r>
              <w:rPr>
                <w:rFonts w:ascii="Times New Roman" w:eastAsia="宋体" w:hAnsi="Times New Roman"/>
                <w:color w:val="000000"/>
                <w:sz w:val="19"/>
                <w:szCs w:val="19"/>
              </w:rPr>
              <w:t>35,708 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7B66E697" w14:textId="77777777" w:rsidR="0040300B" w:rsidRDefault="0040300B">
            <w:pPr>
              <w:jc w:val="right"/>
              <w:rPr>
                <w:rFonts w:ascii="宋体"/>
              </w:rPr>
            </w:pPr>
          </w:p>
        </w:tc>
      </w:tr>
    </w:tbl>
    <w:p w14:paraId="7B66E699" w14:textId="77777777" w:rsidR="0040300B" w:rsidRDefault="0040300B">
      <w:pPr>
        <w:jc w:val="center"/>
      </w:pPr>
    </w:p>
    <w:p w14:paraId="7B66E69A" w14:textId="77777777" w:rsidR="0040300B" w:rsidRDefault="0040300B"/>
    <w:p w14:paraId="7B66E69B" w14:textId="77777777" w:rsidR="0040300B" w:rsidRDefault="0040300B"/>
    <w:p w14:paraId="7B66E69C" w14:textId="77777777" w:rsidR="0040300B" w:rsidRDefault="00BB2D44">
      <w:pPr>
        <w:spacing w:before="180"/>
        <w:jc w:val="center"/>
      </w:pPr>
      <w:r>
        <w:rPr>
          <w:rFonts w:ascii="Times New Roman" w:eastAsia="宋体" w:hAnsi="Times New Roman"/>
          <w:color w:val="000000"/>
          <w:sz w:val="20"/>
          <w:szCs w:val="20"/>
        </w:rPr>
        <w:t xml:space="preserve">See Notes to Consolidated Financial </w:t>
      </w:r>
      <w:r>
        <w:rPr>
          <w:rFonts w:ascii="Times New Roman" w:eastAsia="宋体" w:hAnsi="Times New Roman"/>
          <w:color w:val="000000"/>
          <w:sz w:val="20"/>
          <w:szCs w:val="20"/>
        </w:rPr>
        <w:t>Statements.</w:t>
      </w:r>
    </w:p>
    <w:p w14:paraId="7B66E69D" w14:textId="77777777" w:rsidR="0040300B" w:rsidRDefault="00BB2D44">
      <w:pPr>
        <w:jc w:val="center"/>
      </w:pPr>
      <w:r>
        <w:rPr>
          <w:rFonts w:ascii="Times New Roman" w:eastAsia="宋体" w:hAnsi="Times New Roman"/>
          <w:color w:val="000000"/>
          <w:sz w:val="20"/>
          <w:szCs w:val="20"/>
        </w:rPr>
        <w:t>8</w:t>
      </w:r>
    </w:p>
    <w:p w14:paraId="7B66E69E" w14:textId="77777777" w:rsidR="0040300B" w:rsidRDefault="00BB2D44">
      <w:r>
        <w:pict w14:anchorId="7B671C18">
          <v:rect id="_x0000_i1032" style="width:415.3pt;height:1.5pt" o:hralign="center" o:hrstd="t" o:hr="t" fillcolor="#a0a0a0" stroked="f"/>
        </w:pict>
      </w:r>
    </w:p>
    <w:p w14:paraId="7B66E69F" w14:textId="77777777" w:rsidR="0040300B" w:rsidRDefault="00BB2D44">
      <w:hyperlink r:id="rId54" w:anchor="i52d5b40dbad7426a9806a2fd5167029f_7" w:history="1">
        <w:r>
          <w:rPr>
            <w:rStyle w:val="a5"/>
            <w:rFonts w:ascii="Times New Roman" w:eastAsia="宋体" w:hAnsi="Times New Roman"/>
            <w:sz w:val="18"/>
            <w:szCs w:val="18"/>
          </w:rPr>
          <w:t>Table of Contents</w:t>
        </w:r>
      </w:hyperlink>
    </w:p>
    <w:p w14:paraId="7B66E6A0" w14:textId="77777777" w:rsidR="0040300B" w:rsidRDefault="00BB2D44">
      <w:pPr>
        <w:jc w:val="center"/>
      </w:pPr>
      <w:r>
        <w:rPr>
          <w:rFonts w:ascii="Times New Roman" w:eastAsia="宋体" w:hAnsi="Times New Roman"/>
          <w:b/>
          <w:bCs/>
          <w:color w:val="000000"/>
          <w:sz w:val="18"/>
          <w:szCs w:val="18"/>
        </w:rPr>
        <w:t>CISCO SYSTEMS, INC.</w:t>
      </w:r>
    </w:p>
    <w:p w14:paraId="7B66E6A1" w14:textId="77777777" w:rsidR="0040300B" w:rsidRDefault="00BB2D44">
      <w:pPr>
        <w:jc w:val="center"/>
      </w:pPr>
      <w:r>
        <w:rPr>
          <w:rFonts w:ascii="Times New Roman" w:eastAsia="宋体" w:hAnsi="Times New Roman"/>
          <w:b/>
          <w:bCs/>
          <w:color w:val="000000"/>
          <w:sz w:val="18"/>
          <w:szCs w:val="18"/>
        </w:rPr>
        <w:t>NOTES TO CONSOLIDATED FINANCIAL STATEMENTS</w:t>
      </w:r>
    </w:p>
    <w:p w14:paraId="7B66E6A2" w14:textId="77777777" w:rsidR="0040300B" w:rsidRDefault="00BB2D44">
      <w:pPr>
        <w:jc w:val="center"/>
      </w:pPr>
      <w:r>
        <w:rPr>
          <w:rFonts w:ascii="Times New Roman" w:eastAsia="宋体" w:hAnsi="Times New Roman"/>
          <w:b/>
          <w:bCs/>
          <w:color w:val="000000"/>
          <w:sz w:val="18"/>
          <w:szCs w:val="18"/>
        </w:rPr>
        <w:t>(Unaudited)</w:t>
      </w:r>
    </w:p>
    <w:p w14:paraId="7B66E6A3" w14:textId="77777777" w:rsidR="0040300B" w:rsidRDefault="0040300B">
      <w:pPr>
        <w:jc w:val="center"/>
      </w:pPr>
    </w:p>
    <w:p w14:paraId="7B66E6A4" w14:textId="77777777" w:rsidR="0040300B" w:rsidRDefault="00BB2D44">
      <w:pPr>
        <w:ind w:hanging="360"/>
        <w:jc w:val="both"/>
      </w:pPr>
      <w:r>
        <w:rPr>
          <w:rFonts w:ascii="Times New Roman" w:eastAsia="宋体" w:hAnsi="Times New Roman"/>
          <w:b/>
          <w:bCs/>
          <w:color w:val="000000"/>
          <w:sz w:val="20"/>
          <w:szCs w:val="20"/>
        </w:rPr>
        <w:t>1.Organization and Basis of Presentation</w:t>
      </w:r>
    </w:p>
    <w:p w14:paraId="7B66E6A5" w14:textId="77777777" w:rsidR="0040300B" w:rsidRDefault="00BB2D44">
      <w:pPr>
        <w:spacing w:before="120"/>
        <w:jc w:val="both"/>
      </w:pPr>
      <w:r>
        <w:rPr>
          <w:rFonts w:ascii="Times New Roman" w:eastAsia="宋体" w:hAnsi="Times New Roman"/>
          <w:color w:val="000000"/>
          <w:sz w:val="20"/>
          <w:szCs w:val="20"/>
        </w:rPr>
        <w:t>The fiscal year for Cisco Systems, Inc. (the “Company,” “Cisco,” “we,” “us,” or “our”) is the 52 or 53 weeks ending on the last Saturday in July. Fiscal 2021 is a 53-week fiscal year and fiscal 2020 was</w:t>
      </w:r>
      <w:r>
        <w:rPr>
          <w:rFonts w:ascii="Times New Roman" w:eastAsia="宋体" w:hAnsi="Times New Roman"/>
          <w:color w:val="000000"/>
          <w:sz w:val="20"/>
          <w:szCs w:val="20"/>
        </w:rPr>
        <w:t xml:space="preserve"> a 52-week fiscal year. The Consolidated Financial Statements include our accounts and those of our subsidiaries. All intercompany accounts and transactions have been eliminated. We conduct business globally and are primarily managed on a geographic basis </w:t>
      </w:r>
      <w:r>
        <w:rPr>
          <w:rFonts w:ascii="Times New Roman" w:eastAsia="宋体" w:hAnsi="Times New Roman"/>
          <w:color w:val="000000"/>
          <w:sz w:val="20"/>
          <w:szCs w:val="20"/>
        </w:rPr>
        <w:t>in the following three geographic segments: the Americas; Europe, Middle East, and Africa (EMEA); and Asia Pacific, Japan, and China (APJC).</w:t>
      </w:r>
    </w:p>
    <w:p w14:paraId="7B66E6A6" w14:textId="77777777" w:rsidR="0040300B" w:rsidRDefault="00BB2D44">
      <w:pPr>
        <w:spacing w:before="120"/>
        <w:jc w:val="both"/>
      </w:pPr>
      <w:r>
        <w:rPr>
          <w:rFonts w:ascii="Times New Roman" w:eastAsia="宋体" w:hAnsi="Times New Roman"/>
          <w:color w:val="000000"/>
          <w:sz w:val="20"/>
          <w:szCs w:val="20"/>
        </w:rPr>
        <w:t>At our annual meeting of shareholders held on December 10, 2020, shareholders voted to approve changing our state o</w:t>
      </w:r>
      <w:r>
        <w:rPr>
          <w:rFonts w:ascii="Times New Roman" w:eastAsia="宋体" w:hAnsi="Times New Roman"/>
          <w:color w:val="000000"/>
          <w:sz w:val="20"/>
          <w:szCs w:val="20"/>
        </w:rPr>
        <w:t xml:space="preserve">f incorporation from California to Delaware. The reincorporation became effective January 25, 2021. </w:t>
      </w:r>
    </w:p>
    <w:p w14:paraId="7B66E6A7" w14:textId="77777777" w:rsidR="0040300B" w:rsidRDefault="00BB2D44">
      <w:pPr>
        <w:spacing w:before="120"/>
        <w:jc w:val="both"/>
      </w:pPr>
      <w:r>
        <w:rPr>
          <w:rFonts w:ascii="Times New Roman" w:eastAsia="宋体" w:hAnsi="Times New Roman"/>
          <w:color w:val="000000"/>
          <w:sz w:val="20"/>
          <w:szCs w:val="20"/>
        </w:rPr>
        <w:t xml:space="preserve">We have prepared the accompanying financial data as of May 1, 2021 and for the third quarter and first nine months of fiscal 2021 and 2020, without audit, </w:t>
      </w:r>
      <w:r>
        <w:rPr>
          <w:rFonts w:ascii="Times New Roman" w:eastAsia="宋体" w:hAnsi="Times New Roman"/>
          <w:color w:val="000000"/>
          <w:sz w:val="20"/>
          <w:szCs w:val="20"/>
        </w:rPr>
        <w:t>pursuant to the rules and regulations of the U.S. Securities and Exchange Commission (“SEC”). Certain information and footnote disclosures normally included in financial statements prepared in accordance with generally accepted accounting principles in the</w:t>
      </w:r>
      <w:r>
        <w:rPr>
          <w:rFonts w:ascii="Times New Roman" w:eastAsia="宋体" w:hAnsi="Times New Roman"/>
          <w:color w:val="000000"/>
          <w:sz w:val="20"/>
          <w:szCs w:val="20"/>
        </w:rPr>
        <w:t xml:space="preserve"> United States (“GAAP”) have been condensed or omitted pursuant to such rules and regulations. The July 25, 2020 Consolidated Balance Sheet was derived from audited financial statements, but does not include all disclosures required by accounting principle</w:t>
      </w:r>
      <w:r>
        <w:rPr>
          <w:rFonts w:ascii="Times New Roman" w:eastAsia="宋体" w:hAnsi="Times New Roman"/>
          <w:color w:val="000000"/>
          <w:sz w:val="20"/>
          <w:szCs w:val="20"/>
        </w:rPr>
        <w:t>s generally accepted in the United States. However, we believe that the disclosures are adequate to make the information presented not misleading. These Consolidated Financial Statements should be read in conjunction with the Consolidated Financial Stateme</w:t>
      </w:r>
      <w:r>
        <w:rPr>
          <w:rFonts w:ascii="Times New Roman" w:eastAsia="宋体" w:hAnsi="Times New Roman"/>
          <w:color w:val="000000"/>
          <w:sz w:val="20"/>
          <w:szCs w:val="20"/>
        </w:rPr>
        <w:t>nts and the notes thereto included in our Annual Report on Form 10-K for the fiscal year ended July 25, 2020.</w:t>
      </w:r>
    </w:p>
    <w:p w14:paraId="7B66E6A8" w14:textId="77777777" w:rsidR="0040300B" w:rsidRDefault="00BB2D44">
      <w:pPr>
        <w:spacing w:before="120"/>
        <w:jc w:val="both"/>
      </w:pPr>
      <w:r>
        <w:rPr>
          <w:rFonts w:ascii="Times New Roman" w:eastAsia="宋体" w:hAnsi="Times New Roman"/>
          <w:color w:val="000000"/>
          <w:sz w:val="20"/>
          <w:szCs w:val="20"/>
        </w:rPr>
        <w:t xml:space="preserve">The preparation of financial statements and related disclosures in conformity with GAAP requires us to make judgments, assumptions, and estimates </w:t>
      </w:r>
      <w:r>
        <w:rPr>
          <w:rFonts w:ascii="Times New Roman" w:eastAsia="宋体" w:hAnsi="Times New Roman"/>
          <w:color w:val="000000"/>
          <w:sz w:val="20"/>
          <w:szCs w:val="20"/>
        </w:rPr>
        <w:t>that affect the amounts reported in the Consolidated Financial Statements and accompanying notes. The inputs into certain of our judgments, assumptions, and estimates considered the economic implications of the COVID-19 pandemic on our critical and signifi</w:t>
      </w:r>
      <w:r>
        <w:rPr>
          <w:rFonts w:ascii="Times New Roman" w:eastAsia="宋体" w:hAnsi="Times New Roman"/>
          <w:color w:val="000000"/>
          <w:sz w:val="20"/>
          <w:szCs w:val="20"/>
        </w:rPr>
        <w:t>cant accounting estimates. The actual results that we experience may differ materially from our estimates. As the COVID-19 pandemic continues to develop, many of our estimates could require increased judgment and carry a higher degree of variability and vo</w:t>
      </w:r>
      <w:r>
        <w:rPr>
          <w:rFonts w:ascii="Times New Roman" w:eastAsia="宋体" w:hAnsi="Times New Roman"/>
          <w:color w:val="000000"/>
          <w:sz w:val="20"/>
          <w:szCs w:val="20"/>
        </w:rPr>
        <w:t xml:space="preserve">latility. As events continue to evolve our estimates may change materially in future periods. </w:t>
      </w:r>
    </w:p>
    <w:p w14:paraId="7B66E6A9" w14:textId="77777777" w:rsidR="0040300B" w:rsidRDefault="00BB2D44">
      <w:pPr>
        <w:spacing w:before="120"/>
        <w:jc w:val="both"/>
      </w:pPr>
      <w:r>
        <w:rPr>
          <w:rFonts w:ascii="Times New Roman" w:eastAsia="宋体" w:hAnsi="Times New Roman"/>
          <w:color w:val="000000"/>
          <w:sz w:val="20"/>
          <w:szCs w:val="20"/>
        </w:rPr>
        <w:t>In the opinion of management, all normal recurring adjustments necessary to present fairly the consolidated balance sheet as of May 1, 2021, the results of opera</w:t>
      </w:r>
      <w:r>
        <w:rPr>
          <w:rFonts w:ascii="Times New Roman" w:eastAsia="宋体" w:hAnsi="Times New Roman"/>
          <w:color w:val="000000"/>
          <w:sz w:val="20"/>
          <w:szCs w:val="20"/>
        </w:rPr>
        <w:t>tions, the statements of comprehensive income (loss) and the statements of equity for the third quarter and first nine months of fiscal 2021 and 2020, and the statements of cash flows for the first nine months of fiscal 2021 and 2020, as applicable, have b</w:t>
      </w:r>
      <w:r>
        <w:rPr>
          <w:rFonts w:ascii="Times New Roman" w:eastAsia="宋体" w:hAnsi="Times New Roman"/>
          <w:color w:val="000000"/>
          <w:sz w:val="20"/>
          <w:szCs w:val="20"/>
        </w:rPr>
        <w:t>een made. The results of operations for the third quarter and first nine months of fiscal 2021 are not necessarily indicative of the operating results for the full fiscal year or any future periods.</w:t>
      </w:r>
    </w:p>
    <w:p w14:paraId="7B66E6AA" w14:textId="77777777" w:rsidR="0040300B" w:rsidRDefault="00BB2D44">
      <w:pPr>
        <w:spacing w:before="120"/>
        <w:jc w:val="both"/>
      </w:pPr>
      <w:r>
        <w:rPr>
          <w:rFonts w:ascii="Times New Roman" w:eastAsia="宋体" w:hAnsi="Times New Roman"/>
          <w:color w:val="000000"/>
          <w:sz w:val="20"/>
          <w:szCs w:val="20"/>
        </w:rPr>
        <w:t>Our consolidated financial statements include our account</w:t>
      </w:r>
      <w:r>
        <w:rPr>
          <w:rFonts w:ascii="Times New Roman" w:eastAsia="宋体" w:hAnsi="Times New Roman"/>
          <w:color w:val="000000"/>
          <w:sz w:val="20"/>
          <w:szCs w:val="20"/>
        </w:rPr>
        <w:t>s and entities consolidated under the variable interest and voting models. The noncontrolling interests attributed to these investments, if any, are presented as a separate component from our equity in the equity section of the Consolidated Balance Sheets.</w:t>
      </w:r>
      <w:r>
        <w:rPr>
          <w:rFonts w:ascii="Times New Roman" w:eastAsia="宋体" w:hAnsi="Times New Roman"/>
          <w:color w:val="000000"/>
          <w:sz w:val="20"/>
          <w:szCs w:val="20"/>
        </w:rPr>
        <w:t xml:space="preserve"> The share of earnings attributable to the noncontrolling interests are not presented separately in the Consolidated Statements of Operations as these amounts are not material for any of the fiscal periods presented.</w:t>
      </w:r>
    </w:p>
    <w:p w14:paraId="7B66E6AB" w14:textId="77777777" w:rsidR="0040300B" w:rsidRDefault="00BB2D44">
      <w:pPr>
        <w:spacing w:before="120"/>
        <w:jc w:val="both"/>
      </w:pPr>
      <w:r>
        <w:rPr>
          <w:rFonts w:ascii="Times New Roman" w:eastAsia="宋体" w:hAnsi="Times New Roman"/>
          <w:color w:val="000000"/>
          <w:sz w:val="20"/>
          <w:szCs w:val="20"/>
        </w:rPr>
        <w:t>Certain reclassifications have been mad</w:t>
      </w:r>
      <w:r>
        <w:rPr>
          <w:rFonts w:ascii="Times New Roman" w:eastAsia="宋体" w:hAnsi="Times New Roman"/>
          <w:color w:val="000000"/>
          <w:sz w:val="20"/>
          <w:szCs w:val="20"/>
        </w:rPr>
        <w:t>e to the amounts in prior periods in order to conform to the current period’s presentation. We have evaluated subsequent events through the date that the financial statements were issued.</w:t>
      </w:r>
    </w:p>
    <w:p w14:paraId="7B66E6AC" w14:textId="77777777" w:rsidR="0040300B" w:rsidRDefault="0040300B">
      <w:pPr>
        <w:spacing w:before="120"/>
        <w:jc w:val="both"/>
      </w:pPr>
    </w:p>
    <w:p w14:paraId="7B66E6AD" w14:textId="77777777" w:rsidR="0040300B" w:rsidRDefault="00BB2D44">
      <w:pPr>
        <w:ind w:hanging="360"/>
        <w:jc w:val="both"/>
      </w:pPr>
      <w:r>
        <w:rPr>
          <w:rFonts w:ascii="Times New Roman" w:eastAsia="宋体" w:hAnsi="Times New Roman"/>
          <w:b/>
          <w:bCs/>
          <w:color w:val="000000"/>
          <w:sz w:val="20"/>
          <w:szCs w:val="20"/>
        </w:rPr>
        <w:t>2.Recent Accounting Pronouncements</w:t>
      </w:r>
    </w:p>
    <w:p w14:paraId="7B66E6AE" w14:textId="77777777" w:rsidR="0040300B" w:rsidRDefault="00BB2D44">
      <w:pPr>
        <w:spacing w:before="100" w:after="100"/>
        <w:ind w:hanging="360"/>
      </w:pPr>
      <w:r>
        <w:rPr>
          <w:rFonts w:ascii="Times New Roman" w:eastAsia="宋体" w:hAnsi="Times New Roman"/>
          <w:b/>
          <w:bCs/>
          <w:color w:val="000000"/>
          <w:sz w:val="20"/>
          <w:szCs w:val="20"/>
        </w:rPr>
        <w:t>(a)New Accounting Updates Recent</w:t>
      </w:r>
      <w:r>
        <w:rPr>
          <w:rFonts w:ascii="Times New Roman" w:eastAsia="宋体" w:hAnsi="Times New Roman"/>
          <w:b/>
          <w:bCs/>
          <w:color w:val="000000"/>
          <w:sz w:val="20"/>
          <w:szCs w:val="20"/>
        </w:rPr>
        <w:t>ly Adopted</w:t>
      </w:r>
    </w:p>
    <w:p w14:paraId="7B66E6AF" w14:textId="77777777" w:rsidR="0040300B" w:rsidRDefault="00BB2D44">
      <w:pPr>
        <w:spacing w:before="120"/>
        <w:jc w:val="both"/>
      </w:pPr>
      <w:r>
        <w:rPr>
          <w:rFonts w:ascii="Times New Roman" w:eastAsia="宋体" w:hAnsi="Times New Roman"/>
          <w:i/>
          <w:iCs/>
          <w:color w:val="000000"/>
          <w:sz w:val="20"/>
          <w:szCs w:val="20"/>
          <w:u w:val="single"/>
        </w:rPr>
        <w:t>Credit Losses of Financial Instruments</w:t>
      </w:r>
      <w:r>
        <w:rPr>
          <w:rFonts w:ascii="Times New Roman" w:eastAsia="宋体" w:hAnsi="Times New Roman"/>
          <w:color w:val="000000"/>
          <w:sz w:val="20"/>
          <w:szCs w:val="20"/>
        </w:rPr>
        <w:t xml:space="preserve"> In June 2016, the FASB issued an accounting standard update that requires measurement and recognition of expected credit losses for financial assets held based on historical experience, current conditions, </w:t>
      </w:r>
      <w:r>
        <w:rPr>
          <w:rFonts w:ascii="Times New Roman" w:eastAsia="宋体" w:hAnsi="Times New Roman"/>
          <w:color w:val="000000"/>
          <w:sz w:val="20"/>
          <w:szCs w:val="20"/>
        </w:rPr>
        <w:t>and reasonable and supportable forecasts that affect the collectibility of the reported amount. We adopted this standard at the beginning of our first quarter of fiscal 2021, applied it at the beginning of the period of adoption and did not restate prior p</w:t>
      </w:r>
      <w:r>
        <w:rPr>
          <w:rFonts w:ascii="Times New Roman" w:eastAsia="宋体" w:hAnsi="Times New Roman"/>
          <w:color w:val="000000"/>
          <w:sz w:val="20"/>
          <w:szCs w:val="20"/>
        </w:rPr>
        <w:t>eriods. The standard primarily impacts our financial assets measured at amortized cost and available-for-sale debt securities. The standard did not have a material impact on our consolidated financial statements upon adoption.</w:t>
      </w:r>
    </w:p>
    <w:p w14:paraId="7B66E6B0" w14:textId="77777777" w:rsidR="0040300B" w:rsidRDefault="0040300B">
      <w:pPr>
        <w:spacing w:before="120"/>
        <w:jc w:val="both"/>
      </w:pPr>
    </w:p>
    <w:p w14:paraId="7B66E6B1" w14:textId="77777777" w:rsidR="0040300B" w:rsidRDefault="00BB2D44">
      <w:pPr>
        <w:jc w:val="center"/>
      </w:pPr>
      <w:r>
        <w:rPr>
          <w:rFonts w:ascii="Times New Roman" w:eastAsia="宋体" w:hAnsi="Times New Roman"/>
          <w:color w:val="000000"/>
          <w:sz w:val="20"/>
          <w:szCs w:val="20"/>
        </w:rPr>
        <w:t>9</w:t>
      </w:r>
    </w:p>
    <w:p w14:paraId="7B66E6B2" w14:textId="77777777" w:rsidR="0040300B" w:rsidRDefault="00BB2D44">
      <w:r>
        <w:pict w14:anchorId="7B671C19">
          <v:rect id="_x0000_i1033" style="width:415.3pt;height:1.5pt" o:hralign="center" o:hrstd="t" o:hr="t" fillcolor="#a0a0a0" stroked="f"/>
        </w:pict>
      </w:r>
    </w:p>
    <w:p w14:paraId="7B66E6B3" w14:textId="77777777" w:rsidR="0040300B" w:rsidRDefault="00BB2D44">
      <w:hyperlink r:id="rId55" w:anchor="i52d5b40dbad7426a9806a2fd5167029f_7" w:history="1">
        <w:r>
          <w:rPr>
            <w:rStyle w:val="a5"/>
            <w:rFonts w:ascii="Times New Roman" w:eastAsia="宋体" w:hAnsi="Times New Roman"/>
            <w:sz w:val="18"/>
            <w:szCs w:val="18"/>
          </w:rPr>
          <w:t>Table of Contents</w:t>
        </w:r>
      </w:hyperlink>
    </w:p>
    <w:p w14:paraId="7B66E6B4" w14:textId="77777777" w:rsidR="0040300B" w:rsidRDefault="00BB2D44">
      <w:pPr>
        <w:jc w:val="center"/>
      </w:pPr>
      <w:r>
        <w:rPr>
          <w:rFonts w:ascii="Times New Roman" w:eastAsia="宋体" w:hAnsi="Times New Roman"/>
          <w:b/>
          <w:bCs/>
          <w:color w:val="000000"/>
          <w:sz w:val="18"/>
          <w:szCs w:val="18"/>
        </w:rPr>
        <w:t>CISCO SYSTEMS, INC.</w:t>
      </w:r>
    </w:p>
    <w:p w14:paraId="7B66E6B5"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6B6" w14:textId="77777777" w:rsidR="0040300B" w:rsidRDefault="00BB2D44">
      <w:pPr>
        <w:jc w:val="center"/>
      </w:pPr>
      <w:r>
        <w:rPr>
          <w:rFonts w:ascii="Times New Roman" w:eastAsia="宋体" w:hAnsi="Times New Roman"/>
          <w:b/>
          <w:bCs/>
          <w:color w:val="000000"/>
          <w:sz w:val="18"/>
          <w:szCs w:val="18"/>
        </w:rPr>
        <w:t xml:space="preserve">(Unaudited) </w:t>
      </w:r>
    </w:p>
    <w:p w14:paraId="7B66E6B7" w14:textId="77777777" w:rsidR="0040300B" w:rsidRDefault="0040300B">
      <w:pPr>
        <w:jc w:val="center"/>
      </w:pPr>
    </w:p>
    <w:p w14:paraId="7B66E6B8" w14:textId="77777777" w:rsidR="0040300B" w:rsidRDefault="00BB2D44">
      <w:pPr>
        <w:spacing w:before="120"/>
        <w:jc w:val="both"/>
      </w:pPr>
      <w:r>
        <w:rPr>
          <w:rFonts w:ascii="Times New Roman" w:eastAsia="宋体" w:hAnsi="Times New Roman"/>
          <w:color w:val="000000"/>
          <w:sz w:val="20"/>
          <w:szCs w:val="20"/>
        </w:rPr>
        <w:t>Our significant accounting policies have been updated as a result of adopting this standard are as follows:</w:t>
      </w:r>
    </w:p>
    <w:p w14:paraId="7B66E6B9" w14:textId="77777777" w:rsidR="0040300B" w:rsidRDefault="00BB2D44">
      <w:pPr>
        <w:spacing w:before="120"/>
        <w:jc w:val="both"/>
      </w:pPr>
      <w:r>
        <w:rPr>
          <w:rFonts w:ascii="Times New Roman" w:eastAsia="宋体" w:hAnsi="Times New Roman"/>
          <w:color w:val="000000"/>
          <w:sz w:val="20"/>
          <w:szCs w:val="20"/>
          <w:u w:val="single"/>
        </w:rPr>
        <w:t>Allowance for Accounts Receivable, Contract Assets and Financing Receivables</w:t>
      </w:r>
      <w:r>
        <w:rPr>
          <w:rFonts w:ascii="Times New Roman" w:eastAsia="宋体" w:hAnsi="Times New Roman"/>
          <w:color w:val="000000"/>
        </w:rPr>
        <w:t xml:space="preserve"> </w:t>
      </w:r>
      <w:r>
        <w:rPr>
          <w:rFonts w:ascii="Times New Roman" w:eastAsia="宋体" w:hAnsi="Times New Roman"/>
          <w:color w:val="000000"/>
          <w:sz w:val="20"/>
          <w:szCs w:val="20"/>
        </w:rPr>
        <w:t>We estimate our allowances for credit losses using releva</w:t>
      </w:r>
      <w:r>
        <w:rPr>
          <w:rFonts w:ascii="Times New Roman" w:eastAsia="宋体" w:hAnsi="Times New Roman"/>
          <w:color w:val="000000"/>
          <w:sz w:val="20"/>
          <w:szCs w:val="20"/>
        </w:rPr>
        <w:t>nt available information from internal and external sources, related to past events, current conditions and reasonable and supportable forecasts. Historical credit loss experience provides the basis for the estimation of expected credit losses. When assess</w:t>
      </w:r>
      <w:r>
        <w:rPr>
          <w:rFonts w:ascii="Times New Roman" w:eastAsia="宋体" w:hAnsi="Times New Roman"/>
          <w:color w:val="000000"/>
          <w:sz w:val="20"/>
          <w:szCs w:val="20"/>
        </w:rPr>
        <w:t>ing for credit losses, we determine collectibility by pooling our assets with similar characteristics.</w:t>
      </w:r>
    </w:p>
    <w:p w14:paraId="7B66E6BA" w14:textId="77777777" w:rsidR="0040300B" w:rsidRDefault="00BB2D44">
      <w:pPr>
        <w:spacing w:before="120"/>
        <w:jc w:val="both"/>
      </w:pPr>
      <w:r>
        <w:rPr>
          <w:rFonts w:ascii="Times New Roman" w:eastAsia="宋体" w:hAnsi="Times New Roman"/>
          <w:color w:val="000000"/>
          <w:sz w:val="20"/>
          <w:szCs w:val="20"/>
        </w:rPr>
        <w:t>The allowances for credit losses are each measured on a collective basis when similar risk characteristics exist. Our internal credit risk ratings are ca</w:t>
      </w:r>
      <w:r>
        <w:rPr>
          <w:rFonts w:ascii="Times New Roman" w:eastAsia="宋体" w:hAnsi="Times New Roman"/>
          <w:color w:val="000000"/>
          <w:sz w:val="20"/>
          <w:szCs w:val="20"/>
        </w:rPr>
        <w:t>tegorized as 1 through 10, with the lowest credit risk rating representing the highest quality. Our assets within each internal credit risk rating share similar risk characteristics and therefore are assessed as one portfolio segment for credit loss. Asset</w:t>
      </w:r>
      <w:r>
        <w:rPr>
          <w:rFonts w:ascii="Times New Roman" w:eastAsia="宋体" w:hAnsi="Times New Roman"/>
          <w:color w:val="000000"/>
          <w:sz w:val="20"/>
          <w:szCs w:val="20"/>
        </w:rPr>
        <w:t>s that do not share risk characteristics are evaluated on an individual basis. The allowances for credit losses are each measured by multiplying the exposure probability of default, the probability the asset will default within a given time frame, by the l</w:t>
      </w:r>
      <w:r>
        <w:rPr>
          <w:rFonts w:ascii="Times New Roman" w:eastAsia="宋体" w:hAnsi="Times New Roman"/>
          <w:color w:val="000000"/>
          <w:sz w:val="20"/>
          <w:szCs w:val="20"/>
        </w:rPr>
        <w:t>oss given default rate, the percentage of the asset not expected to be collected due to default, based on the pool of assets.</w:t>
      </w:r>
    </w:p>
    <w:p w14:paraId="7B66E6BB" w14:textId="77777777" w:rsidR="0040300B" w:rsidRDefault="00BB2D44">
      <w:pPr>
        <w:spacing w:before="120"/>
        <w:jc w:val="both"/>
      </w:pPr>
      <w:r>
        <w:rPr>
          <w:rFonts w:ascii="Times New Roman" w:eastAsia="宋体" w:hAnsi="Times New Roman"/>
          <w:color w:val="000000"/>
          <w:sz w:val="20"/>
          <w:szCs w:val="20"/>
        </w:rPr>
        <w:t>Probability of default rates are published quarterly by third-party credit agencies. Adjustments to our internal credit risk ratin</w:t>
      </w:r>
      <w:r>
        <w:rPr>
          <w:rFonts w:ascii="Times New Roman" w:eastAsia="宋体" w:hAnsi="Times New Roman"/>
          <w:color w:val="000000"/>
          <w:sz w:val="20"/>
          <w:szCs w:val="20"/>
        </w:rPr>
        <w:t>gs may take into account including, but not limited to, various customer-specific factors, the potential sovereign risk of the geographic locations in which the customer is operating and macroeconomic conditions. These factors are updated regularly or when</w:t>
      </w:r>
      <w:r>
        <w:rPr>
          <w:rFonts w:ascii="Times New Roman" w:eastAsia="宋体" w:hAnsi="Times New Roman"/>
          <w:color w:val="000000"/>
          <w:sz w:val="20"/>
          <w:szCs w:val="20"/>
        </w:rPr>
        <w:t xml:space="preserve"> facts and circumstances indicate that an update is deemed necessary.</w:t>
      </w:r>
    </w:p>
    <w:p w14:paraId="7B66E6BC" w14:textId="77777777" w:rsidR="0040300B" w:rsidRDefault="00BB2D44">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For our available-for-sale debt securities in an unrealized loss position, we determine whether a credit loss exists. In this assessment, we consider </w:t>
      </w:r>
      <w:r>
        <w:rPr>
          <w:rFonts w:ascii="Times New Roman" w:eastAsia="宋体" w:hAnsi="Times New Roman"/>
          <w:color w:val="000000"/>
          <w:sz w:val="20"/>
          <w:szCs w:val="20"/>
        </w:rPr>
        <w:t>the extent to which the fair value is less than the amortized cost, any changes to the rating of the security by a rating agency, and adverse conditions specifically related to the security, among other factors. If factors indicate a credit loss exists, an</w:t>
      </w:r>
      <w:r>
        <w:rPr>
          <w:rFonts w:ascii="Times New Roman" w:eastAsia="宋体" w:hAnsi="Times New Roman"/>
          <w:color w:val="000000"/>
          <w:sz w:val="20"/>
          <w:szCs w:val="20"/>
        </w:rPr>
        <w:t xml:space="preserve"> allowance for credit loss is recorded to other income (loss), net, limited by the amount that the fair value is less than the amortized cost basis. The amount of fair value change relating to all other factors will be recognized in other comprehensive inc</w:t>
      </w:r>
      <w:r>
        <w:rPr>
          <w:rFonts w:ascii="Times New Roman" w:eastAsia="宋体" w:hAnsi="Times New Roman"/>
          <w:color w:val="000000"/>
          <w:sz w:val="20"/>
          <w:szCs w:val="20"/>
        </w:rPr>
        <w:t>ome (OCI).</w:t>
      </w:r>
    </w:p>
    <w:p w14:paraId="7B66E6BD" w14:textId="77777777" w:rsidR="0040300B" w:rsidRDefault="0040300B">
      <w:pPr>
        <w:spacing w:before="120"/>
        <w:jc w:val="both"/>
      </w:pPr>
    </w:p>
    <w:p w14:paraId="7B66E6BE" w14:textId="77777777" w:rsidR="0040300B" w:rsidRDefault="00BB2D44">
      <w:pPr>
        <w:ind w:hanging="360"/>
        <w:jc w:val="both"/>
      </w:pPr>
      <w:r>
        <w:rPr>
          <w:rFonts w:ascii="Times New Roman" w:eastAsia="宋体" w:hAnsi="Times New Roman"/>
          <w:b/>
          <w:bCs/>
          <w:color w:val="000000"/>
          <w:sz w:val="20"/>
          <w:szCs w:val="20"/>
        </w:rPr>
        <w:t xml:space="preserve">3.Revenue </w:t>
      </w:r>
    </w:p>
    <w:p w14:paraId="7B66E6BF" w14:textId="77777777" w:rsidR="0040300B" w:rsidRDefault="00BB2D44">
      <w:pPr>
        <w:spacing w:before="100" w:after="100"/>
        <w:jc w:val="both"/>
      </w:pPr>
      <w:r>
        <w:rPr>
          <w:rFonts w:ascii="Times New Roman" w:eastAsia="宋体" w:hAnsi="Times New Roman"/>
          <w:color w:val="000000"/>
          <w:sz w:val="20"/>
          <w:szCs w:val="20"/>
        </w:rPr>
        <w:t>We enter into contracts with customers that can include various combinations of products and services which are generally distinct and accounted for as separate performance obligations. As a result, our contracts may contain multiple</w:t>
      </w:r>
      <w:r>
        <w:rPr>
          <w:rFonts w:ascii="Times New Roman" w:eastAsia="宋体" w:hAnsi="Times New Roman"/>
          <w:color w:val="000000"/>
          <w:sz w:val="20"/>
          <w:szCs w:val="20"/>
        </w:rPr>
        <w:t xml:space="preserve"> performance obligations. We determine whether arrangements are distinct based on whether the customer can benefit from the product or service on its own or together with other resources that are readily available and whether our commitment to transfer the</w:t>
      </w:r>
      <w:r>
        <w:rPr>
          <w:rFonts w:ascii="Times New Roman" w:eastAsia="宋体" w:hAnsi="Times New Roman"/>
          <w:color w:val="000000"/>
          <w:sz w:val="20"/>
          <w:szCs w:val="20"/>
        </w:rPr>
        <w:t xml:space="preserve"> product or service to the customer is separately identifiable from other obligations in the contract. We classify our hardware, perpetual software licenses, and software-as-a-service (SaaS) as distinct performance obligations. Term software licenses repre</w:t>
      </w:r>
      <w:r>
        <w:rPr>
          <w:rFonts w:ascii="Times New Roman" w:eastAsia="宋体" w:hAnsi="Times New Roman"/>
          <w:color w:val="000000"/>
          <w:sz w:val="20"/>
          <w:szCs w:val="20"/>
        </w:rPr>
        <w:t xml:space="preserve">sent multiple obligations, which include software licenses and software maintenance. In transactions where we deliver hardware or software, we are typically the principal and we record revenue and costs of goods sold on a gross basis. We refer to our term </w:t>
      </w:r>
      <w:r>
        <w:rPr>
          <w:rFonts w:ascii="Times New Roman" w:eastAsia="宋体" w:hAnsi="Times New Roman"/>
          <w:color w:val="000000"/>
          <w:sz w:val="20"/>
          <w:szCs w:val="20"/>
        </w:rPr>
        <w:t>software licenses, security software licenses, SaaS, and associated service arrangements as subscription offers.</w:t>
      </w:r>
    </w:p>
    <w:p w14:paraId="7B66E6C0" w14:textId="77777777" w:rsidR="0040300B" w:rsidRDefault="00BB2D44">
      <w:pPr>
        <w:spacing w:before="120"/>
        <w:jc w:val="both"/>
      </w:pPr>
      <w:r>
        <w:rPr>
          <w:rFonts w:ascii="Times New Roman" w:eastAsia="宋体" w:hAnsi="Times New Roman"/>
          <w:color w:val="000000"/>
          <w:sz w:val="20"/>
          <w:szCs w:val="20"/>
        </w:rPr>
        <w:t>We recognize revenue upon transfer of control of promised goods or services in a contract with a customer in an amount that reflects the consid</w:t>
      </w:r>
      <w:r>
        <w:rPr>
          <w:rFonts w:ascii="Times New Roman" w:eastAsia="宋体" w:hAnsi="Times New Roman"/>
          <w:color w:val="000000"/>
          <w:sz w:val="20"/>
          <w:szCs w:val="20"/>
        </w:rPr>
        <w:t>eration we expect to receive in exchange for those products or services. Transfer of control occurs once the customer has the contractual right to use the product, generally upon shipment or once title and risk of loss has transferred to the customer. Tran</w:t>
      </w:r>
      <w:r>
        <w:rPr>
          <w:rFonts w:ascii="Times New Roman" w:eastAsia="宋体" w:hAnsi="Times New Roman"/>
          <w:color w:val="000000"/>
          <w:sz w:val="20"/>
          <w:szCs w:val="20"/>
        </w:rPr>
        <w:t>sfer of control can also occur over time for software maintenance and services as the customer receives the benefit over the contract term. Our hardware and perpetual software licenses are distinct performance obligations where revenue is recognized upfron</w:t>
      </w:r>
      <w:r>
        <w:rPr>
          <w:rFonts w:ascii="Times New Roman" w:eastAsia="宋体" w:hAnsi="Times New Roman"/>
          <w:color w:val="000000"/>
          <w:sz w:val="20"/>
          <w:szCs w:val="20"/>
        </w:rPr>
        <w:t xml:space="preserve">t upon transfer of control. Term software licenses include multiple performance obligations where the term licenses are recognized upfront upon transfer of control, with the associated software maintenance revenue recognized ratably over the contract term </w:t>
      </w:r>
      <w:r>
        <w:rPr>
          <w:rFonts w:ascii="Times New Roman" w:eastAsia="宋体" w:hAnsi="Times New Roman"/>
          <w:color w:val="000000"/>
          <w:sz w:val="20"/>
          <w:szCs w:val="20"/>
        </w:rPr>
        <w:t xml:space="preserve">as services and software updates are provided. SaaS arrangements do not include the right for the customer to take possession of the software during the term, and therefore have one distinct performance obligation which is satisfied over time with revenue </w:t>
      </w:r>
      <w:r>
        <w:rPr>
          <w:rFonts w:ascii="Times New Roman" w:eastAsia="宋体" w:hAnsi="Times New Roman"/>
          <w:color w:val="000000"/>
          <w:sz w:val="20"/>
          <w:szCs w:val="20"/>
        </w:rPr>
        <w:t>recognized ratably over the contract term as the customer consumes the services. On our product sales, we record consideration from shipping and handling on a gross basis within net product sales. We record our revenue net of any associated sales taxes.</w:t>
      </w:r>
    </w:p>
    <w:p w14:paraId="7B66E6C1" w14:textId="77777777" w:rsidR="0040300B" w:rsidRDefault="00BB2D44">
      <w:pPr>
        <w:spacing w:before="120"/>
        <w:jc w:val="both"/>
      </w:pPr>
      <w:r>
        <w:rPr>
          <w:rFonts w:ascii="Times New Roman" w:eastAsia="宋体" w:hAnsi="Times New Roman"/>
          <w:color w:val="000000"/>
          <w:sz w:val="20"/>
          <w:szCs w:val="20"/>
        </w:rPr>
        <w:t>An allowance for future sales returns is established based on historical trends in product return rates. The allowance for future sales returns as of May 1, 2021 and July 25, 2020 was $61 million and $79 million, respectively, and was recorded as a reducti</w:t>
      </w:r>
      <w:r>
        <w:rPr>
          <w:rFonts w:ascii="Times New Roman" w:eastAsia="宋体" w:hAnsi="Times New Roman"/>
          <w:color w:val="000000"/>
          <w:sz w:val="20"/>
          <w:szCs w:val="20"/>
        </w:rPr>
        <w:t>on of our accounts receivable and revenue.</w:t>
      </w:r>
    </w:p>
    <w:p w14:paraId="7B66E6C2" w14:textId="77777777" w:rsidR="0040300B" w:rsidRDefault="0040300B">
      <w:pPr>
        <w:spacing w:before="100" w:after="100"/>
      </w:pPr>
    </w:p>
    <w:p w14:paraId="7B66E6C3" w14:textId="77777777" w:rsidR="0040300B" w:rsidRDefault="00BB2D44">
      <w:pPr>
        <w:jc w:val="center"/>
      </w:pPr>
      <w:r>
        <w:rPr>
          <w:rFonts w:ascii="Times New Roman" w:eastAsia="宋体" w:hAnsi="Times New Roman"/>
          <w:color w:val="000000"/>
          <w:sz w:val="20"/>
          <w:szCs w:val="20"/>
        </w:rPr>
        <w:t>10</w:t>
      </w:r>
    </w:p>
    <w:p w14:paraId="7B66E6C4" w14:textId="77777777" w:rsidR="0040300B" w:rsidRDefault="00BB2D44">
      <w:r>
        <w:pict w14:anchorId="7B671C1A">
          <v:rect id="_x0000_i1034" style="width:415.3pt;height:1.5pt" o:hralign="center" o:hrstd="t" o:hr="t" fillcolor="#a0a0a0" stroked="f"/>
        </w:pict>
      </w:r>
    </w:p>
    <w:p w14:paraId="7B66E6C5" w14:textId="77777777" w:rsidR="0040300B" w:rsidRDefault="00BB2D44">
      <w:hyperlink r:id="rId56" w:anchor="i52d5b40dbad7426a9806a2fd5167029f_7" w:history="1">
        <w:r>
          <w:rPr>
            <w:rStyle w:val="a5"/>
            <w:rFonts w:ascii="Times New Roman" w:eastAsia="宋体" w:hAnsi="Times New Roman"/>
            <w:sz w:val="18"/>
            <w:szCs w:val="18"/>
          </w:rPr>
          <w:t>Table of Contents</w:t>
        </w:r>
      </w:hyperlink>
    </w:p>
    <w:p w14:paraId="7B66E6C6" w14:textId="77777777" w:rsidR="0040300B" w:rsidRDefault="00BB2D44">
      <w:pPr>
        <w:jc w:val="center"/>
      </w:pPr>
      <w:r>
        <w:rPr>
          <w:rFonts w:ascii="Times New Roman" w:eastAsia="宋体" w:hAnsi="Times New Roman"/>
          <w:b/>
          <w:bCs/>
          <w:color w:val="000000"/>
          <w:sz w:val="18"/>
          <w:szCs w:val="18"/>
        </w:rPr>
        <w:t>CISCO SYSTEMS, INC.</w:t>
      </w:r>
    </w:p>
    <w:p w14:paraId="7B66E6C7" w14:textId="77777777" w:rsidR="0040300B" w:rsidRDefault="00BB2D44">
      <w:pPr>
        <w:jc w:val="center"/>
      </w:pPr>
      <w:r>
        <w:rPr>
          <w:rFonts w:ascii="Times New Roman" w:eastAsia="宋体" w:hAnsi="Times New Roman"/>
          <w:b/>
          <w:bCs/>
          <w:color w:val="000000"/>
          <w:sz w:val="18"/>
          <w:szCs w:val="18"/>
        </w:rPr>
        <w:t>NOTES TO CONSOLIDATE</w:t>
      </w:r>
      <w:r>
        <w:rPr>
          <w:rFonts w:ascii="Times New Roman" w:eastAsia="宋体" w:hAnsi="Times New Roman"/>
          <w:b/>
          <w:bCs/>
          <w:color w:val="000000"/>
          <w:sz w:val="18"/>
          <w:szCs w:val="18"/>
        </w:rPr>
        <w:t>D FINANCIAL STATEMENTS (Continued)</w:t>
      </w:r>
    </w:p>
    <w:p w14:paraId="7B66E6C8" w14:textId="77777777" w:rsidR="0040300B" w:rsidRDefault="00BB2D44">
      <w:pPr>
        <w:jc w:val="center"/>
      </w:pPr>
      <w:r>
        <w:rPr>
          <w:rFonts w:ascii="Times New Roman" w:eastAsia="宋体" w:hAnsi="Times New Roman"/>
          <w:b/>
          <w:bCs/>
          <w:color w:val="000000"/>
          <w:sz w:val="18"/>
          <w:szCs w:val="18"/>
        </w:rPr>
        <w:t xml:space="preserve">(Unaudited) </w:t>
      </w:r>
    </w:p>
    <w:p w14:paraId="7B66E6C9" w14:textId="77777777" w:rsidR="0040300B" w:rsidRDefault="0040300B">
      <w:pPr>
        <w:jc w:val="center"/>
      </w:pPr>
    </w:p>
    <w:p w14:paraId="7B66E6CA" w14:textId="77777777" w:rsidR="0040300B" w:rsidRDefault="00BB2D44">
      <w:pPr>
        <w:spacing w:before="120"/>
      </w:pPr>
      <w:r>
        <w:rPr>
          <w:rFonts w:ascii="Times New Roman" w:eastAsia="宋体" w:hAnsi="Times New Roman"/>
          <w:b/>
          <w:bCs/>
          <w:color w:val="000000"/>
          <w:sz w:val="20"/>
          <w:szCs w:val="20"/>
        </w:rPr>
        <w:t xml:space="preserve">Significant Judgments </w:t>
      </w:r>
    </w:p>
    <w:p w14:paraId="7B66E6CB" w14:textId="77777777" w:rsidR="0040300B" w:rsidRDefault="00BB2D44">
      <w:pPr>
        <w:spacing w:before="120"/>
        <w:jc w:val="both"/>
      </w:pPr>
      <w:r>
        <w:rPr>
          <w:rFonts w:ascii="Times New Roman" w:eastAsia="宋体" w:hAnsi="Times New Roman"/>
          <w:color w:val="000000"/>
          <w:sz w:val="20"/>
          <w:szCs w:val="20"/>
        </w:rPr>
        <w:t>Revenue is allocated among these performance obligations in a manner that reflects the consideration that we expect to be entitled to for the promised goods or services based on standa</w:t>
      </w:r>
      <w:r>
        <w:rPr>
          <w:rFonts w:ascii="Times New Roman" w:eastAsia="宋体" w:hAnsi="Times New Roman"/>
          <w:color w:val="000000"/>
          <w:sz w:val="20"/>
          <w:szCs w:val="20"/>
        </w:rPr>
        <w:t xml:space="preserve">lone selling prices (SSP). SSP is estimated for each distinct performance obligation and judgment may be required in their determination. The best evidence of SSP is the observable price of a product or service when we sell the goods separately in similar </w:t>
      </w:r>
      <w:r>
        <w:rPr>
          <w:rFonts w:ascii="Times New Roman" w:eastAsia="宋体" w:hAnsi="Times New Roman"/>
          <w:color w:val="000000"/>
          <w:sz w:val="20"/>
          <w:szCs w:val="20"/>
        </w:rPr>
        <w:t xml:space="preserve">circumstances and to similar customers. In instances where SSP is not directly observable, we determine SSP using information that may include market conditions and other observable inputs. </w:t>
      </w:r>
    </w:p>
    <w:p w14:paraId="7B66E6CC" w14:textId="77777777" w:rsidR="0040300B" w:rsidRDefault="00BB2D44">
      <w:pPr>
        <w:spacing w:before="120"/>
        <w:jc w:val="both"/>
      </w:pPr>
      <w:r>
        <w:rPr>
          <w:rFonts w:ascii="Times New Roman" w:eastAsia="宋体" w:hAnsi="Times New Roman"/>
          <w:color w:val="000000"/>
          <w:sz w:val="20"/>
          <w:szCs w:val="20"/>
        </w:rPr>
        <w:t xml:space="preserve">We apply judgment in determining the transaction price as we may </w:t>
      </w:r>
      <w:r>
        <w:rPr>
          <w:rFonts w:ascii="Times New Roman" w:eastAsia="宋体" w:hAnsi="Times New Roman"/>
          <w:color w:val="000000"/>
          <w:sz w:val="20"/>
          <w:szCs w:val="20"/>
        </w:rPr>
        <w:t xml:space="preserve">be required to estimate variable consideration when determining the amount of revenue to recognize. Variable consideration includes potential contractual penalties and various rebate, cooperative marketing and other incentive programs that we offer to our </w:t>
      </w:r>
      <w:r>
        <w:rPr>
          <w:rFonts w:ascii="Times New Roman" w:eastAsia="宋体" w:hAnsi="Times New Roman"/>
          <w:color w:val="000000"/>
          <w:sz w:val="20"/>
          <w:szCs w:val="20"/>
        </w:rPr>
        <w:t>distributors, channel partners and customers. When determining the amount of revenue to recognize, we estimate the expected usage of these programs, applying the expected value or most likely estimate and update the estimate at each reporting period as act</w:t>
      </w:r>
      <w:r>
        <w:rPr>
          <w:rFonts w:ascii="Times New Roman" w:eastAsia="宋体" w:hAnsi="Times New Roman"/>
          <w:color w:val="000000"/>
          <w:sz w:val="20"/>
          <w:szCs w:val="20"/>
        </w:rPr>
        <w:t>ual utilization becomes available. We also consider the customers' right of return in determining the transaction price, where applicable.</w:t>
      </w:r>
    </w:p>
    <w:p w14:paraId="7B66E6CD" w14:textId="77777777" w:rsidR="0040300B" w:rsidRDefault="00BB2D44">
      <w:pPr>
        <w:spacing w:before="120"/>
        <w:jc w:val="both"/>
      </w:pPr>
      <w:r>
        <w:rPr>
          <w:rFonts w:ascii="Times New Roman" w:eastAsia="宋体" w:hAnsi="Times New Roman"/>
          <w:color w:val="000000"/>
          <w:sz w:val="20"/>
          <w:szCs w:val="20"/>
        </w:rPr>
        <w:t xml:space="preserve">We assess certain software licenses, such as for security software, that contain critical updates or upgrades </w:t>
      </w:r>
      <w:r>
        <w:rPr>
          <w:rFonts w:ascii="Times New Roman" w:eastAsia="宋体" w:hAnsi="Times New Roman"/>
          <w:color w:val="000000"/>
          <w:sz w:val="20"/>
          <w:szCs w:val="20"/>
        </w:rPr>
        <w:t>which customers can download throughout the contract term. Without these updates or upgrades, the functionality of the software would diminish over a relatively short time period. These updates or upgrades provide the customer the full functionality of the</w:t>
      </w:r>
      <w:r>
        <w:rPr>
          <w:rFonts w:ascii="Times New Roman" w:eastAsia="宋体" w:hAnsi="Times New Roman"/>
          <w:color w:val="000000"/>
          <w:sz w:val="20"/>
          <w:szCs w:val="20"/>
        </w:rPr>
        <w:t xml:space="preserve"> purchased security software licenses and are required to maintain the security license's utility as the risks and threats in the environment are rapidly changing. In these circumstances, the revenue from these software arrangements is recognized as a sing</w:t>
      </w:r>
      <w:r>
        <w:rPr>
          <w:rFonts w:ascii="Times New Roman" w:eastAsia="宋体" w:hAnsi="Times New Roman"/>
          <w:color w:val="000000"/>
          <w:sz w:val="20"/>
          <w:szCs w:val="20"/>
        </w:rPr>
        <w:t>le performance obligation satisfied over the contract term.</w:t>
      </w:r>
    </w:p>
    <w:p w14:paraId="7B66E6CE" w14:textId="77777777" w:rsidR="0040300B" w:rsidRDefault="00BB2D44">
      <w:pPr>
        <w:spacing w:before="100" w:after="100"/>
        <w:ind w:hanging="360"/>
      </w:pPr>
      <w:r>
        <w:rPr>
          <w:rFonts w:ascii="Times New Roman" w:eastAsia="宋体" w:hAnsi="Times New Roman"/>
          <w:b/>
          <w:bCs/>
          <w:color w:val="000000"/>
          <w:sz w:val="20"/>
          <w:szCs w:val="20"/>
        </w:rPr>
        <w:t>(a)Disaggregation of Revenue</w:t>
      </w:r>
    </w:p>
    <w:p w14:paraId="7B66E6CF" w14:textId="77777777" w:rsidR="0040300B" w:rsidRDefault="00BB2D44">
      <w:pPr>
        <w:spacing w:before="120"/>
        <w:jc w:val="both"/>
      </w:pPr>
      <w:r>
        <w:rPr>
          <w:rFonts w:ascii="Times New Roman" w:eastAsia="宋体" w:hAnsi="Times New Roman"/>
          <w:color w:val="000000"/>
          <w:sz w:val="20"/>
          <w:szCs w:val="20"/>
        </w:rPr>
        <w:t>We disaggregate our revenue into groups of similar products and services that depict the nature, amount, and timing of revenue and cash flows for our various offerings</w:t>
      </w:r>
      <w:r>
        <w:rPr>
          <w:rFonts w:ascii="Times New Roman" w:eastAsia="宋体" w:hAnsi="Times New Roman"/>
          <w:color w:val="000000"/>
          <w:sz w:val="20"/>
          <w:szCs w:val="20"/>
        </w:rPr>
        <w:t>. The sales cycle, contractual obligations, customer requirements, and go-to-market strategies differ for each of our product categories, resulting in different economic risk profiles for each category. The following table presents this disaggregation of r</w:t>
      </w:r>
      <w:r>
        <w:rPr>
          <w:rFonts w:ascii="Times New Roman" w:eastAsia="宋体" w:hAnsi="Times New Roman"/>
          <w:color w:val="000000"/>
          <w:sz w:val="20"/>
          <w:szCs w:val="20"/>
        </w:rPr>
        <w:t>evenue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424"/>
        <w:gridCol w:w="37"/>
        <w:gridCol w:w="120"/>
        <w:gridCol w:w="748"/>
        <w:gridCol w:w="36"/>
        <w:gridCol w:w="36"/>
        <w:gridCol w:w="36"/>
        <w:gridCol w:w="36"/>
        <w:gridCol w:w="120"/>
        <w:gridCol w:w="705"/>
        <w:gridCol w:w="36"/>
        <w:gridCol w:w="36"/>
        <w:gridCol w:w="36"/>
        <w:gridCol w:w="36"/>
        <w:gridCol w:w="120"/>
        <w:gridCol w:w="705"/>
        <w:gridCol w:w="36"/>
        <w:gridCol w:w="36"/>
        <w:gridCol w:w="36"/>
        <w:gridCol w:w="36"/>
        <w:gridCol w:w="120"/>
        <w:gridCol w:w="705"/>
        <w:gridCol w:w="36"/>
      </w:tblGrid>
      <w:tr w:rsidR="0040300B" w14:paraId="7B66E6E8" w14:textId="77777777">
        <w:trPr>
          <w:jc w:val="center"/>
        </w:trPr>
        <w:tc>
          <w:tcPr>
            <w:tcW w:w="50" w:type="pct"/>
            <w:shd w:val="clear" w:color="auto" w:fill="auto"/>
          </w:tcPr>
          <w:p w14:paraId="7B66E6D0" w14:textId="77777777" w:rsidR="0040300B" w:rsidRDefault="0040300B">
            <w:pPr>
              <w:rPr>
                <w:rFonts w:ascii="宋体"/>
              </w:rPr>
            </w:pPr>
          </w:p>
        </w:tc>
        <w:tc>
          <w:tcPr>
            <w:tcW w:w="2694" w:type="pct"/>
            <w:shd w:val="clear" w:color="auto" w:fill="auto"/>
          </w:tcPr>
          <w:p w14:paraId="7B66E6D1" w14:textId="77777777" w:rsidR="0040300B" w:rsidRDefault="0040300B">
            <w:pPr>
              <w:rPr>
                <w:rFonts w:ascii="宋体"/>
              </w:rPr>
            </w:pPr>
          </w:p>
        </w:tc>
        <w:tc>
          <w:tcPr>
            <w:tcW w:w="5" w:type="pct"/>
            <w:shd w:val="clear" w:color="auto" w:fill="auto"/>
          </w:tcPr>
          <w:p w14:paraId="7B66E6D2" w14:textId="77777777" w:rsidR="0040300B" w:rsidRDefault="0040300B">
            <w:pPr>
              <w:rPr>
                <w:rFonts w:ascii="宋体"/>
              </w:rPr>
            </w:pPr>
          </w:p>
        </w:tc>
        <w:tc>
          <w:tcPr>
            <w:tcW w:w="50" w:type="pct"/>
            <w:shd w:val="clear" w:color="auto" w:fill="auto"/>
          </w:tcPr>
          <w:p w14:paraId="7B66E6D3" w14:textId="77777777" w:rsidR="0040300B" w:rsidRDefault="0040300B">
            <w:pPr>
              <w:rPr>
                <w:rFonts w:ascii="宋体"/>
              </w:rPr>
            </w:pPr>
          </w:p>
        </w:tc>
        <w:tc>
          <w:tcPr>
            <w:tcW w:w="480" w:type="pct"/>
            <w:shd w:val="clear" w:color="auto" w:fill="auto"/>
          </w:tcPr>
          <w:p w14:paraId="7B66E6D4" w14:textId="77777777" w:rsidR="0040300B" w:rsidRDefault="0040300B">
            <w:pPr>
              <w:rPr>
                <w:rFonts w:ascii="宋体"/>
              </w:rPr>
            </w:pPr>
          </w:p>
        </w:tc>
        <w:tc>
          <w:tcPr>
            <w:tcW w:w="5" w:type="pct"/>
            <w:shd w:val="clear" w:color="auto" w:fill="auto"/>
          </w:tcPr>
          <w:p w14:paraId="7B66E6D5" w14:textId="77777777" w:rsidR="0040300B" w:rsidRDefault="0040300B">
            <w:pPr>
              <w:rPr>
                <w:rFonts w:ascii="宋体"/>
              </w:rPr>
            </w:pPr>
          </w:p>
        </w:tc>
        <w:tc>
          <w:tcPr>
            <w:tcW w:w="5" w:type="pct"/>
            <w:shd w:val="clear" w:color="auto" w:fill="auto"/>
          </w:tcPr>
          <w:p w14:paraId="7B66E6D6" w14:textId="77777777" w:rsidR="0040300B" w:rsidRDefault="0040300B">
            <w:pPr>
              <w:rPr>
                <w:rFonts w:ascii="宋体"/>
              </w:rPr>
            </w:pPr>
          </w:p>
        </w:tc>
        <w:tc>
          <w:tcPr>
            <w:tcW w:w="26" w:type="pct"/>
            <w:shd w:val="clear" w:color="auto" w:fill="auto"/>
          </w:tcPr>
          <w:p w14:paraId="7B66E6D7" w14:textId="77777777" w:rsidR="0040300B" w:rsidRDefault="0040300B">
            <w:pPr>
              <w:rPr>
                <w:rFonts w:ascii="宋体"/>
              </w:rPr>
            </w:pPr>
          </w:p>
        </w:tc>
        <w:tc>
          <w:tcPr>
            <w:tcW w:w="5" w:type="pct"/>
            <w:shd w:val="clear" w:color="auto" w:fill="auto"/>
          </w:tcPr>
          <w:p w14:paraId="7B66E6D8" w14:textId="77777777" w:rsidR="0040300B" w:rsidRDefault="0040300B">
            <w:pPr>
              <w:rPr>
                <w:rFonts w:ascii="宋体"/>
              </w:rPr>
            </w:pPr>
          </w:p>
        </w:tc>
        <w:tc>
          <w:tcPr>
            <w:tcW w:w="50" w:type="pct"/>
            <w:shd w:val="clear" w:color="auto" w:fill="auto"/>
          </w:tcPr>
          <w:p w14:paraId="7B66E6D9" w14:textId="77777777" w:rsidR="0040300B" w:rsidRDefault="0040300B">
            <w:pPr>
              <w:rPr>
                <w:rFonts w:ascii="宋体"/>
              </w:rPr>
            </w:pPr>
          </w:p>
        </w:tc>
        <w:tc>
          <w:tcPr>
            <w:tcW w:w="480" w:type="pct"/>
            <w:shd w:val="clear" w:color="auto" w:fill="auto"/>
          </w:tcPr>
          <w:p w14:paraId="7B66E6DA" w14:textId="77777777" w:rsidR="0040300B" w:rsidRDefault="0040300B">
            <w:pPr>
              <w:rPr>
                <w:rFonts w:ascii="宋体"/>
              </w:rPr>
            </w:pPr>
          </w:p>
        </w:tc>
        <w:tc>
          <w:tcPr>
            <w:tcW w:w="5" w:type="pct"/>
            <w:shd w:val="clear" w:color="auto" w:fill="auto"/>
          </w:tcPr>
          <w:p w14:paraId="7B66E6DB" w14:textId="77777777" w:rsidR="0040300B" w:rsidRDefault="0040300B">
            <w:pPr>
              <w:rPr>
                <w:rFonts w:ascii="宋体"/>
              </w:rPr>
            </w:pPr>
          </w:p>
        </w:tc>
        <w:tc>
          <w:tcPr>
            <w:tcW w:w="5" w:type="pct"/>
            <w:shd w:val="clear" w:color="auto" w:fill="auto"/>
          </w:tcPr>
          <w:p w14:paraId="7B66E6DC" w14:textId="77777777" w:rsidR="0040300B" w:rsidRDefault="0040300B">
            <w:pPr>
              <w:rPr>
                <w:rFonts w:ascii="宋体"/>
              </w:rPr>
            </w:pPr>
          </w:p>
        </w:tc>
        <w:tc>
          <w:tcPr>
            <w:tcW w:w="26" w:type="pct"/>
            <w:shd w:val="clear" w:color="auto" w:fill="auto"/>
          </w:tcPr>
          <w:p w14:paraId="7B66E6DD" w14:textId="77777777" w:rsidR="0040300B" w:rsidRDefault="0040300B">
            <w:pPr>
              <w:rPr>
                <w:rFonts w:ascii="宋体"/>
              </w:rPr>
            </w:pPr>
          </w:p>
        </w:tc>
        <w:tc>
          <w:tcPr>
            <w:tcW w:w="5" w:type="pct"/>
            <w:shd w:val="clear" w:color="auto" w:fill="auto"/>
          </w:tcPr>
          <w:p w14:paraId="7B66E6DE" w14:textId="77777777" w:rsidR="0040300B" w:rsidRDefault="0040300B">
            <w:pPr>
              <w:rPr>
                <w:rFonts w:ascii="宋体"/>
              </w:rPr>
            </w:pPr>
          </w:p>
        </w:tc>
        <w:tc>
          <w:tcPr>
            <w:tcW w:w="50" w:type="pct"/>
            <w:shd w:val="clear" w:color="auto" w:fill="auto"/>
          </w:tcPr>
          <w:p w14:paraId="7B66E6DF" w14:textId="77777777" w:rsidR="0040300B" w:rsidRDefault="0040300B">
            <w:pPr>
              <w:rPr>
                <w:rFonts w:ascii="宋体"/>
              </w:rPr>
            </w:pPr>
          </w:p>
        </w:tc>
        <w:tc>
          <w:tcPr>
            <w:tcW w:w="480" w:type="pct"/>
            <w:shd w:val="clear" w:color="auto" w:fill="auto"/>
          </w:tcPr>
          <w:p w14:paraId="7B66E6E0" w14:textId="77777777" w:rsidR="0040300B" w:rsidRDefault="0040300B">
            <w:pPr>
              <w:rPr>
                <w:rFonts w:ascii="宋体"/>
              </w:rPr>
            </w:pPr>
          </w:p>
        </w:tc>
        <w:tc>
          <w:tcPr>
            <w:tcW w:w="5" w:type="pct"/>
            <w:shd w:val="clear" w:color="auto" w:fill="auto"/>
          </w:tcPr>
          <w:p w14:paraId="7B66E6E1" w14:textId="77777777" w:rsidR="0040300B" w:rsidRDefault="0040300B">
            <w:pPr>
              <w:rPr>
                <w:rFonts w:ascii="宋体"/>
              </w:rPr>
            </w:pPr>
          </w:p>
        </w:tc>
        <w:tc>
          <w:tcPr>
            <w:tcW w:w="5" w:type="pct"/>
            <w:shd w:val="clear" w:color="auto" w:fill="auto"/>
          </w:tcPr>
          <w:p w14:paraId="7B66E6E2" w14:textId="77777777" w:rsidR="0040300B" w:rsidRDefault="0040300B">
            <w:pPr>
              <w:rPr>
                <w:rFonts w:ascii="宋体"/>
              </w:rPr>
            </w:pPr>
          </w:p>
        </w:tc>
        <w:tc>
          <w:tcPr>
            <w:tcW w:w="26" w:type="pct"/>
            <w:shd w:val="clear" w:color="auto" w:fill="auto"/>
          </w:tcPr>
          <w:p w14:paraId="7B66E6E3" w14:textId="77777777" w:rsidR="0040300B" w:rsidRDefault="0040300B">
            <w:pPr>
              <w:rPr>
                <w:rFonts w:ascii="宋体"/>
              </w:rPr>
            </w:pPr>
          </w:p>
        </w:tc>
        <w:tc>
          <w:tcPr>
            <w:tcW w:w="5" w:type="pct"/>
            <w:shd w:val="clear" w:color="auto" w:fill="auto"/>
          </w:tcPr>
          <w:p w14:paraId="7B66E6E4" w14:textId="77777777" w:rsidR="0040300B" w:rsidRDefault="0040300B">
            <w:pPr>
              <w:rPr>
                <w:rFonts w:ascii="宋体"/>
              </w:rPr>
            </w:pPr>
          </w:p>
        </w:tc>
        <w:tc>
          <w:tcPr>
            <w:tcW w:w="50" w:type="pct"/>
            <w:shd w:val="clear" w:color="auto" w:fill="auto"/>
          </w:tcPr>
          <w:p w14:paraId="7B66E6E5" w14:textId="77777777" w:rsidR="0040300B" w:rsidRDefault="0040300B">
            <w:pPr>
              <w:rPr>
                <w:rFonts w:ascii="宋体"/>
              </w:rPr>
            </w:pPr>
          </w:p>
        </w:tc>
        <w:tc>
          <w:tcPr>
            <w:tcW w:w="480" w:type="pct"/>
            <w:shd w:val="clear" w:color="auto" w:fill="auto"/>
          </w:tcPr>
          <w:p w14:paraId="7B66E6E6" w14:textId="77777777" w:rsidR="0040300B" w:rsidRDefault="0040300B">
            <w:pPr>
              <w:rPr>
                <w:rFonts w:ascii="宋体"/>
              </w:rPr>
            </w:pPr>
          </w:p>
        </w:tc>
        <w:tc>
          <w:tcPr>
            <w:tcW w:w="5" w:type="pct"/>
            <w:shd w:val="clear" w:color="auto" w:fill="auto"/>
          </w:tcPr>
          <w:p w14:paraId="7B66E6E7" w14:textId="77777777" w:rsidR="0040300B" w:rsidRDefault="0040300B">
            <w:pPr>
              <w:rPr>
                <w:rFonts w:ascii="宋体"/>
              </w:rPr>
            </w:pPr>
          </w:p>
        </w:tc>
      </w:tr>
      <w:tr w:rsidR="0040300B" w14:paraId="7B66E6ED" w14:textId="77777777">
        <w:trPr>
          <w:jc w:val="center"/>
        </w:trPr>
        <w:tc>
          <w:tcPr>
            <w:tcW w:w="0" w:type="auto"/>
            <w:gridSpan w:val="3"/>
            <w:shd w:val="clear" w:color="auto" w:fill="auto"/>
            <w:tcMar>
              <w:top w:w="0" w:type="dxa"/>
              <w:left w:w="20" w:type="dxa"/>
              <w:bottom w:w="0" w:type="dxa"/>
              <w:right w:w="20" w:type="dxa"/>
            </w:tcMar>
          </w:tcPr>
          <w:p w14:paraId="7B66E6E9"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6EA"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E6EB"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6EC"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6F6" w14:textId="77777777">
        <w:trPr>
          <w:jc w:val="center"/>
        </w:trPr>
        <w:tc>
          <w:tcPr>
            <w:tcW w:w="0" w:type="auto"/>
            <w:gridSpan w:val="3"/>
            <w:shd w:val="clear" w:color="auto" w:fill="auto"/>
            <w:tcMar>
              <w:top w:w="0" w:type="dxa"/>
              <w:left w:w="20" w:type="dxa"/>
              <w:bottom w:w="0" w:type="dxa"/>
              <w:right w:w="20" w:type="dxa"/>
            </w:tcMar>
          </w:tcPr>
          <w:p w14:paraId="7B66E6E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6EF"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E6F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6F1"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6E6F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6F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E6F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6F5"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6E6FF" w14:textId="77777777">
        <w:trPr>
          <w:jc w:val="center"/>
        </w:trPr>
        <w:tc>
          <w:tcPr>
            <w:tcW w:w="0" w:type="auto"/>
            <w:gridSpan w:val="3"/>
            <w:shd w:val="clear" w:color="auto" w:fill="CCEEFF"/>
            <w:tcMar>
              <w:top w:w="40" w:type="dxa"/>
              <w:left w:w="20" w:type="dxa"/>
              <w:bottom w:w="40" w:type="dxa"/>
              <w:right w:w="20" w:type="dxa"/>
            </w:tcMar>
          </w:tcPr>
          <w:p w14:paraId="7B66E6F7" w14:textId="77777777" w:rsidR="0040300B" w:rsidRDefault="00BB2D44">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B66E6F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F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6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F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6F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6F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6FE" w14:textId="77777777" w:rsidR="0040300B" w:rsidRDefault="0040300B">
            <w:pPr>
              <w:rPr>
                <w:rFonts w:ascii="宋体"/>
              </w:rPr>
            </w:pPr>
          </w:p>
        </w:tc>
      </w:tr>
      <w:tr w:rsidR="0040300B" w14:paraId="7B66E710" w14:textId="77777777">
        <w:trPr>
          <w:jc w:val="center"/>
        </w:trPr>
        <w:tc>
          <w:tcPr>
            <w:tcW w:w="0" w:type="auto"/>
            <w:gridSpan w:val="3"/>
            <w:shd w:val="clear" w:color="auto" w:fill="FFFFFF"/>
            <w:tcMar>
              <w:top w:w="40" w:type="dxa"/>
              <w:left w:w="380" w:type="dxa"/>
              <w:bottom w:w="40" w:type="dxa"/>
              <w:right w:w="20" w:type="dxa"/>
            </w:tcMar>
            <w:vAlign w:val="bottom"/>
          </w:tcPr>
          <w:p w14:paraId="7B66E700" w14:textId="77777777" w:rsidR="0040300B" w:rsidRDefault="00BB2D44">
            <w:pPr>
              <w:textAlignment w:val="bottom"/>
            </w:pPr>
            <w:r>
              <w:rPr>
                <w:rFonts w:ascii="Times New Roman" w:eastAsia="宋体" w:hAnsi="Times New Roman"/>
                <w:color w:val="000000"/>
                <w:sz w:val="20"/>
                <w:szCs w:val="20"/>
              </w:rPr>
              <w:t>Infrastructure Platforms</w:t>
            </w:r>
          </w:p>
        </w:tc>
        <w:tc>
          <w:tcPr>
            <w:tcW w:w="0" w:type="auto"/>
            <w:shd w:val="clear" w:color="auto" w:fill="FFFFFF"/>
            <w:tcMar>
              <w:top w:w="40" w:type="dxa"/>
              <w:left w:w="20" w:type="dxa"/>
              <w:bottom w:w="40" w:type="dxa"/>
              <w:right w:w="0" w:type="dxa"/>
            </w:tcMar>
            <w:vAlign w:val="bottom"/>
          </w:tcPr>
          <w:p w14:paraId="7B66E70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702" w14:textId="77777777" w:rsidR="0040300B" w:rsidRDefault="00BB2D44">
            <w:pPr>
              <w:jc w:val="right"/>
              <w:textAlignment w:val="bottom"/>
            </w:pPr>
            <w:r>
              <w:rPr>
                <w:rFonts w:ascii="Times New Roman" w:eastAsia="宋体" w:hAnsi="Times New Roman"/>
                <w:color w:val="000000"/>
                <w:sz w:val="20"/>
                <w:szCs w:val="20"/>
              </w:rPr>
              <w:t>6,832 </w:t>
            </w:r>
          </w:p>
        </w:tc>
        <w:tc>
          <w:tcPr>
            <w:tcW w:w="0" w:type="auto"/>
            <w:shd w:val="clear" w:color="auto" w:fill="FFFFFF"/>
            <w:tcMar>
              <w:top w:w="40" w:type="dxa"/>
              <w:left w:w="0" w:type="dxa"/>
              <w:bottom w:w="40" w:type="dxa"/>
              <w:right w:w="20" w:type="dxa"/>
            </w:tcMar>
            <w:vAlign w:val="bottom"/>
          </w:tcPr>
          <w:p w14:paraId="7B66E70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0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70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706" w14:textId="77777777" w:rsidR="0040300B" w:rsidRDefault="00BB2D44">
            <w:pPr>
              <w:jc w:val="right"/>
              <w:textAlignment w:val="bottom"/>
            </w:pPr>
            <w:r>
              <w:rPr>
                <w:rFonts w:ascii="Times New Roman" w:eastAsia="宋体" w:hAnsi="Times New Roman"/>
                <w:color w:val="000000"/>
                <w:sz w:val="20"/>
                <w:szCs w:val="20"/>
              </w:rPr>
              <w:t>6,447 </w:t>
            </w:r>
          </w:p>
        </w:tc>
        <w:tc>
          <w:tcPr>
            <w:tcW w:w="0" w:type="auto"/>
            <w:shd w:val="clear" w:color="auto" w:fill="FFFFFF"/>
            <w:tcMar>
              <w:top w:w="40" w:type="dxa"/>
              <w:left w:w="0" w:type="dxa"/>
              <w:bottom w:w="40" w:type="dxa"/>
              <w:right w:w="20" w:type="dxa"/>
            </w:tcMar>
            <w:vAlign w:val="bottom"/>
          </w:tcPr>
          <w:p w14:paraId="7B66E70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0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70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70A" w14:textId="77777777" w:rsidR="0040300B" w:rsidRDefault="00BB2D44">
            <w:pPr>
              <w:jc w:val="right"/>
              <w:textAlignment w:val="bottom"/>
            </w:pPr>
            <w:r>
              <w:rPr>
                <w:rFonts w:ascii="Times New Roman" w:eastAsia="宋体" w:hAnsi="Times New Roman"/>
                <w:color w:val="000000"/>
                <w:sz w:val="20"/>
                <w:szCs w:val="20"/>
              </w:rPr>
              <w:t>19,564 </w:t>
            </w:r>
          </w:p>
        </w:tc>
        <w:tc>
          <w:tcPr>
            <w:tcW w:w="0" w:type="auto"/>
            <w:shd w:val="clear" w:color="auto" w:fill="FFFFFF"/>
            <w:tcMar>
              <w:top w:w="40" w:type="dxa"/>
              <w:left w:w="0" w:type="dxa"/>
              <w:bottom w:w="40" w:type="dxa"/>
              <w:right w:w="20" w:type="dxa"/>
            </w:tcMar>
            <w:vAlign w:val="bottom"/>
          </w:tcPr>
          <w:p w14:paraId="7B66E70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0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70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70E" w14:textId="77777777" w:rsidR="0040300B" w:rsidRDefault="00BB2D44">
            <w:pPr>
              <w:jc w:val="right"/>
              <w:textAlignment w:val="bottom"/>
            </w:pPr>
            <w:r>
              <w:rPr>
                <w:rFonts w:ascii="Times New Roman" w:eastAsia="宋体" w:hAnsi="Times New Roman"/>
                <w:color w:val="000000"/>
                <w:sz w:val="20"/>
                <w:szCs w:val="20"/>
              </w:rPr>
              <w:t>20,566 </w:t>
            </w:r>
          </w:p>
        </w:tc>
        <w:tc>
          <w:tcPr>
            <w:tcW w:w="0" w:type="auto"/>
            <w:shd w:val="clear" w:color="auto" w:fill="FFFFFF"/>
            <w:tcMar>
              <w:top w:w="40" w:type="dxa"/>
              <w:left w:w="0" w:type="dxa"/>
              <w:bottom w:w="40" w:type="dxa"/>
              <w:right w:w="20" w:type="dxa"/>
            </w:tcMar>
            <w:vAlign w:val="bottom"/>
          </w:tcPr>
          <w:p w14:paraId="7B66E70F" w14:textId="77777777" w:rsidR="0040300B" w:rsidRDefault="0040300B">
            <w:pPr>
              <w:jc w:val="right"/>
              <w:rPr>
                <w:rFonts w:ascii="宋体"/>
              </w:rPr>
            </w:pPr>
          </w:p>
        </w:tc>
      </w:tr>
      <w:tr w:rsidR="0040300B" w14:paraId="7B66E71D" w14:textId="77777777">
        <w:trPr>
          <w:jc w:val="center"/>
        </w:trPr>
        <w:tc>
          <w:tcPr>
            <w:tcW w:w="0" w:type="auto"/>
            <w:gridSpan w:val="3"/>
            <w:shd w:val="clear" w:color="auto" w:fill="CCEEFF"/>
            <w:tcMar>
              <w:top w:w="40" w:type="dxa"/>
              <w:left w:w="380" w:type="dxa"/>
              <w:bottom w:w="40" w:type="dxa"/>
              <w:right w:w="20" w:type="dxa"/>
            </w:tcMar>
            <w:vAlign w:val="bottom"/>
          </w:tcPr>
          <w:p w14:paraId="7B66E711" w14:textId="77777777" w:rsidR="0040300B" w:rsidRDefault="00BB2D44">
            <w:pPr>
              <w:textAlignment w:val="bottom"/>
            </w:pPr>
            <w:r>
              <w:rPr>
                <w:rFonts w:ascii="Times New Roman" w:eastAsia="宋体" w:hAnsi="Times New Roman"/>
                <w:color w:val="000000"/>
                <w:sz w:val="20"/>
                <w:szCs w:val="20"/>
              </w:rPr>
              <w:t>Applications</w:t>
            </w:r>
          </w:p>
        </w:tc>
        <w:tc>
          <w:tcPr>
            <w:tcW w:w="0" w:type="auto"/>
            <w:gridSpan w:val="2"/>
            <w:shd w:val="clear" w:color="auto" w:fill="CCEEFF"/>
            <w:tcMar>
              <w:top w:w="40" w:type="dxa"/>
              <w:left w:w="20" w:type="dxa"/>
              <w:bottom w:w="40" w:type="dxa"/>
              <w:right w:w="0" w:type="dxa"/>
            </w:tcMar>
            <w:vAlign w:val="bottom"/>
          </w:tcPr>
          <w:p w14:paraId="7B66E712" w14:textId="77777777" w:rsidR="0040300B" w:rsidRDefault="00BB2D44">
            <w:pPr>
              <w:jc w:val="right"/>
              <w:textAlignment w:val="bottom"/>
            </w:pPr>
            <w:r>
              <w:rPr>
                <w:rFonts w:ascii="Times New Roman" w:eastAsia="宋体" w:hAnsi="Times New Roman"/>
                <w:color w:val="000000"/>
                <w:sz w:val="20"/>
                <w:szCs w:val="20"/>
              </w:rPr>
              <w:t>1,426 </w:t>
            </w:r>
          </w:p>
        </w:tc>
        <w:tc>
          <w:tcPr>
            <w:tcW w:w="0" w:type="auto"/>
            <w:shd w:val="clear" w:color="auto" w:fill="CCEEFF"/>
            <w:tcMar>
              <w:top w:w="40" w:type="dxa"/>
              <w:left w:w="0" w:type="dxa"/>
              <w:bottom w:w="40" w:type="dxa"/>
              <w:right w:w="20" w:type="dxa"/>
            </w:tcMar>
            <w:vAlign w:val="bottom"/>
          </w:tcPr>
          <w:p w14:paraId="7B66E71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1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15" w14:textId="77777777" w:rsidR="0040300B" w:rsidRDefault="00BB2D44">
            <w:pPr>
              <w:jc w:val="right"/>
              <w:textAlignment w:val="bottom"/>
            </w:pPr>
            <w:r>
              <w:rPr>
                <w:rFonts w:ascii="Times New Roman" w:eastAsia="宋体" w:hAnsi="Times New Roman"/>
                <w:color w:val="000000"/>
                <w:sz w:val="20"/>
                <w:szCs w:val="20"/>
              </w:rPr>
              <w:t>1,363 </w:t>
            </w:r>
          </w:p>
        </w:tc>
        <w:tc>
          <w:tcPr>
            <w:tcW w:w="0" w:type="auto"/>
            <w:shd w:val="clear" w:color="auto" w:fill="CCEEFF"/>
            <w:tcMar>
              <w:top w:w="40" w:type="dxa"/>
              <w:left w:w="0" w:type="dxa"/>
              <w:bottom w:w="40" w:type="dxa"/>
              <w:right w:w="20" w:type="dxa"/>
            </w:tcMar>
            <w:vAlign w:val="bottom"/>
          </w:tcPr>
          <w:p w14:paraId="7B66E71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1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18" w14:textId="77777777" w:rsidR="0040300B" w:rsidRDefault="00BB2D44">
            <w:pPr>
              <w:jc w:val="right"/>
              <w:textAlignment w:val="bottom"/>
            </w:pPr>
            <w:r>
              <w:rPr>
                <w:rFonts w:ascii="Times New Roman" w:eastAsia="宋体" w:hAnsi="Times New Roman"/>
                <w:color w:val="000000"/>
                <w:sz w:val="20"/>
                <w:szCs w:val="20"/>
              </w:rPr>
              <w:t>4,160 </w:t>
            </w:r>
          </w:p>
        </w:tc>
        <w:tc>
          <w:tcPr>
            <w:tcW w:w="0" w:type="auto"/>
            <w:shd w:val="clear" w:color="auto" w:fill="CCEEFF"/>
            <w:tcMar>
              <w:top w:w="40" w:type="dxa"/>
              <w:left w:w="0" w:type="dxa"/>
              <w:bottom w:w="40" w:type="dxa"/>
              <w:right w:w="20" w:type="dxa"/>
            </w:tcMar>
            <w:vAlign w:val="bottom"/>
          </w:tcPr>
          <w:p w14:paraId="7B66E71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1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1B" w14:textId="77777777" w:rsidR="0040300B" w:rsidRDefault="00BB2D44">
            <w:pPr>
              <w:jc w:val="right"/>
              <w:textAlignment w:val="bottom"/>
            </w:pPr>
            <w:r>
              <w:rPr>
                <w:rFonts w:ascii="Times New Roman" w:eastAsia="宋体" w:hAnsi="Times New Roman"/>
                <w:color w:val="000000"/>
                <w:sz w:val="20"/>
                <w:szCs w:val="20"/>
              </w:rPr>
              <w:t>4,211 </w:t>
            </w:r>
          </w:p>
        </w:tc>
        <w:tc>
          <w:tcPr>
            <w:tcW w:w="0" w:type="auto"/>
            <w:shd w:val="clear" w:color="auto" w:fill="CCEEFF"/>
            <w:tcMar>
              <w:top w:w="40" w:type="dxa"/>
              <w:left w:w="0" w:type="dxa"/>
              <w:bottom w:w="40" w:type="dxa"/>
              <w:right w:w="20" w:type="dxa"/>
            </w:tcMar>
            <w:vAlign w:val="bottom"/>
          </w:tcPr>
          <w:p w14:paraId="7B66E71C" w14:textId="77777777" w:rsidR="0040300B" w:rsidRDefault="0040300B">
            <w:pPr>
              <w:jc w:val="right"/>
              <w:rPr>
                <w:rFonts w:ascii="宋体"/>
              </w:rPr>
            </w:pPr>
          </w:p>
        </w:tc>
      </w:tr>
      <w:tr w:rsidR="0040300B" w14:paraId="7B66E72A" w14:textId="77777777">
        <w:trPr>
          <w:jc w:val="center"/>
        </w:trPr>
        <w:tc>
          <w:tcPr>
            <w:tcW w:w="0" w:type="auto"/>
            <w:gridSpan w:val="3"/>
            <w:shd w:val="clear" w:color="auto" w:fill="FFFFFF"/>
            <w:tcMar>
              <w:top w:w="40" w:type="dxa"/>
              <w:left w:w="380" w:type="dxa"/>
              <w:bottom w:w="40" w:type="dxa"/>
              <w:right w:w="20" w:type="dxa"/>
            </w:tcMar>
            <w:vAlign w:val="bottom"/>
          </w:tcPr>
          <w:p w14:paraId="7B66E71E" w14:textId="77777777" w:rsidR="0040300B" w:rsidRDefault="00BB2D44">
            <w:pPr>
              <w:textAlignment w:val="bottom"/>
            </w:pPr>
            <w:r>
              <w:rPr>
                <w:rFonts w:ascii="Times New Roman" w:eastAsia="宋体" w:hAnsi="Times New Roman"/>
                <w:color w:val="000000"/>
                <w:sz w:val="20"/>
                <w:szCs w:val="20"/>
              </w:rPr>
              <w:t>Security</w:t>
            </w:r>
          </w:p>
        </w:tc>
        <w:tc>
          <w:tcPr>
            <w:tcW w:w="0" w:type="auto"/>
            <w:gridSpan w:val="2"/>
            <w:shd w:val="clear" w:color="auto" w:fill="FFFFFF"/>
            <w:tcMar>
              <w:top w:w="40" w:type="dxa"/>
              <w:left w:w="20" w:type="dxa"/>
              <w:bottom w:w="40" w:type="dxa"/>
              <w:right w:w="0" w:type="dxa"/>
            </w:tcMar>
            <w:vAlign w:val="bottom"/>
          </w:tcPr>
          <w:p w14:paraId="7B66E71F" w14:textId="77777777" w:rsidR="0040300B" w:rsidRDefault="00BB2D44">
            <w:pPr>
              <w:jc w:val="right"/>
              <w:textAlignment w:val="bottom"/>
            </w:pPr>
            <w:r>
              <w:rPr>
                <w:rFonts w:ascii="Times New Roman" w:eastAsia="宋体" w:hAnsi="Times New Roman"/>
                <w:color w:val="000000"/>
                <w:sz w:val="20"/>
                <w:szCs w:val="20"/>
              </w:rPr>
              <w:t>876 </w:t>
            </w:r>
          </w:p>
        </w:tc>
        <w:tc>
          <w:tcPr>
            <w:tcW w:w="0" w:type="auto"/>
            <w:shd w:val="clear" w:color="auto" w:fill="FFFFFF"/>
            <w:tcMar>
              <w:top w:w="40" w:type="dxa"/>
              <w:left w:w="0" w:type="dxa"/>
              <w:bottom w:w="40" w:type="dxa"/>
              <w:right w:w="20" w:type="dxa"/>
            </w:tcMar>
            <w:vAlign w:val="bottom"/>
          </w:tcPr>
          <w:p w14:paraId="7B66E72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2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22" w14:textId="77777777" w:rsidR="0040300B" w:rsidRDefault="00BB2D44">
            <w:pPr>
              <w:jc w:val="right"/>
              <w:textAlignment w:val="bottom"/>
            </w:pPr>
            <w:r>
              <w:rPr>
                <w:rFonts w:ascii="Times New Roman" w:eastAsia="宋体" w:hAnsi="Times New Roman"/>
                <w:color w:val="000000"/>
                <w:sz w:val="20"/>
                <w:szCs w:val="20"/>
              </w:rPr>
              <w:t>778 </w:t>
            </w:r>
          </w:p>
        </w:tc>
        <w:tc>
          <w:tcPr>
            <w:tcW w:w="0" w:type="auto"/>
            <w:shd w:val="clear" w:color="auto" w:fill="FFFFFF"/>
            <w:tcMar>
              <w:top w:w="40" w:type="dxa"/>
              <w:left w:w="0" w:type="dxa"/>
              <w:bottom w:w="40" w:type="dxa"/>
              <w:right w:w="20" w:type="dxa"/>
            </w:tcMar>
            <w:vAlign w:val="bottom"/>
          </w:tcPr>
          <w:p w14:paraId="7B66E72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2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25" w14:textId="77777777" w:rsidR="0040300B" w:rsidRDefault="00BB2D44">
            <w:pPr>
              <w:jc w:val="right"/>
              <w:textAlignment w:val="bottom"/>
            </w:pPr>
            <w:r>
              <w:rPr>
                <w:rFonts w:ascii="Times New Roman" w:eastAsia="宋体" w:hAnsi="Times New Roman"/>
                <w:color w:val="000000"/>
                <w:sz w:val="20"/>
                <w:szCs w:val="20"/>
              </w:rPr>
              <w:t>2,559 </w:t>
            </w:r>
          </w:p>
        </w:tc>
        <w:tc>
          <w:tcPr>
            <w:tcW w:w="0" w:type="auto"/>
            <w:shd w:val="clear" w:color="auto" w:fill="FFFFFF"/>
            <w:tcMar>
              <w:top w:w="40" w:type="dxa"/>
              <w:left w:w="0" w:type="dxa"/>
              <w:bottom w:w="40" w:type="dxa"/>
              <w:right w:w="20" w:type="dxa"/>
            </w:tcMar>
            <w:vAlign w:val="bottom"/>
          </w:tcPr>
          <w:p w14:paraId="7B66E72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2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28" w14:textId="77777777" w:rsidR="0040300B" w:rsidRDefault="00BB2D44">
            <w:pPr>
              <w:jc w:val="right"/>
              <w:textAlignment w:val="bottom"/>
            </w:pPr>
            <w:r>
              <w:rPr>
                <w:rFonts w:ascii="Times New Roman" w:eastAsia="宋体" w:hAnsi="Times New Roman"/>
                <w:color w:val="000000"/>
                <w:sz w:val="20"/>
                <w:szCs w:val="20"/>
              </w:rPr>
              <w:t>2,343 </w:t>
            </w:r>
          </w:p>
        </w:tc>
        <w:tc>
          <w:tcPr>
            <w:tcW w:w="0" w:type="auto"/>
            <w:shd w:val="clear" w:color="auto" w:fill="FFFFFF"/>
            <w:tcMar>
              <w:top w:w="40" w:type="dxa"/>
              <w:left w:w="0" w:type="dxa"/>
              <w:bottom w:w="40" w:type="dxa"/>
              <w:right w:w="20" w:type="dxa"/>
            </w:tcMar>
            <w:vAlign w:val="bottom"/>
          </w:tcPr>
          <w:p w14:paraId="7B66E729" w14:textId="77777777" w:rsidR="0040300B" w:rsidRDefault="0040300B">
            <w:pPr>
              <w:jc w:val="right"/>
              <w:rPr>
                <w:rFonts w:ascii="宋体"/>
              </w:rPr>
            </w:pPr>
          </w:p>
        </w:tc>
      </w:tr>
      <w:tr w:rsidR="0040300B" w14:paraId="7B66E737" w14:textId="77777777">
        <w:trPr>
          <w:jc w:val="center"/>
        </w:trPr>
        <w:tc>
          <w:tcPr>
            <w:tcW w:w="0" w:type="auto"/>
            <w:gridSpan w:val="3"/>
            <w:shd w:val="clear" w:color="auto" w:fill="CCEEFF"/>
            <w:tcMar>
              <w:top w:w="40" w:type="dxa"/>
              <w:left w:w="380" w:type="dxa"/>
              <w:bottom w:w="40" w:type="dxa"/>
              <w:right w:w="20" w:type="dxa"/>
            </w:tcMar>
            <w:vAlign w:val="bottom"/>
          </w:tcPr>
          <w:p w14:paraId="7B66E72B" w14:textId="77777777" w:rsidR="0040300B" w:rsidRDefault="00BB2D44">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7B66E72C"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6E72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2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2F"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B66E73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3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32" w14:textId="77777777" w:rsidR="0040300B" w:rsidRDefault="00BB2D4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B66E7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3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35" w14:textId="77777777" w:rsidR="0040300B" w:rsidRDefault="00BB2D4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B66E736" w14:textId="77777777" w:rsidR="0040300B" w:rsidRDefault="0040300B">
            <w:pPr>
              <w:jc w:val="right"/>
              <w:rPr>
                <w:rFonts w:ascii="宋体"/>
              </w:rPr>
            </w:pPr>
          </w:p>
        </w:tc>
      </w:tr>
      <w:tr w:rsidR="0040300B" w14:paraId="7B66E744" w14:textId="77777777">
        <w:trPr>
          <w:jc w:val="center"/>
        </w:trPr>
        <w:tc>
          <w:tcPr>
            <w:tcW w:w="0" w:type="auto"/>
            <w:gridSpan w:val="3"/>
            <w:shd w:val="clear" w:color="auto" w:fill="FFFFFF"/>
            <w:tcMar>
              <w:top w:w="40" w:type="dxa"/>
              <w:left w:w="740" w:type="dxa"/>
              <w:bottom w:w="40" w:type="dxa"/>
              <w:right w:w="20" w:type="dxa"/>
            </w:tcMar>
          </w:tcPr>
          <w:p w14:paraId="7B66E738" w14:textId="77777777" w:rsidR="0040300B" w:rsidRDefault="00BB2D44">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739" w14:textId="77777777" w:rsidR="0040300B" w:rsidRDefault="00BB2D44">
            <w:pPr>
              <w:jc w:val="right"/>
              <w:textAlignment w:val="bottom"/>
            </w:pPr>
            <w:r>
              <w:rPr>
                <w:rFonts w:ascii="Times New Roman" w:eastAsia="宋体" w:hAnsi="Times New Roman"/>
                <w:color w:val="000000"/>
                <w:sz w:val="20"/>
                <w:szCs w:val="20"/>
              </w:rPr>
              <w:t>9,139 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73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3B"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73C" w14:textId="77777777" w:rsidR="0040300B" w:rsidRDefault="00BB2D44">
            <w:pPr>
              <w:jc w:val="right"/>
              <w:textAlignment w:val="bottom"/>
            </w:pPr>
            <w:r>
              <w:rPr>
                <w:rFonts w:ascii="Times New Roman" w:eastAsia="宋体" w:hAnsi="Times New Roman"/>
                <w:color w:val="000000"/>
                <w:sz w:val="20"/>
                <w:szCs w:val="20"/>
              </w:rPr>
              <w:t>8,597 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7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3E"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73F"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7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41"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742"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743" w14:textId="77777777" w:rsidR="0040300B" w:rsidRDefault="0040300B">
            <w:pPr>
              <w:jc w:val="right"/>
              <w:rPr>
                <w:rFonts w:ascii="宋体"/>
              </w:rPr>
            </w:pPr>
          </w:p>
        </w:tc>
      </w:tr>
      <w:tr w:rsidR="0040300B" w14:paraId="7B66E751" w14:textId="77777777">
        <w:trPr>
          <w:jc w:val="center"/>
        </w:trPr>
        <w:tc>
          <w:tcPr>
            <w:tcW w:w="0" w:type="auto"/>
            <w:gridSpan w:val="3"/>
            <w:shd w:val="clear" w:color="auto" w:fill="CCEEFF"/>
            <w:tcMar>
              <w:top w:w="40" w:type="dxa"/>
              <w:left w:w="380" w:type="dxa"/>
              <w:bottom w:w="40" w:type="dxa"/>
              <w:right w:w="20" w:type="dxa"/>
            </w:tcMar>
          </w:tcPr>
          <w:p w14:paraId="7B66E745" w14:textId="77777777" w:rsidR="0040300B" w:rsidRDefault="00BB2D44">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B66E746" w14:textId="77777777" w:rsidR="0040300B" w:rsidRDefault="00BB2D44">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7B66E74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4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49" w14:textId="77777777" w:rsidR="0040300B" w:rsidRDefault="00BB2D44">
            <w:pPr>
              <w:jc w:val="right"/>
              <w:textAlignment w:val="bottom"/>
            </w:pPr>
            <w:r>
              <w:rPr>
                <w:rFonts w:ascii="Times New Roman" w:eastAsia="宋体" w:hAnsi="Times New Roman"/>
                <w:color w:val="000000"/>
                <w:sz w:val="20"/>
                <w:szCs w:val="20"/>
              </w:rPr>
              <w:t>3,386 </w:t>
            </w:r>
          </w:p>
        </w:tc>
        <w:tc>
          <w:tcPr>
            <w:tcW w:w="0" w:type="auto"/>
            <w:shd w:val="clear" w:color="auto" w:fill="CCEEFF"/>
            <w:tcMar>
              <w:top w:w="40" w:type="dxa"/>
              <w:left w:w="0" w:type="dxa"/>
              <w:bottom w:w="40" w:type="dxa"/>
              <w:right w:w="20" w:type="dxa"/>
            </w:tcMar>
            <w:vAlign w:val="bottom"/>
          </w:tcPr>
          <w:p w14:paraId="7B66E74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4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4C" w14:textId="77777777" w:rsidR="0040300B" w:rsidRDefault="00BB2D44">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7B66E74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4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74F" w14:textId="77777777" w:rsidR="0040300B" w:rsidRDefault="00BB2D44">
            <w:pPr>
              <w:jc w:val="right"/>
              <w:textAlignment w:val="bottom"/>
            </w:pPr>
            <w:r>
              <w:rPr>
                <w:rFonts w:ascii="Times New Roman" w:eastAsia="宋体" w:hAnsi="Times New Roman"/>
                <w:color w:val="000000"/>
                <w:sz w:val="20"/>
                <w:szCs w:val="20"/>
              </w:rPr>
              <w:t>10,001 </w:t>
            </w:r>
          </w:p>
        </w:tc>
        <w:tc>
          <w:tcPr>
            <w:tcW w:w="0" w:type="auto"/>
            <w:shd w:val="clear" w:color="auto" w:fill="CCEEFF"/>
            <w:tcMar>
              <w:top w:w="40" w:type="dxa"/>
              <w:left w:w="0" w:type="dxa"/>
              <w:bottom w:w="40" w:type="dxa"/>
              <w:right w:w="20" w:type="dxa"/>
            </w:tcMar>
            <w:vAlign w:val="bottom"/>
          </w:tcPr>
          <w:p w14:paraId="7B66E750" w14:textId="77777777" w:rsidR="0040300B" w:rsidRDefault="0040300B">
            <w:pPr>
              <w:jc w:val="right"/>
              <w:rPr>
                <w:rFonts w:ascii="宋体"/>
              </w:rPr>
            </w:pPr>
          </w:p>
        </w:tc>
      </w:tr>
      <w:tr w:rsidR="0040300B" w14:paraId="7B66E762" w14:textId="77777777">
        <w:trPr>
          <w:jc w:val="center"/>
        </w:trPr>
        <w:tc>
          <w:tcPr>
            <w:tcW w:w="0" w:type="auto"/>
            <w:gridSpan w:val="3"/>
            <w:shd w:val="clear" w:color="auto" w:fill="FFFFFF"/>
            <w:tcMar>
              <w:top w:w="40" w:type="dxa"/>
              <w:left w:w="1235" w:type="dxa"/>
              <w:bottom w:w="40" w:type="dxa"/>
              <w:right w:w="20" w:type="dxa"/>
            </w:tcMar>
          </w:tcPr>
          <w:p w14:paraId="7B66E752"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75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754"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75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5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75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758"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75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5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75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75C"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75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5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75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760"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761" w14:textId="77777777" w:rsidR="0040300B" w:rsidRDefault="0040300B">
            <w:pPr>
              <w:jc w:val="right"/>
              <w:rPr>
                <w:rFonts w:ascii="宋体"/>
              </w:rPr>
            </w:pPr>
          </w:p>
        </w:tc>
      </w:tr>
    </w:tbl>
    <w:p w14:paraId="7B66E763" w14:textId="77777777" w:rsidR="0040300B" w:rsidRDefault="00BB2D44">
      <w:pPr>
        <w:spacing w:before="120"/>
        <w:jc w:val="both"/>
      </w:pPr>
      <w:r>
        <w:rPr>
          <w:rFonts w:ascii="Times New Roman" w:eastAsia="宋体" w:hAnsi="Times New Roman"/>
          <w:color w:val="000000"/>
          <w:sz w:val="20"/>
          <w:szCs w:val="20"/>
        </w:rPr>
        <w:t>Amounts may not sum due to rounding. We have made certain reclassifications to the product reve</w:t>
      </w:r>
      <w:r>
        <w:rPr>
          <w:rFonts w:ascii="Times New Roman" w:eastAsia="宋体" w:hAnsi="Times New Roman"/>
          <w:color w:val="000000"/>
          <w:sz w:val="20"/>
          <w:szCs w:val="20"/>
        </w:rPr>
        <w:t>nue amounts for prior period to conform to the current year presentation.</w:t>
      </w:r>
    </w:p>
    <w:p w14:paraId="7B66E764" w14:textId="77777777" w:rsidR="0040300B" w:rsidRDefault="00BB2D44">
      <w:pPr>
        <w:spacing w:before="120"/>
        <w:jc w:val="both"/>
      </w:pPr>
      <w:r>
        <w:rPr>
          <w:rFonts w:ascii="Times New Roman" w:eastAsia="宋体" w:hAnsi="Times New Roman"/>
          <w:color w:val="000000"/>
          <w:sz w:val="20"/>
          <w:szCs w:val="20"/>
        </w:rPr>
        <w:t>Infrastructure Platforms consist of our core networking technologies of switching, routing, wireless, and data center products that are designed to work together to deliver networkin</w:t>
      </w:r>
      <w:r>
        <w:rPr>
          <w:rFonts w:ascii="Times New Roman" w:eastAsia="宋体" w:hAnsi="Times New Roman"/>
          <w:color w:val="000000"/>
          <w:sz w:val="20"/>
          <w:szCs w:val="20"/>
        </w:rPr>
        <w:t>g capabilities and transport and/or store data. These technologies consist of both hardware and software offerings, including software licenses and SaaS, that help our customers build networks, automate, orchestrate, integrate, and digitize data. We are sh</w:t>
      </w:r>
      <w:r>
        <w:rPr>
          <w:rFonts w:ascii="Times New Roman" w:eastAsia="宋体" w:hAnsi="Times New Roman"/>
          <w:color w:val="000000"/>
          <w:sz w:val="20"/>
          <w:szCs w:val="20"/>
        </w:rPr>
        <w:t>ifting and expanding more of our business to software and subscriptions across our core networking portfolio. Our hardware and perpetual software in this category are distinct performance obligations where revenue is recognized upfront upon transfer of con</w:t>
      </w:r>
      <w:r>
        <w:rPr>
          <w:rFonts w:ascii="Times New Roman" w:eastAsia="宋体" w:hAnsi="Times New Roman"/>
          <w:color w:val="000000"/>
          <w:sz w:val="20"/>
          <w:szCs w:val="20"/>
        </w:rPr>
        <w:t>trol. Term software licenses are multiple performance obligations where the term license is recognized upfront upon transfer of control with the associated software maintenance revenue recognized ratably over the contract term. SaaS arrangements in this ca</w:t>
      </w:r>
      <w:r>
        <w:rPr>
          <w:rFonts w:ascii="Times New Roman" w:eastAsia="宋体" w:hAnsi="Times New Roman"/>
          <w:color w:val="000000"/>
          <w:sz w:val="20"/>
          <w:szCs w:val="20"/>
        </w:rPr>
        <w:t>tegory have one distinct performance obligation which is satisfied over time with revenue recognized ratably over the contract term.</w:t>
      </w:r>
    </w:p>
    <w:p w14:paraId="7B66E765" w14:textId="77777777" w:rsidR="0040300B" w:rsidRDefault="00BB2D44">
      <w:pPr>
        <w:spacing w:before="120"/>
        <w:jc w:val="both"/>
      </w:pPr>
      <w:r>
        <w:rPr>
          <w:rFonts w:ascii="Times New Roman" w:eastAsia="宋体" w:hAnsi="Times New Roman"/>
          <w:color w:val="000000"/>
          <w:sz w:val="20"/>
          <w:szCs w:val="20"/>
        </w:rPr>
        <w:t>Applications consists of offerings that utilize the core networking and data center platforms to provide their functions. T</w:t>
      </w:r>
      <w:r>
        <w:rPr>
          <w:rFonts w:ascii="Times New Roman" w:eastAsia="宋体" w:hAnsi="Times New Roman"/>
          <w:color w:val="000000"/>
          <w:sz w:val="20"/>
          <w:szCs w:val="20"/>
        </w:rPr>
        <w:t>he products consist primarily of software offerings, including software licenses and SaaS, as well as hardware. Our perpetual software and hardware in this category are distinct performance obligations where revenue is recognized upfront upon transfer of c</w:t>
      </w:r>
      <w:r>
        <w:rPr>
          <w:rFonts w:ascii="Times New Roman" w:eastAsia="宋体" w:hAnsi="Times New Roman"/>
          <w:color w:val="000000"/>
          <w:sz w:val="20"/>
          <w:szCs w:val="20"/>
        </w:rPr>
        <w:t xml:space="preserve">ontrol. Term software licenses are multiple performance obligations where the term license is recognized upfront upon </w:t>
      </w:r>
    </w:p>
    <w:p w14:paraId="7B66E766" w14:textId="77777777" w:rsidR="0040300B" w:rsidRDefault="00BB2D44">
      <w:pPr>
        <w:jc w:val="center"/>
      </w:pPr>
      <w:r>
        <w:rPr>
          <w:rFonts w:ascii="Times New Roman" w:eastAsia="宋体" w:hAnsi="Times New Roman"/>
          <w:color w:val="000000"/>
          <w:sz w:val="20"/>
          <w:szCs w:val="20"/>
        </w:rPr>
        <w:t>11</w:t>
      </w:r>
    </w:p>
    <w:p w14:paraId="7B66E767" w14:textId="77777777" w:rsidR="0040300B" w:rsidRDefault="00BB2D44">
      <w:r>
        <w:pict w14:anchorId="7B671C1B">
          <v:rect id="_x0000_i1035" style="width:415.3pt;height:1.5pt" o:hralign="center" o:hrstd="t" o:hr="t" fillcolor="#a0a0a0" stroked="f"/>
        </w:pict>
      </w:r>
    </w:p>
    <w:p w14:paraId="7B66E768" w14:textId="77777777" w:rsidR="0040300B" w:rsidRDefault="00BB2D44">
      <w:hyperlink r:id="rId57" w:anchor="i52d5b40dbad7426a9806a2fd5167029f_7" w:history="1">
        <w:r>
          <w:rPr>
            <w:rStyle w:val="a5"/>
            <w:rFonts w:ascii="Times New Roman" w:eastAsia="宋体" w:hAnsi="Times New Roman"/>
            <w:sz w:val="18"/>
            <w:szCs w:val="18"/>
          </w:rPr>
          <w:t>Table of Contents</w:t>
        </w:r>
      </w:hyperlink>
    </w:p>
    <w:p w14:paraId="7B66E769" w14:textId="77777777" w:rsidR="0040300B" w:rsidRDefault="00BB2D44">
      <w:pPr>
        <w:jc w:val="center"/>
      </w:pPr>
      <w:r>
        <w:rPr>
          <w:rFonts w:ascii="Times New Roman" w:eastAsia="宋体" w:hAnsi="Times New Roman"/>
          <w:b/>
          <w:bCs/>
          <w:color w:val="000000"/>
          <w:sz w:val="18"/>
          <w:szCs w:val="18"/>
        </w:rPr>
        <w:t>CISCO SYSTEMS, INC.</w:t>
      </w:r>
    </w:p>
    <w:p w14:paraId="7B66E76A"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76B" w14:textId="77777777" w:rsidR="0040300B" w:rsidRDefault="00BB2D44">
      <w:pPr>
        <w:jc w:val="center"/>
      </w:pPr>
      <w:r>
        <w:rPr>
          <w:rFonts w:ascii="Times New Roman" w:eastAsia="宋体" w:hAnsi="Times New Roman"/>
          <w:b/>
          <w:bCs/>
          <w:color w:val="000000"/>
          <w:sz w:val="18"/>
          <w:szCs w:val="18"/>
        </w:rPr>
        <w:t xml:space="preserve">(Unaudited) </w:t>
      </w:r>
    </w:p>
    <w:p w14:paraId="7B66E76C" w14:textId="77777777" w:rsidR="0040300B" w:rsidRDefault="0040300B">
      <w:pPr>
        <w:jc w:val="center"/>
      </w:pPr>
    </w:p>
    <w:p w14:paraId="7B66E76D" w14:textId="77777777" w:rsidR="0040300B" w:rsidRDefault="00BB2D44">
      <w:pPr>
        <w:spacing w:before="120"/>
        <w:jc w:val="both"/>
      </w:pPr>
      <w:r>
        <w:rPr>
          <w:rFonts w:ascii="Times New Roman" w:eastAsia="宋体" w:hAnsi="Times New Roman"/>
          <w:color w:val="000000"/>
          <w:sz w:val="20"/>
          <w:szCs w:val="20"/>
        </w:rPr>
        <w:t>transfer of control with the associated software maintenance revenue recognized ratably over the contract term. SaaS arrangements in this category have one distinct performance obligation which is satisfied over time with revenue recognized ratably over th</w:t>
      </w:r>
      <w:r>
        <w:rPr>
          <w:rFonts w:ascii="Times New Roman" w:eastAsia="宋体" w:hAnsi="Times New Roman"/>
          <w:color w:val="000000"/>
          <w:sz w:val="20"/>
          <w:szCs w:val="20"/>
        </w:rPr>
        <w:t xml:space="preserve">e contract term. </w:t>
      </w:r>
    </w:p>
    <w:p w14:paraId="7B66E76E" w14:textId="77777777" w:rsidR="0040300B" w:rsidRDefault="00BB2D44">
      <w:pPr>
        <w:spacing w:before="120"/>
        <w:jc w:val="both"/>
      </w:pPr>
      <w:r>
        <w:rPr>
          <w:rFonts w:ascii="Times New Roman" w:eastAsia="宋体" w:hAnsi="Times New Roman"/>
          <w:color w:val="000000"/>
          <w:sz w:val="20"/>
          <w:szCs w:val="20"/>
        </w:rPr>
        <w:t>Security primarily includes our network security, cloud and email security, identity and access management, advanced threat protection, and unified threat management products. These products consist of both hardware and software offerings</w:t>
      </w:r>
      <w:r>
        <w:rPr>
          <w:rFonts w:ascii="Times New Roman" w:eastAsia="宋体" w:hAnsi="Times New Roman"/>
          <w:color w:val="000000"/>
          <w:sz w:val="20"/>
          <w:szCs w:val="20"/>
        </w:rPr>
        <w:t>, including software licenses and SaaS. Updates and upgrades for the term software licenses are critical for our software to perform its intended commercial purpose because of the continuous need for our software to secure our customers' network environmen</w:t>
      </w:r>
      <w:r>
        <w:rPr>
          <w:rFonts w:ascii="Times New Roman" w:eastAsia="宋体" w:hAnsi="Times New Roman"/>
          <w:color w:val="000000"/>
          <w:sz w:val="20"/>
          <w:szCs w:val="20"/>
        </w:rPr>
        <w:t>ts against frequent threats. Therefore, security software licenses are generally represented by a single distinct performance obligation with revenue recognized ratably over the contract term. Our hardware and perpetual software in this category are distin</w:t>
      </w:r>
      <w:r>
        <w:rPr>
          <w:rFonts w:ascii="Times New Roman" w:eastAsia="宋体" w:hAnsi="Times New Roman"/>
          <w:color w:val="000000"/>
          <w:sz w:val="20"/>
          <w:szCs w:val="20"/>
        </w:rPr>
        <w:t xml:space="preserve">ct performance obligations where revenue is recognized upfront upon transfer of control. SaaS arrangements in this category have one distinct performance obligation which is satisfied over time with revenue recognized ratably over the contract term. </w:t>
      </w:r>
    </w:p>
    <w:p w14:paraId="7B66E76F" w14:textId="77777777" w:rsidR="0040300B" w:rsidRDefault="00BB2D44">
      <w:pPr>
        <w:spacing w:before="120"/>
        <w:jc w:val="both"/>
      </w:pPr>
      <w:r>
        <w:rPr>
          <w:rFonts w:ascii="Times New Roman" w:eastAsia="宋体" w:hAnsi="Times New Roman"/>
          <w:color w:val="000000"/>
          <w:sz w:val="20"/>
          <w:szCs w:val="20"/>
        </w:rPr>
        <w:t>Other</w:t>
      </w:r>
      <w:r>
        <w:rPr>
          <w:rFonts w:ascii="Times New Roman" w:eastAsia="宋体" w:hAnsi="Times New Roman"/>
          <w:color w:val="000000"/>
          <w:sz w:val="20"/>
          <w:szCs w:val="20"/>
        </w:rPr>
        <w:t xml:space="preserve"> Products primarily includes our cloud and system management products. These products include both hardware and software licenses. Our offerings in this category are distinct performance obligations where revenue is recognized upfront upon transfer of cont</w:t>
      </w:r>
      <w:r>
        <w:rPr>
          <w:rFonts w:ascii="Times New Roman" w:eastAsia="宋体" w:hAnsi="Times New Roman"/>
          <w:color w:val="000000"/>
          <w:sz w:val="20"/>
          <w:szCs w:val="20"/>
        </w:rPr>
        <w:t xml:space="preserve">rol. </w:t>
      </w:r>
    </w:p>
    <w:p w14:paraId="7B66E770" w14:textId="77777777" w:rsidR="0040300B" w:rsidRDefault="00BB2D44">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including technical support services and advanced services. Technical support services represent the majority of these offerings which ar</w:t>
      </w:r>
      <w:r>
        <w:rPr>
          <w:rFonts w:ascii="Times New Roman" w:eastAsia="宋体" w:hAnsi="Times New Roman"/>
          <w:color w:val="000000"/>
          <w:sz w:val="20"/>
          <w:szCs w:val="20"/>
        </w:rPr>
        <w:t xml:space="preserve">e distinct performance obligations that are satisfied over time with revenue recognized ratably over the contract term. Advanced services are distinct performance obligations that are satisfied over time with revenue recognized as services are delivered. </w:t>
      </w:r>
    </w:p>
    <w:p w14:paraId="7B66E771" w14:textId="77777777" w:rsidR="0040300B" w:rsidRDefault="00BB2D44">
      <w:pPr>
        <w:spacing w:before="120"/>
        <w:jc w:val="both"/>
      </w:pPr>
      <w:r>
        <w:rPr>
          <w:rFonts w:ascii="Times New Roman" w:eastAsia="宋体" w:hAnsi="Times New Roman"/>
          <w:color w:val="000000"/>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w:t>
      </w:r>
      <w:r>
        <w:rPr>
          <w:rFonts w:ascii="Times New Roman" w:eastAsia="宋体" w:hAnsi="Times New Roman"/>
          <w:color w:val="000000"/>
          <w:sz w:val="20"/>
          <w:szCs w:val="20"/>
        </w:rPr>
        <w:t>ents to customers for all of our hardware, software and service offerings. Refer to Note 9 for additional information. For these arrangements, cash is typically received over time.</w:t>
      </w:r>
    </w:p>
    <w:p w14:paraId="7B66E772" w14:textId="77777777" w:rsidR="0040300B" w:rsidRDefault="00BB2D44">
      <w:pPr>
        <w:spacing w:before="100" w:after="100"/>
        <w:ind w:hanging="360"/>
        <w:jc w:val="both"/>
      </w:pPr>
      <w:r>
        <w:rPr>
          <w:rFonts w:ascii="Times New Roman" w:eastAsia="宋体" w:hAnsi="Times New Roman"/>
          <w:b/>
          <w:bCs/>
          <w:color w:val="000000"/>
          <w:sz w:val="20"/>
          <w:szCs w:val="20"/>
        </w:rPr>
        <w:t>(b)Contract Balances</w:t>
      </w:r>
    </w:p>
    <w:p w14:paraId="7B66E773" w14:textId="77777777" w:rsidR="0040300B" w:rsidRDefault="00BB2D44">
      <w:pPr>
        <w:spacing w:before="120"/>
        <w:jc w:val="both"/>
      </w:pPr>
      <w:r>
        <w:rPr>
          <w:rFonts w:ascii="Times New Roman" w:eastAsia="宋体" w:hAnsi="Times New Roman"/>
          <w:color w:val="000000"/>
          <w:sz w:val="20"/>
          <w:szCs w:val="20"/>
        </w:rPr>
        <w:t>Accounts receivable, net was $4.4 billion as of May 1,</w:t>
      </w:r>
      <w:r>
        <w:rPr>
          <w:rFonts w:ascii="Times New Roman" w:eastAsia="宋体" w:hAnsi="Times New Roman"/>
          <w:color w:val="000000"/>
          <w:sz w:val="20"/>
          <w:szCs w:val="20"/>
        </w:rPr>
        <w:t xml:space="preserve"> 2021 compared to $5.5 billion as of July 25, 2020, as reported on the Consolidated Balance Sheets. </w:t>
      </w:r>
    </w:p>
    <w:p w14:paraId="7B66E774" w14:textId="77777777" w:rsidR="0040300B" w:rsidRDefault="00BB2D44">
      <w:pPr>
        <w:spacing w:before="120"/>
        <w:jc w:val="both"/>
      </w:pPr>
      <w:r>
        <w:rPr>
          <w:rFonts w:ascii="Times New Roman" w:eastAsia="宋体" w:hAnsi="Times New Roman"/>
          <w:color w:val="000000"/>
          <w:sz w:val="20"/>
          <w:szCs w:val="20"/>
        </w:rPr>
        <w:t>Contract assets consist of unbilled receivables and are recorded when revenue is recognized in advance of scheduled billings to our customers. These amount</w:t>
      </w:r>
      <w:r>
        <w:rPr>
          <w:rFonts w:ascii="Times New Roman" w:eastAsia="宋体" w:hAnsi="Times New Roman"/>
          <w:color w:val="000000"/>
          <w:sz w:val="20"/>
          <w:szCs w:val="20"/>
        </w:rPr>
        <w:t>s are primarily related to software and service arrangements where transfer of control has occurred but we have not yet invoiced. Our contract assets for these unbilled receivables, net of allowances, were $1.3 billion and $1.2 billion as of May 1, 2021 an</w:t>
      </w:r>
      <w:r>
        <w:rPr>
          <w:rFonts w:ascii="Times New Roman" w:eastAsia="宋体" w:hAnsi="Times New Roman"/>
          <w:color w:val="000000"/>
          <w:sz w:val="20"/>
          <w:szCs w:val="20"/>
        </w:rPr>
        <w:t>d July 25, 2020, respectively, and were included in other current assets and other assets.</w:t>
      </w:r>
    </w:p>
    <w:p w14:paraId="7B66E775" w14:textId="77777777" w:rsidR="0040300B" w:rsidRDefault="00BB2D44">
      <w:pPr>
        <w:spacing w:before="120"/>
        <w:jc w:val="both"/>
      </w:pPr>
      <w:r>
        <w:rPr>
          <w:rFonts w:ascii="Times New Roman" w:eastAsia="宋体" w:hAnsi="Times New Roman"/>
          <w:color w:val="000000"/>
          <w:sz w:val="20"/>
          <w:szCs w:val="20"/>
        </w:rPr>
        <w:t xml:space="preserve">Gross contract assets by our internal risk ratings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7"/>
        <w:gridCol w:w="120"/>
        <w:gridCol w:w="1095"/>
        <w:gridCol w:w="36"/>
      </w:tblGrid>
      <w:tr w:rsidR="0040300B" w14:paraId="7B66E77C" w14:textId="77777777">
        <w:tc>
          <w:tcPr>
            <w:tcW w:w="50" w:type="pct"/>
            <w:shd w:val="clear" w:color="auto" w:fill="auto"/>
          </w:tcPr>
          <w:p w14:paraId="7B66E776" w14:textId="77777777" w:rsidR="0040300B" w:rsidRDefault="0040300B">
            <w:pPr>
              <w:rPr>
                <w:rFonts w:ascii="宋体"/>
              </w:rPr>
            </w:pPr>
          </w:p>
        </w:tc>
        <w:tc>
          <w:tcPr>
            <w:tcW w:w="4214" w:type="pct"/>
            <w:shd w:val="clear" w:color="auto" w:fill="auto"/>
          </w:tcPr>
          <w:p w14:paraId="7B66E777" w14:textId="77777777" w:rsidR="0040300B" w:rsidRDefault="0040300B">
            <w:pPr>
              <w:rPr>
                <w:rFonts w:ascii="宋体"/>
              </w:rPr>
            </w:pPr>
          </w:p>
        </w:tc>
        <w:tc>
          <w:tcPr>
            <w:tcW w:w="5" w:type="pct"/>
            <w:shd w:val="clear" w:color="auto" w:fill="auto"/>
          </w:tcPr>
          <w:p w14:paraId="7B66E778" w14:textId="77777777" w:rsidR="0040300B" w:rsidRDefault="0040300B">
            <w:pPr>
              <w:rPr>
                <w:rFonts w:ascii="宋体"/>
              </w:rPr>
            </w:pPr>
          </w:p>
        </w:tc>
        <w:tc>
          <w:tcPr>
            <w:tcW w:w="50" w:type="pct"/>
            <w:shd w:val="clear" w:color="auto" w:fill="auto"/>
          </w:tcPr>
          <w:p w14:paraId="7B66E779" w14:textId="77777777" w:rsidR="0040300B" w:rsidRDefault="0040300B">
            <w:pPr>
              <w:rPr>
                <w:rFonts w:ascii="宋体"/>
              </w:rPr>
            </w:pPr>
          </w:p>
        </w:tc>
        <w:tc>
          <w:tcPr>
            <w:tcW w:w="675" w:type="pct"/>
            <w:shd w:val="clear" w:color="auto" w:fill="auto"/>
          </w:tcPr>
          <w:p w14:paraId="7B66E77A" w14:textId="77777777" w:rsidR="0040300B" w:rsidRDefault="0040300B">
            <w:pPr>
              <w:rPr>
                <w:rFonts w:ascii="宋体"/>
              </w:rPr>
            </w:pPr>
          </w:p>
        </w:tc>
        <w:tc>
          <w:tcPr>
            <w:tcW w:w="5" w:type="pct"/>
            <w:shd w:val="clear" w:color="auto" w:fill="auto"/>
          </w:tcPr>
          <w:p w14:paraId="7B66E77B" w14:textId="77777777" w:rsidR="0040300B" w:rsidRDefault="0040300B">
            <w:pPr>
              <w:rPr>
                <w:rFonts w:ascii="宋体"/>
              </w:rPr>
            </w:pPr>
          </w:p>
        </w:tc>
      </w:tr>
      <w:tr w:rsidR="0040300B" w14:paraId="7B66E77F" w14:textId="77777777">
        <w:tc>
          <w:tcPr>
            <w:tcW w:w="0" w:type="auto"/>
            <w:gridSpan w:val="3"/>
            <w:shd w:val="clear" w:color="auto" w:fill="auto"/>
            <w:tcMar>
              <w:top w:w="0" w:type="dxa"/>
              <w:left w:w="20" w:type="dxa"/>
              <w:bottom w:w="0" w:type="dxa"/>
              <w:right w:w="20" w:type="dxa"/>
            </w:tcMar>
          </w:tcPr>
          <w:p w14:paraId="7B66E77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77E"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r>
      <w:tr w:rsidR="0040300B" w14:paraId="7B66E784" w14:textId="77777777">
        <w:tc>
          <w:tcPr>
            <w:tcW w:w="0" w:type="auto"/>
            <w:gridSpan w:val="3"/>
            <w:shd w:val="clear" w:color="auto" w:fill="CCEEFF"/>
            <w:tcMar>
              <w:top w:w="40" w:type="dxa"/>
              <w:left w:w="20" w:type="dxa"/>
              <w:bottom w:w="40" w:type="dxa"/>
              <w:right w:w="20" w:type="dxa"/>
            </w:tcMar>
          </w:tcPr>
          <w:p w14:paraId="7B66E780" w14:textId="77777777" w:rsidR="0040300B" w:rsidRDefault="00BB2D44">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78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782" w14:textId="77777777" w:rsidR="0040300B" w:rsidRDefault="00BB2D44">
            <w:pPr>
              <w:jc w:val="right"/>
              <w:textAlignment w:val="bottom"/>
            </w:pPr>
            <w:r>
              <w:rPr>
                <w:rFonts w:ascii="Times New Roman" w:eastAsia="宋体" w:hAnsi="Times New Roman"/>
                <w:color w:val="000000"/>
                <w:sz w:val="20"/>
                <w:szCs w:val="20"/>
              </w:rPr>
              <w:t>379 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783" w14:textId="77777777" w:rsidR="0040300B" w:rsidRDefault="0040300B">
            <w:pPr>
              <w:jc w:val="right"/>
              <w:rPr>
                <w:rFonts w:ascii="宋体"/>
              </w:rPr>
            </w:pPr>
          </w:p>
        </w:tc>
      </w:tr>
      <w:tr w:rsidR="0040300B" w14:paraId="7B66E788" w14:textId="77777777">
        <w:tc>
          <w:tcPr>
            <w:tcW w:w="0" w:type="auto"/>
            <w:gridSpan w:val="3"/>
            <w:shd w:val="clear" w:color="auto" w:fill="FFFFFF"/>
            <w:tcMar>
              <w:top w:w="40" w:type="dxa"/>
              <w:left w:w="20" w:type="dxa"/>
              <w:bottom w:w="40" w:type="dxa"/>
              <w:right w:w="20" w:type="dxa"/>
            </w:tcMar>
            <w:vAlign w:val="bottom"/>
          </w:tcPr>
          <w:p w14:paraId="7B66E785" w14:textId="77777777" w:rsidR="0040300B" w:rsidRDefault="00BB2D44">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7B66E786" w14:textId="77777777" w:rsidR="0040300B" w:rsidRDefault="00BB2D44">
            <w:pPr>
              <w:jc w:val="right"/>
              <w:textAlignment w:val="bottom"/>
            </w:pPr>
            <w:r>
              <w:rPr>
                <w:rFonts w:ascii="Times New Roman" w:eastAsia="宋体" w:hAnsi="Times New Roman"/>
                <w:color w:val="000000"/>
                <w:sz w:val="20"/>
                <w:szCs w:val="20"/>
              </w:rPr>
              <w:t>840 </w:t>
            </w:r>
          </w:p>
        </w:tc>
        <w:tc>
          <w:tcPr>
            <w:tcW w:w="0" w:type="auto"/>
            <w:shd w:val="clear" w:color="auto" w:fill="FFFFFF"/>
            <w:tcMar>
              <w:top w:w="40" w:type="dxa"/>
              <w:left w:w="0" w:type="dxa"/>
              <w:bottom w:w="40" w:type="dxa"/>
              <w:right w:w="20" w:type="dxa"/>
            </w:tcMar>
            <w:vAlign w:val="bottom"/>
          </w:tcPr>
          <w:p w14:paraId="7B66E787" w14:textId="77777777" w:rsidR="0040300B" w:rsidRDefault="0040300B">
            <w:pPr>
              <w:jc w:val="right"/>
              <w:rPr>
                <w:rFonts w:ascii="宋体"/>
              </w:rPr>
            </w:pPr>
          </w:p>
        </w:tc>
      </w:tr>
      <w:tr w:rsidR="0040300B" w14:paraId="7B66E78C" w14:textId="77777777">
        <w:tc>
          <w:tcPr>
            <w:tcW w:w="0" w:type="auto"/>
            <w:gridSpan w:val="3"/>
            <w:shd w:val="clear" w:color="auto" w:fill="CCEEFF"/>
            <w:tcMar>
              <w:top w:w="40" w:type="dxa"/>
              <w:left w:w="20" w:type="dxa"/>
              <w:bottom w:w="40" w:type="dxa"/>
              <w:right w:w="20" w:type="dxa"/>
            </w:tcMar>
            <w:vAlign w:val="bottom"/>
          </w:tcPr>
          <w:p w14:paraId="7B66E789" w14:textId="77777777" w:rsidR="0040300B" w:rsidRDefault="00BB2D44">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7B66E78A" w14:textId="77777777" w:rsidR="0040300B" w:rsidRDefault="00BB2D44">
            <w:pPr>
              <w:jc w:val="right"/>
              <w:textAlignment w:val="bottom"/>
            </w:pPr>
            <w:r>
              <w:rPr>
                <w:rFonts w:ascii="Times New Roman" w:eastAsia="宋体" w:hAnsi="Times New Roman"/>
                <w:color w:val="000000"/>
                <w:sz w:val="20"/>
                <w:szCs w:val="20"/>
              </w:rPr>
              <w:t>91 </w:t>
            </w:r>
          </w:p>
        </w:tc>
        <w:tc>
          <w:tcPr>
            <w:tcW w:w="0" w:type="auto"/>
            <w:shd w:val="clear" w:color="auto" w:fill="CCEEFF"/>
            <w:tcMar>
              <w:top w:w="40" w:type="dxa"/>
              <w:left w:w="0" w:type="dxa"/>
              <w:bottom w:w="40" w:type="dxa"/>
              <w:right w:w="20" w:type="dxa"/>
            </w:tcMar>
            <w:vAlign w:val="bottom"/>
          </w:tcPr>
          <w:p w14:paraId="7B66E78B" w14:textId="77777777" w:rsidR="0040300B" w:rsidRDefault="0040300B">
            <w:pPr>
              <w:jc w:val="right"/>
              <w:rPr>
                <w:rFonts w:ascii="宋体"/>
              </w:rPr>
            </w:pPr>
          </w:p>
        </w:tc>
      </w:tr>
      <w:tr w:rsidR="0040300B" w14:paraId="7B66E791" w14:textId="77777777">
        <w:tc>
          <w:tcPr>
            <w:tcW w:w="0" w:type="auto"/>
            <w:gridSpan w:val="3"/>
            <w:shd w:val="clear" w:color="auto" w:fill="FFFFFF"/>
            <w:tcMar>
              <w:top w:w="40" w:type="dxa"/>
              <w:left w:w="380" w:type="dxa"/>
              <w:bottom w:w="40" w:type="dxa"/>
              <w:right w:w="20" w:type="dxa"/>
            </w:tcMar>
            <w:vAlign w:val="bottom"/>
          </w:tcPr>
          <w:p w14:paraId="7B66E78D"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78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78F" w14:textId="77777777" w:rsidR="0040300B" w:rsidRDefault="00BB2D44">
            <w:pPr>
              <w:jc w:val="right"/>
              <w:textAlignment w:val="bottom"/>
            </w:pPr>
            <w:r>
              <w:rPr>
                <w:rFonts w:ascii="Times New Roman" w:eastAsia="宋体" w:hAnsi="Times New Roman"/>
                <w:color w:val="000000"/>
                <w:sz w:val="20"/>
                <w:szCs w:val="20"/>
              </w:rPr>
              <w:t>1,310 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790" w14:textId="77777777" w:rsidR="0040300B" w:rsidRDefault="0040300B">
            <w:pPr>
              <w:jc w:val="right"/>
              <w:rPr>
                <w:rFonts w:ascii="宋体"/>
              </w:rPr>
            </w:pPr>
          </w:p>
        </w:tc>
      </w:tr>
    </w:tbl>
    <w:p w14:paraId="7B66E792" w14:textId="77777777" w:rsidR="0040300B" w:rsidRDefault="00BB2D44">
      <w:pPr>
        <w:spacing w:before="120"/>
        <w:jc w:val="both"/>
      </w:pPr>
      <w:r>
        <w:rPr>
          <w:rFonts w:ascii="Times New Roman" w:eastAsia="宋体" w:hAnsi="Times New Roman"/>
          <w:color w:val="000000"/>
          <w:sz w:val="20"/>
          <w:szCs w:val="20"/>
        </w:rPr>
        <w:t>Contract liabilities consist of deferred revenue. Deferred revenue was $20.9 billion as of May 1, 2021 compared to $20.4 billion as of July 25, 2020. We recognized approximately $2.6 billion and $9.5 billion of revenue during the third quarter and first ni</w:t>
      </w:r>
      <w:r>
        <w:rPr>
          <w:rFonts w:ascii="Times New Roman" w:eastAsia="宋体" w:hAnsi="Times New Roman"/>
          <w:color w:val="000000"/>
          <w:sz w:val="20"/>
          <w:szCs w:val="20"/>
        </w:rPr>
        <w:t xml:space="preserve">ne months of fiscal 2021, respectively, that was included in the deferred revenue balance at July 25, 2020. </w:t>
      </w:r>
    </w:p>
    <w:p w14:paraId="7B66E793" w14:textId="77777777" w:rsidR="0040300B" w:rsidRDefault="00BB2D44">
      <w:pPr>
        <w:spacing w:before="100" w:after="100"/>
        <w:ind w:hanging="360"/>
      </w:pPr>
      <w:r>
        <w:rPr>
          <w:rFonts w:ascii="Times New Roman" w:eastAsia="宋体" w:hAnsi="Times New Roman"/>
          <w:b/>
          <w:bCs/>
          <w:color w:val="000000"/>
          <w:sz w:val="20"/>
          <w:szCs w:val="20"/>
        </w:rPr>
        <w:t>(c)Capitalized Contract Acquisition Costs</w:t>
      </w:r>
    </w:p>
    <w:p w14:paraId="7B66E794" w14:textId="77777777" w:rsidR="0040300B" w:rsidRDefault="00BB2D44">
      <w:pPr>
        <w:spacing w:before="120"/>
        <w:jc w:val="both"/>
      </w:pPr>
      <w:r>
        <w:rPr>
          <w:rFonts w:ascii="Times New Roman" w:eastAsia="宋体" w:hAnsi="Times New Roman"/>
          <w:color w:val="000000"/>
          <w:sz w:val="20"/>
          <w:szCs w:val="20"/>
        </w:rPr>
        <w:t xml:space="preserve">We capitalize direct and incremental costs incurred to acquire contracts, primarily sales </w:t>
      </w:r>
      <w:r>
        <w:rPr>
          <w:rFonts w:ascii="Times New Roman" w:eastAsia="宋体" w:hAnsi="Times New Roman"/>
          <w:color w:val="000000"/>
          <w:sz w:val="20"/>
          <w:szCs w:val="20"/>
        </w:rPr>
        <w:t>commissions, for which the associated revenue is expected to be recognized in future periods. We incur these costs in connection with both initial contracts and renewals. These costs are initially deferred and typically amortized over the term of the custo</w:t>
      </w:r>
      <w:r>
        <w:rPr>
          <w:rFonts w:ascii="Times New Roman" w:eastAsia="宋体" w:hAnsi="Times New Roman"/>
          <w:color w:val="000000"/>
          <w:sz w:val="20"/>
          <w:szCs w:val="20"/>
        </w:rPr>
        <w:t>mer contract which corresponds to the period of benefit. Deferred sales commissions were $893 million and $732 million as of May 1, 2021 and July 25, 2020, respectively, and were included in other current assets and other assets. The amortization expense a</w:t>
      </w:r>
      <w:r>
        <w:rPr>
          <w:rFonts w:ascii="Times New Roman" w:eastAsia="宋体" w:hAnsi="Times New Roman"/>
          <w:color w:val="000000"/>
          <w:sz w:val="20"/>
          <w:szCs w:val="20"/>
        </w:rPr>
        <w:t>ssociated with these costs was $134 million and $386 million for the third quarter and first nine months of fiscal 2021, respectively, and</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$118 million and $356 million for the corresponding periods of fiscal 2020, respectively, and was included in sales a</w:t>
      </w:r>
      <w:r>
        <w:rPr>
          <w:rFonts w:ascii="Times New Roman" w:eastAsia="宋体" w:hAnsi="Times New Roman"/>
          <w:color w:val="000000"/>
          <w:sz w:val="20"/>
          <w:szCs w:val="20"/>
        </w:rPr>
        <w:t xml:space="preserve">nd marketing expenses. </w:t>
      </w:r>
    </w:p>
    <w:p w14:paraId="7B66E795" w14:textId="77777777" w:rsidR="0040300B" w:rsidRDefault="0040300B">
      <w:pPr>
        <w:jc w:val="both"/>
      </w:pPr>
    </w:p>
    <w:p w14:paraId="7B66E796" w14:textId="77777777" w:rsidR="0040300B" w:rsidRDefault="00BB2D44">
      <w:pPr>
        <w:jc w:val="center"/>
      </w:pPr>
      <w:r>
        <w:rPr>
          <w:rFonts w:ascii="Times New Roman" w:eastAsia="宋体" w:hAnsi="Times New Roman"/>
          <w:color w:val="000000"/>
          <w:sz w:val="20"/>
          <w:szCs w:val="20"/>
        </w:rPr>
        <w:t>12</w:t>
      </w:r>
    </w:p>
    <w:p w14:paraId="7B66E797" w14:textId="77777777" w:rsidR="0040300B" w:rsidRDefault="00BB2D44">
      <w:r>
        <w:pict w14:anchorId="7B671C1C">
          <v:rect id="_x0000_i1036" style="width:415.3pt;height:1.5pt" o:hralign="center" o:hrstd="t" o:hr="t" fillcolor="#a0a0a0" stroked="f"/>
        </w:pict>
      </w:r>
    </w:p>
    <w:p w14:paraId="7B66E798" w14:textId="77777777" w:rsidR="0040300B" w:rsidRDefault="00BB2D44">
      <w:hyperlink r:id="rId58" w:anchor="i52d5b40dbad7426a9806a2fd5167029f_7" w:history="1">
        <w:r>
          <w:rPr>
            <w:rStyle w:val="a5"/>
            <w:rFonts w:ascii="Times New Roman" w:eastAsia="宋体" w:hAnsi="Times New Roman"/>
            <w:sz w:val="18"/>
            <w:szCs w:val="18"/>
          </w:rPr>
          <w:t>Table of Contents</w:t>
        </w:r>
      </w:hyperlink>
    </w:p>
    <w:p w14:paraId="7B66E799" w14:textId="77777777" w:rsidR="0040300B" w:rsidRDefault="00BB2D44">
      <w:pPr>
        <w:jc w:val="center"/>
      </w:pPr>
      <w:r>
        <w:rPr>
          <w:rFonts w:ascii="Times New Roman" w:eastAsia="宋体" w:hAnsi="Times New Roman"/>
          <w:b/>
          <w:bCs/>
          <w:color w:val="000000"/>
          <w:sz w:val="18"/>
          <w:szCs w:val="18"/>
        </w:rPr>
        <w:t>CISCO SYSTEMS, INC.</w:t>
      </w:r>
    </w:p>
    <w:p w14:paraId="7B66E79A" w14:textId="77777777" w:rsidR="0040300B" w:rsidRDefault="00BB2D44">
      <w:pPr>
        <w:jc w:val="center"/>
      </w:pPr>
      <w:r>
        <w:rPr>
          <w:rFonts w:ascii="Times New Roman" w:eastAsia="宋体" w:hAnsi="Times New Roman"/>
          <w:b/>
          <w:bCs/>
          <w:color w:val="000000"/>
          <w:sz w:val="18"/>
          <w:szCs w:val="18"/>
        </w:rPr>
        <w:t>NOTES TO CONSOLIDATED FINANCIAL STATEME</w:t>
      </w:r>
      <w:r>
        <w:rPr>
          <w:rFonts w:ascii="Times New Roman" w:eastAsia="宋体" w:hAnsi="Times New Roman"/>
          <w:b/>
          <w:bCs/>
          <w:color w:val="000000"/>
          <w:sz w:val="18"/>
          <w:szCs w:val="18"/>
        </w:rPr>
        <w:t>NTS (Continued)</w:t>
      </w:r>
    </w:p>
    <w:p w14:paraId="7B66E79B" w14:textId="77777777" w:rsidR="0040300B" w:rsidRDefault="00BB2D44">
      <w:pPr>
        <w:jc w:val="center"/>
      </w:pPr>
      <w:r>
        <w:rPr>
          <w:rFonts w:ascii="Times New Roman" w:eastAsia="宋体" w:hAnsi="Times New Roman"/>
          <w:b/>
          <w:bCs/>
          <w:color w:val="000000"/>
          <w:sz w:val="18"/>
          <w:szCs w:val="18"/>
        </w:rPr>
        <w:t xml:space="preserve">(Unaudited) </w:t>
      </w:r>
    </w:p>
    <w:p w14:paraId="7B66E79C" w14:textId="77777777" w:rsidR="0040300B" w:rsidRDefault="0040300B">
      <w:pPr>
        <w:jc w:val="center"/>
      </w:pPr>
    </w:p>
    <w:p w14:paraId="7B66E79D" w14:textId="77777777" w:rsidR="0040300B" w:rsidRDefault="00BB2D44">
      <w:pPr>
        <w:ind w:hanging="360"/>
        <w:jc w:val="both"/>
      </w:pPr>
      <w:r>
        <w:rPr>
          <w:rFonts w:ascii="Times New Roman" w:eastAsia="宋体" w:hAnsi="Times New Roman"/>
          <w:b/>
          <w:bCs/>
          <w:color w:val="000000"/>
          <w:sz w:val="20"/>
          <w:szCs w:val="20"/>
        </w:rPr>
        <w:t>4.Acquisitions and Divestitures</w:t>
      </w:r>
    </w:p>
    <w:p w14:paraId="7B66E79E" w14:textId="77777777" w:rsidR="0040300B" w:rsidRDefault="00BB2D44">
      <w:pPr>
        <w:spacing w:before="120"/>
        <w:jc w:val="both"/>
      </w:pPr>
      <w:r>
        <w:rPr>
          <w:rFonts w:ascii="Times New Roman" w:eastAsia="宋体" w:hAnsi="Times New Roman"/>
          <w:color w:val="000000"/>
          <w:sz w:val="20"/>
          <w:szCs w:val="20"/>
        </w:rPr>
        <w:t>We completed eight acquisitions during the first nine months of fiscal 2021. A summary of the 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095"/>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40300B" w14:paraId="7B66E7B7" w14:textId="77777777">
        <w:tc>
          <w:tcPr>
            <w:tcW w:w="50" w:type="pct"/>
            <w:shd w:val="clear" w:color="auto" w:fill="auto"/>
          </w:tcPr>
          <w:p w14:paraId="7B66E79F" w14:textId="77777777" w:rsidR="0040300B" w:rsidRDefault="0040300B">
            <w:pPr>
              <w:rPr>
                <w:rFonts w:ascii="宋体"/>
              </w:rPr>
            </w:pPr>
          </w:p>
        </w:tc>
        <w:tc>
          <w:tcPr>
            <w:tcW w:w="2514" w:type="pct"/>
            <w:shd w:val="clear" w:color="auto" w:fill="auto"/>
          </w:tcPr>
          <w:p w14:paraId="7B66E7A0" w14:textId="77777777" w:rsidR="0040300B" w:rsidRDefault="0040300B">
            <w:pPr>
              <w:rPr>
                <w:rFonts w:ascii="宋体"/>
              </w:rPr>
            </w:pPr>
          </w:p>
        </w:tc>
        <w:tc>
          <w:tcPr>
            <w:tcW w:w="5" w:type="pct"/>
            <w:shd w:val="clear" w:color="auto" w:fill="auto"/>
          </w:tcPr>
          <w:p w14:paraId="7B66E7A1" w14:textId="77777777" w:rsidR="0040300B" w:rsidRDefault="0040300B">
            <w:pPr>
              <w:rPr>
                <w:rFonts w:ascii="宋体"/>
              </w:rPr>
            </w:pPr>
          </w:p>
        </w:tc>
        <w:tc>
          <w:tcPr>
            <w:tcW w:w="50" w:type="pct"/>
            <w:shd w:val="clear" w:color="auto" w:fill="auto"/>
          </w:tcPr>
          <w:p w14:paraId="7B66E7A2" w14:textId="77777777" w:rsidR="0040300B" w:rsidRDefault="0040300B">
            <w:pPr>
              <w:rPr>
                <w:rFonts w:ascii="宋体"/>
              </w:rPr>
            </w:pPr>
          </w:p>
        </w:tc>
        <w:tc>
          <w:tcPr>
            <w:tcW w:w="508" w:type="pct"/>
            <w:shd w:val="clear" w:color="auto" w:fill="auto"/>
          </w:tcPr>
          <w:p w14:paraId="7B66E7A3" w14:textId="77777777" w:rsidR="0040300B" w:rsidRDefault="0040300B">
            <w:pPr>
              <w:rPr>
                <w:rFonts w:ascii="宋体"/>
              </w:rPr>
            </w:pPr>
          </w:p>
        </w:tc>
        <w:tc>
          <w:tcPr>
            <w:tcW w:w="5" w:type="pct"/>
            <w:shd w:val="clear" w:color="auto" w:fill="auto"/>
          </w:tcPr>
          <w:p w14:paraId="7B66E7A4" w14:textId="77777777" w:rsidR="0040300B" w:rsidRDefault="0040300B">
            <w:pPr>
              <w:rPr>
                <w:rFonts w:ascii="宋体"/>
              </w:rPr>
            </w:pPr>
          </w:p>
        </w:tc>
        <w:tc>
          <w:tcPr>
            <w:tcW w:w="5" w:type="pct"/>
            <w:shd w:val="clear" w:color="auto" w:fill="auto"/>
          </w:tcPr>
          <w:p w14:paraId="7B66E7A5" w14:textId="77777777" w:rsidR="0040300B" w:rsidRDefault="0040300B">
            <w:pPr>
              <w:rPr>
                <w:rFonts w:ascii="宋体"/>
              </w:rPr>
            </w:pPr>
          </w:p>
        </w:tc>
        <w:tc>
          <w:tcPr>
            <w:tcW w:w="26" w:type="pct"/>
            <w:shd w:val="clear" w:color="auto" w:fill="auto"/>
          </w:tcPr>
          <w:p w14:paraId="7B66E7A6" w14:textId="77777777" w:rsidR="0040300B" w:rsidRDefault="0040300B">
            <w:pPr>
              <w:rPr>
                <w:rFonts w:ascii="宋体"/>
              </w:rPr>
            </w:pPr>
          </w:p>
        </w:tc>
        <w:tc>
          <w:tcPr>
            <w:tcW w:w="5" w:type="pct"/>
            <w:shd w:val="clear" w:color="auto" w:fill="auto"/>
          </w:tcPr>
          <w:p w14:paraId="7B66E7A7" w14:textId="77777777" w:rsidR="0040300B" w:rsidRDefault="0040300B">
            <w:pPr>
              <w:rPr>
                <w:rFonts w:ascii="宋体"/>
              </w:rPr>
            </w:pPr>
          </w:p>
        </w:tc>
        <w:tc>
          <w:tcPr>
            <w:tcW w:w="50" w:type="pct"/>
            <w:shd w:val="clear" w:color="auto" w:fill="auto"/>
          </w:tcPr>
          <w:p w14:paraId="7B66E7A8" w14:textId="77777777" w:rsidR="0040300B" w:rsidRDefault="0040300B">
            <w:pPr>
              <w:rPr>
                <w:rFonts w:ascii="宋体"/>
              </w:rPr>
            </w:pPr>
          </w:p>
        </w:tc>
        <w:tc>
          <w:tcPr>
            <w:tcW w:w="559" w:type="pct"/>
            <w:shd w:val="clear" w:color="auto" w:fill="auto"/>
          </w:tcPr>
          <w:p w14:paraId="7B66E7A9" w14:textId="77777777" w:rsidR="0040300B" w:rsidRDefault="0040300B">
            <w:pPr>
              <w:rPr>
                <w:rFonts w:ascii="宋体"/>
              </w:rPr>
            </w:pPr>
          </w:p>
        </w:tc>
        <w:tc>
          <w:tcPr>
            <w:tcW w:w="5" w:type="pct"/>
            <w:shd w:val="clear" w:color="auto" w:fill="auto"/>
          </w:tcPr>
          <w:p w14:paraId="7B66E7AA" w14:textId="77777777" w:rsidR="0040300B" w:rsidRDefault="0040300B">
            <w:pPr>
              <w:rPr>
                <w:rFonts w:ascii="宋体"/>
              </w:rPr>
            </w:pPr>
          </w:p>
        </w:tc>
        <w:tc>
          <w:tcPr>
            <w:tcW w:w="5" w:type="pct"/>
            <w:shd w:val="clear" w:color="auto" w:fill="auto"/>
          </w:tcPr>
          <w:p w14:paraId="7B66E7AB" w14:textId="77777777" w:rsidR="0040300B" w:rsidRDefault="0040300B">
            <w:pPr>
              <w:rPr>
                <w:rFonts w:ascii="宋体"/>
              </w:rPr>
            </w:pPr>
          </w:p>
        </w:tc>
        <w:tc>
          <w:tcPr>
            <w:tcW w:w="26" w:type="pct"/>
            <w:shd w:val="clear" w:color="auto" w:fill="auto"/>
          </w:tcPr>
          <w:p w14:paraId="7B66E7AC" w14:textId="77777777" w:rsidR="0040300B" w:rsidRDefault="0040300B">
            <w:pPr>
              <w:rPr>
                <w:rFonts w:ascii="宋体"/>
              </w:rPr>
            </w:pPr>
          </w:p>
        </w:tc>
        <w:tc>
          <w:tcPr>
            <w:tcW w:w="5" w:type="pct"/>
            <w:shd w:val="clear" w:color="auto" w:fill="auto"/>
          </w:tcPr>
          <w:p w14:paraId="7B66E7AD" w14:textId="77777777" w:rsidR="0040300B" w:rsidRDefault="0040300B">
            <w:pPr>
              <w:rPr>
                <w:rFonts w:ascii="宋体"/>
              </w:rPr>
            </w:pPr>
          </w:p>
        </w:tc>
        <w:tc>
          <w:tcPr>
            <w:tcW w:w="50" w:type="pct"/>
            <w:shd w:val="clear" w:color="auto" w:fill="auto"/>
          </w:tcPr>
          <w:p w14:paraId="7B66E7AE" w14:textId="77777777" w:rsidR="0040300B" w:rsidRDefault="0040300B">
            <w:pPr>
              <w:rPr>
                <w:rFonts w:ascii="宋体"/>
              </w:rPr>
            </w:pPr>
          </w:p>
        </w:tc>
        <w:tc>
          <w:tcPr>
            <w:tcW w:w="508" w:type="pct"/>
            <w:shd w:val="clear" w:color="auto" w:fill="auto"/>
          </w:tcPr>
          <w:p w14:paraId="7B66E7AF" w14:textId="77777777" w:rsidR="0040300B" w:rsidRDefault="0040300B">
            <w:pPr>
              <w:rPr>
                <w:rFonts w:ascii="宋体"/>
              </w:rPr>
            </w:pPr>
          </w:p>
        </w:tc>
        <w:tc>
          <w:tcPr>
            <w:tcW w:w="5" w:type="pct"/>
            <w:shd w:val="clear" w:color="auto" w:fill="auto"/>
          </w:tcPr>
          <w:p w14:paraId="7B66E7B0" w14:textId="77777777" w:rsidR="0040300B" w:rsidRDefault="0040300B">
            <w:pPr>
              <w:rPr>
                <w:rFonts w:ascii="宋体"/>
              </w:rPr>
            </w:pPr>
          </w:p>
        </w:tc>
        <w:tc>
          <w:tcPr>
            <w:tcW w:w="5" w:type="pct"/>
            <w:shd w:val="clear" w:color="auto" w:fill="auto"/>
          </w:tcPr>
          <w:p w14:paraId="7B66E7B1" w14:textId="77777777" w:rsidR="0040300B" w:rsidRDefault="0040300B">
            <w:pPr>
              <w:rPr>
                <w:rFonts w:ascii="宋体"/>
              </w:rPr>
            </w:pPr>
          </w:p>
        </w:tc>
        <w:tc>
          <w:tcPr>
            <w:tcW w:w="26" w:type="pct"/>
            <w:shd w:val="clear" w:color="auto" w:fill="auto"/>
          </w:tcPr>
          <w:p w14:paraId="7B66E7B2" w14:textId="77777777" w:rsidR="0040300B" w:rsidRDefault="0040300B">
            <w:pPr>
              <w:rPr>
                <w:rFonts w:ascii="宋体"/>
              </w:rPr>
            </w:pPr>
          </w:p>
        </w:tc>
        <w:tc>
          <w:tcPr>
            <w:tcW w:w="5" w:type="pct"/>
            <w:shd w:val="clear" w:color="auto" w:fill="auto"/>
          </w:tcPr>
          <w:p w14:paraId="7B66E7B3" w14:textId="77777777" w:rsidR="0040300B" w:rsidRDefault="0040300B">
            <w:pPr>
              <w:rPr>
                <w:rFonts w:ascii="宋体"/>
              </w:rPr>
            </w:pPr>
          </w:p>
        </w:tc>
        <w:tc>
          <w:tcPr>
            <w:tcW w:w="50" w:type="pct"/>
            <w:shd w:val="clear" w:color="auto" w:fill="auto"/>
          </w:tcPr>
          <w:p w14:paraId="7B66E7B4" w14:textId="77777777" w:rsidR="0040300B" w:rsidRDefault="0040300B">
            <w:pPr>
              <w:rPr>
                <w:rFonts w:ascii="宋体"/>
              </w:rPr>
            </w:pPr>
          </w:p>
        </w:tc>
        <w:tc>
          <w:tcPr>
            <w:tcW w:w="523" w:type="pct"/>
            <w:shd w:val="clear" w:color="auto" w:fill="auto"/>
          </w:tcPr>
          <w:p w14:paraId="7B66E7B5" w14:textId="77777777" w:rsidR="0040300B" w:rsidRDefault="0040300B">
            <w:pPr>
              <w:rPr>
                <w:rFonts w:ascii="宋体"/>
              </w:rPr>
            </w:pPr>
          </w:p>
        </w:tc>
        <w:tc>
          <w:tcPr>
            <w:tcW w:w="5" w:type="pct"/>
            <w:shd w:val="clear" w:color="auto" w:fill="auto"/>
          </w:tcPr>
          <w:p w14:paraId="7B66E7B6" w14:textId="77777777" w:rsidR="0040300B" w:rsidRDefault="0040300B">
            <w:pPr>
              <w:rPr>
                <w:rFonts w:ascii="宋体"/>
              </w:rPr>
            </w:pPr>
          </w:p>
        </w:tc>
      </w:tr>
      <w:tr w:rsidR="0040300B" w14:paraId="7B66E7C0" w14:textId="77777777">
        <w:tc>
          <w:tcPr>
            <w:tcW w:w="0" w:type="auto"/>
            <w:gridSpan w:val="3"/>
            <w:shd w:val="clear" w:color="auto" w:fill="auto"/>
            <w:tcMar>
              <w:top w:w="0" w:type="dxa"/>
              <w:left w:w="20" w:type="dxa"/>
              <w:bottom w:w="0" w:type="dxa"/>
              <w:right w:w="20" w:type="dxa"/>
            </w:tcMar>
          </w:tcPr>
          <w:p w14:paraId="7B66E7B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7B9" w14:textId="77777777" w:rsidR="0040300B" w:rsidRDefault="00BB2D44">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tcPr>
          <w:p w14:paraId="7B66E7B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7BB" w14:textId="77777777" w:rsidR="0040300B" w:rsidRDefault="00BB2D44">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tcPr>
          <w:p w14:paraId="7B66E7B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7BD" w14:textId="77777777" w:rsidR="0040300B" w:rsidRDefault="00BB2D44">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tcPr>
          <w:p w14:paraId="7B66E7B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7BF" w14:textId="77777777" w:rsidR="0040300B" w:rsidRDefault="00BB2D44">
            <w:pPr>
              <w:jc w:val="center"/>
              <w:textAlignment w:val="bottom"/>
            </w:pPr>
            <w:r>
              <w:rPr>
                <w:rFonts w:ascii="Times New Roman" w:eastAsia="宋体" w:hAnsi="Times New Roman"/>
                <w:color w:val="000000"/>
                <w:sz w:val="18"/>
                <w:szCs w:val="18"/>
              </w:rPr>
              <w:t>Goodwill</w:t>
            </w:r>
          </w:p>
        </w:tc>
      </w:tr>
      <w:tr w:rsidR="0040300B" w14:paraId="7B66E7D1" w14:textId="77777777">
        <w:tc>
          <w:tcPr>
            <w:tcW w:w="0" w:type="auto"/>
            <w:gridSpan w:val="3"/>
            <w:shd w:val="clear" w:color="auto" w:fill="CCEEFF"/>
            <w:tcMar>
              <w:top w:w="40" w:type="dxa"/>
              <w:left w:w="20" w:type="dxa"/>
              <w:bottom w:w="40" w:type="dxa"/>
              <w:right w:w="20" w:type="dxa"/>
            </w:tcMar>
          </w:tcPr>
          <w:p w14:paraId="7B66E7C1" w14:textId="77777777" w:rsidR="0040300B" w:rsidRDefault="00BB2D44">
            <w:pPr>
              <w:textAlignment w:val="top"/>
            </w:pPr>
            <w:r>
              <w:rPr>
                <w:rFonts w:ascii="Times New Roman" w:eastAsia="宋体" w:hAnsi="Times New Roman"/>
                <w:color w:val="000000"/>
                <w:sz w:val="20"/>
                <w:szCs w:val="20"/>
              </w:rPr>
              <w:t>Acacia</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7C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7C3" w14:textId="77777777" w:rsidR="0040300B" w:rsidRDefault="00BB2D44">
            <w:pPr>
              <w:jc w:val="right"/>
              <w:textAlignment w:val="bottom"/>
            </w:pPr>
            <w:r>
              <w:rPr>
                <w:rFonts w:ascii="Times New Roman" w:eastAsia="宋体" w:hAnsi="Times New Roman"/>
                <w:color w:val="000000"/>
                <w:sz w:val="20"/>
                <w:szCs w:val="20"/>
              </w:rPr>
              <w:t>4,983 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7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C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7C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7C7" w14:textId="77777777" w:rsidR="0040300B" w:rsidRDefault="00BB2D44">
            <w:pPr>
              <w:jc w:val="right"/>
              <w:textAlignment w:val="bottom"/>
            </w:pPr>
            <w:r>
              <w:rPr>
                <w:rFonts w:ascii="Times New Roman" w:eastAsia="宋体" w:hAnsi="Times New Roman"/>
                <w:color w:val="000000"/>
                <w:sz w:val="20"/>
                <w:szCs w:val="20"/>
              </w:rPr>
              <w:t>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7C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C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7C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7CB" w14:textId="77777777" w:rsidR="0040300B" w:rsidRDefault="00BB2D44">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7C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C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7C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7CF" w14:textId="77777777" w:rsidR="0040300B" w:rsidRDefault="00BB2D44">
            <w:pPr>
              <w:jc w:val="right"/>
              <w:textAlignment w:val="bottom"/>
            </w:pPr>
            <w:r>
              <w:rPr>
                <w:rFonts w:ascii="Times New Roman" w:eastAsia="宋体" w:hAnsi="Times New Roman"/>
                <w:color w:val="000000"/>
                <w:sz w:val="20"/>
                <w:szCs w:val="20"/>
              </w:rPr>
              <w:t>2,376 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7D0" w14:textId="77777777" w:rsidR="0040300B" w:rsidRDefault="0040300B">
            <w:pPr>
              <w:jc w:val="right"/>
              <w:rPr>
                <w:rFonts w:ascii="宋体"/>
              </w:rPr>
            </w:pPr>
          </w:p>
        </w:tc>
      </w:tr>
      <w:tr w:rsidR="0040300B" w14:paraId="7B66E7DE" w14:textId="77777777">
        <w:tc>
          <w:tcPr>
            <w:tcW w:w="0" w:type="auto"/>
            <w:gridSpan w:val="3"/>
            <w:shd w:val="clear" w:color="auto" w:fill="FFFFFF"/>
            <w:tcMar>
              <w:top w:w="40" w:type="dxa"/>
              <w:left w:w="20" w:type="dxa"/>
              <w:bottom w:w="40" w:type="dxa"/>
              <w:right w:w="20" w:type="dxa"/>
            </w:tcMar>
          </w:tcPr>
          <w:p w14:paraId="7B66E7D2" w14:textId="77777777" w:rsidR="0040300B" w:rsidRDefault="00BB2D44">
            <w:pPr>
              <w:textAlignment w:val="top"/>
            </w:pPr>
            <w:r>
              <w:rPr>
                <w:rFonts w:ascii="Times New Roman" w:eastAsia="宋体" w:hAnsi="Times New Roman"/>
                <w:color w:val="000000"/>
                <w:sz w:val="20"/>
                <w:szCs w:val="20"/>
              </w:rPr>
              <w:t>Others</w:t>
            </w:r>
          </w:p>
        </w:tc>
        <w:tc>
          <w:tcPr>
            <w:tcW w:w="0" w:type="auto"/>
            <w:gridSpan w:val="2"/>
            <w:shd w:val="clear" w:color="auto" w:fill="FFFFFF"/>
            <w:tcMar>
              <w:top w:w="40" w:type="dxa"/>
              <w:left w:w="20" w:type="dxa"/>
              <w:bottom w:w="40" w:type="dxa"/>
              <w:right w:w="0" w:type="dxa"/>
            </w:tcMar>
            <w:vAlign w:val="bottom"/>
          </w:tcPr>
          <w:p w14:paraId="7B66E7D3" w14:textId="77777777" w:rsidR="0040300B" w:rsidRDefault="00BB2D44">
            <w:pPr>
              <w:jc w:val="right"/>
              <w:textAlignment w:val="bottom"/>
            </w:pPr>
            <w:r>
              <w:rPr>
                <w:rFonts w:ascii="Times New Roman" w:eastAsia="宋体" w:hAnsi="Times New Roman"/>
                <w:color w:val="000000"/>
                <w:sz w:val="20"/>
                <w:szCs w:val="20"/>
              </w:rPr>
              <w:t>1,739 </w:t>
            </w:r>
          </w:p>
        </w:tc>
        <w:tc>
          <w:tcPr>
            <w:tcW w:w="0" w:type="auto"/>
            <w:shd w:val="clear" w:color="auto" w:fill="FFFFFF"/>
            <w:tcMar>
              <w:top w:w="40" w:type="dxa"/>
              <w:left w:w="0" w:type="dxa"/>
              <w:bottom w:w="40" w:type="dxa"/>
              <w:right w:w="20" w:type="dxa"/>
            </w:tcMar>
            <w:vAlign w:val="bottom"/>
          </w:tcPr>
          <w:p w14:paraId="7B66E7D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D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D6" w14:textId="77777777" w:rsidR="0040300B" w:rsidRDefault="00BB2D44">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7B66E7D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D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D9" w14:textId="77777777" w:rsidR="0040300B" w:rsidRDefault="00BB2D44">
            <w:pPr>
              <w:jc w:val="right"/>
              <w:textAlignment w:val="bottom"/>
            </w:pPr>
            <w:r>
              <w:rPr>
                <w:rFonts w:ascii="Times New Roman" w:eastAsia="宋体" w:hAnsi="Times New Roman"/>
                <w:color w:val="000000"/>
                <w:sz w:val="20"/>
                <w:szCs w:val="20"/>
              </w:rPr>
              <w:t>567 </w:t>
            </w:r>
          </w:p>
        </w:tc>
        <w:tc>
          <w:tcPr>
            <w:tcW w:w="0" w:type="auto"/>
            <w:shd w:val="clear" w:color="auto" w:fill="FFFFFF"/>
            <w:tcMar>
              <w:top w:w="40" w:type="dxa"/>
              <w:left w:w="0" w:type="dxa"/>
              <w:bottom w:w="40" w:type="dxa"/>
              <w:right w:w="20" w:type="dxa"/>
            </w:tcMar>
            <w:vAlign w:val="bottom"/>
          </w:tcPr>
          <w:p w14:paraId="7B66E7D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7D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7DC" w14:textId="77777777" w:rsidR="0040300B" w:rsidRDefault="00BB2D44">
            <w:pPr>
              <w:jc w:val="right"/>
              <w:textAlignment w:val="bottom"/>
            </w:pPr>
            <w:r>
              <w:rPr>
                <w:rFonts w:ascii="Times New Roman" w:eastAsia="宋体" w:hAnsi="Times New Roman"/>
                <w:color w:val="000000"/>
                <w:sz w:val="20"/>
                <w:szCs w:val="20"/>
              </w:rPr>
              <w:t>1,273 </w:t>
            </w:r>
          </w:p>
        </w:tc>
        <w:tc>
          <w:tcPr>
            <w:tcW w:w="0" w:type="auto"/>
            <w:shd w:val="clear" w:color="auto" w:fill="FFFFFF"/>
            <w:tcMar>
              <w:top w:w="40" w:type="dxa"/>
              <w:left w:w="0" w:type="dxa"/>
              <w:bottom w:w="40" w:type="dxa"/>
              <w:right w:w="20" w:type="dxa"/>
            </w:tcMar>
            <w:vAlign w:val="bottom"/>
          </w:tcPr>
          <w:p w14:paraId="7B66E7DD" w14:textId="77777777" w:rsidR="0040300B" w:rsidRDefault="0040300B">
            <w:pPr>
              <w:jc w:val="right"/>
              <w:rPr>
                <w:rFonts w:ascii="宋体"/>
              </w:rPr>
            </w:pPr>
          </w:p>
        </w:tc>
      </w:tr>
      <w:tr w:rsidR="0040300B" w14:paraId="7B66E7EF" w14:textId="77777777">
        <w:tc>
          <w:tcPr>
            <w:tcW w:w="0" w:type="auto"/>
            <w:gridSpan w:val="3"/>
            <w:shd w:val="clear" w:color="auto" w:fill="CCEEFF"/>
            <w:tcMar>
              <w:top w:w="40" w:type="dxa"/>
              <w:left w:w="260" w:type="dxa"/>
              <w:bottom w:w="40" w:type="dxa"/>
              <w:right w:w="20" w:type="dxa"/>
            </w:tcMar>
          </w:tcPr>
          <w:p w14:paraId="7B66E7DF"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7E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7E1" w14:textId="77777777" w:rsidR="0040300B" w:rsidRDefault="00BB2D44">
            <w:pPr>
              <w:jc w:val="right"/>
              <w:textAlignment w:val="bottom"/>
            </w:pPr>
            <w:r>
              <w:rPr>
                <w:rFonts w:ascii="Times New Roman" w:eastAsia="宋体" w:hAnsi="Times New Roman"/>
                <w:color w:val="000000"/>
                <w:sz w:val="20"/>
                <w:szCs w:val="20"/>
              </w:rPr>
              <w:t>6,722 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7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E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7E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7E5" w14:textId="77777777" w:rsidR="0040300B" w:rsidRDefault="00BB2D44">
            <w:pPr>
              <w:jc w:val="right"/>
              <w:textAlignment w:val="bottom"/>
            </w:pPr>
            <w:r>
              <w:rPr>
                <w:rFonts w:ascii="Times New Roman" w:eastAsia="宋体" w:hAnsi="Times New Roman"/>
                <w:color w:val="000000"/>
                <w:sz w:val="20"/>
                <w:szCs w:val="20"/>
              </w:rPr>
              <w:t>346 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7E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E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7E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7E9" w14:textId="77777777" w:rsidR="0040300B" w:rsidRDefault="00BB2D44">
            <w:pPr>
              <w:jc w:val="right"/>
              <w:textAlignment w:val="bottom"/>
            </w:pPr>
            <w:r>
              <w:rPr>
                <w:rFonts w:ascii="Times New Roman" w:eastAsia="宋体" w:hAnsi="Times New Roman"/>
                <w:color w:val="000000"/>
                <w:sz w:val="20"/>
                <w:szCs w:val="20"/>
              </w:rPr>
              <w:t>2,727 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7E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7E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7E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7ED" w14:textId="77777777" w:rsidR="0040300B" w:rsidRDefault="00BB2D44">
            <w:pPr>
              <w:jc w:val="right"/>
              <w:textAlignment w:val="bottom"/>
            </w:pPr>
            <w:r>
              <w:rPr>
                <w:rFonts w:ascii="Times New Roman" w:eastAsia="宋体" w:hAnsi="Times New Roman"/>
                <w:color w:val="000000"/>
                <w:sz w:val="20"/>
                <w:szCs w:val="20"/>
              </w:rPr>
              <w:t>3,649 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7EE" w14:textId="77777777" w:rsidR="0040300B" w:rsidRDefault="0040300B">
            <w:pPr>
              <w:jc w:val="right"/>
              <w:rPr>
                <w:rFonts w:ascii="宋体"/>
              </w:rPr>
            </w:pPr>
          </w:p>
        </w:tc>
      </w:tr>
    </w:tbl>
    <w:p w14:paraId="7B66E7F0" w14:textId="77777777" w:rsidR="0040300B" w:rsidRDefault="00BB2D44">
      <w:pPr>
        <w:spacing w:before="120"/>
        <w:jc w:val="both"/>
      </w:pPr>
      <w:r>
        <w:rPr>
          <w:rFonts w:ascii="Times New Roman" w:eastAsia="宋体" w:hAnsi="Times New Roman"/>
          <w:color w:val="000000"/>
          <w:sz w:val="20"/>
          <w:szCs w:val="20"/>
        </w:rPr>
        <w:t>On March 1, 2021, we completed our acquisition of Acacia Communications, Inc. (“Acacia”), a publi</w:t>
      </w:r>
      <w:r>
        <w:rPr>
          <w:rFonts w:ascii="Times New Roman" w:eastAsia="宋体" w:hAnsi="Times New Roman"/>
          <w:color w:val="000000"/>
          <w:sz w:val="20"/>
          <w:szCs w:val="20"/>
        </w:rPr>
        <w:t>c fabless semiconductor company that develops, manufactures and sells high-speed coherent optical interconnect products that are designed to transform communications networks through improvements in performance, capacity and cost. Revenue from the Acacia a</w:t>
      </w:r>
      <w:r>
        <w:rPr>
          <w:rFonts w:ascii="Times New Roman" w:eastAsia="宋体" w:hAnsi="Times New Roman"/>
          <w:color w:val="000000"/>
          <w:sz w:val="20"/>
          <w:szCs w:val="20"/>
        </w:rPr>
        <w:t>cquisition has been included in our Infrastructure Platforms product category.</w:t>
      </w:r>
    </w:p>
    <w:p w14:paraId="7B66E7F1" w14:textId="77777777" w:rsidR="0040300B" w:rsidRDefault="00BB2D44">
      <w:pPr>
        <w:spacing w:before="120"/>
        <w:jc w:val="both"/>
      </w:pPr>
      <w:r>
        <w:rPr>
          <w:rFonts w:ascii="Times New Roman" w:eastAsia="宋体" w:hAnsi="Times New Roman"/>
          <w:color w:val="000000"/>
          <w:sz w:val="20"/>
          <w:szCs w:val="20"/>
        </w:rPr>
        <w:t xml:space="preserve">The total purchase consideration related to our acquisitions completed during the first nine months of fiscal 2021 consisted of cash consideration and vested share-based awards </w:t>
      </w:r>
      <w:r>
        <w:rPr>
          <w:rFonts w:ascii="Times New Roman" w:eastAsia="宋体" w:hAnsi="Times New Roman"/>
          <w:color w:val="000000"/>
          <w:sz w:val="20"/>
          <w:szCs w:val="20"/>
        </w:rPr>
        <w:t>assumed. The total cash and cash equivalents acquired from these acquisitions was approximately $315 million. Total transaction costs related to acquisition and divestiture activities were $30 million and $13 million for the first nine months of fiscal 202</w:t>
      </w:r>
      <w:r>
        <w:rPr>
          <w:rFonts w:ascii="Times New Roman" w:eastAsia="宋体" w:hAnsi="Times New Roman"/>
          <w:color w:val="000000"/>
          <w:sz w:val="20"/>
          <w:szCs w:val="20"/>
        </w:rPr>
        <w:t>1 and 2020, respectively. These transaction costs were expensed as incurred in general and administrative expenses (“G&amp;A”) in the Consolidated Statements of Operations.</w:t>
      </w:r>
    </w:p>
    <w:p w14:paraId="7B66E7F2" w14:textId="77777777" w:rsidR="0040300B" w:rsidRDefault="00BB2D44">
      <w:pPr>
        <w:spacing w:before="120"/>
        <w:jc w:val="both"/>
      </w:pPr>
      <w:r>
        <w:rPr>
          <w:rFonts w:ascii="Times New Roman" w:eastAsia="宋体" w:hAnsi="Times New Roman"/>
          <w:color w:val="000000"/>
          <w:sz w:val="20"/>
          <w:szCs w:val="20"/>
        </w:rPr>
        <w:t>The goodwill generated from acquisitions completed during the first nine months of fisc</w:t>
      </w:r>
      <w:r>
        <w:rPr>
          <w:rFonts w:ascii="Times New Roman" w:eastAsia="宋体" w:hAnsi="Times New Roman"/>
          <w:color w:val="000000"/>
          <w:sz w:val="20"/>
          <w:szCs w:val="20"/>
        </w:rPr>
        <w:t>al 2021 is primarily related to expected synergies. The goodwill is generally not deductible for income tax purposes.</w:t>
      </w:r>
    </w:p>
    <w:p w14:paraId="7B66E7F3" w14:textId="77777777" w:rsidR="0040300B" w:rsidRDefault="00BB2D44">
      <w:pPr>
        <w:spacing w:before="120"/>
        <w:jc w:val="both"/>
      </w:pPr>
      <w:r>
        <w:rPr>
          <w:rFonts w:ascii="Times New Roman" w:eastAsia="宋体" w:hAnsi="Times New Roman"/>
          <w:color w:val="000000"/>
          <w:sz w:val="20"/>
          <w:szCs w:val="20"/>
        </w:rPr>
        <w:t>The Consolidated Financial Statements include the operating results of each acquisition from the date of acquisition. Pro forma results of</w:t>
      </w:r>
      <w:r>
        <w:rPr>
          <w:rFonts w:ascii="Times New Roman" w:eastAsia="宋体" w:hAnsi="Times New Roman"/>
          <w:color w:val="000000"/>
          <w:sz w:val="20"/>
          <w:szCs w:val="20"/>
        </w:rPr>
        <w:t xml:space="preserve"> operations and the revenue and net income subsequent to the acquisition date for the acquisitions completed during the first nine months of fiscal 2021 have not been presented because the effects of the acquisitions, individually and in the aggregate, wer</w:t>
      </w:r>
      <w:r>
        <w:rPr>
          <w:rFonts w:ascii="Times New Roman" w:eastAsia="宋体" w:hAnsi="Times New Roman"/>
          <w:color w:val="000000"/>
          <w:sz w:val="20"/>
          <w:szCs w:val="20"/>
        </w:rPr>
        <w:t xml:space="preserve">e not material to our financial results. </w:t>
      </w:r>
    </w:p>
    <w:p w14:paraId="7B66E7F4" w14:textId="77777777" w:rsidR="0040300B" w:rsidRDefault="0040300B">
      <w:pPr>
        <w:spacing w:before="120"/>
        <w:jc w:val="both"/>
      </w:pPr>
    </w:p>
    <w:p w14:paraId="7B66E7F5" w14:textId="77777777" w:rsidR="0040300B" w:rsidRDefault="00BB2D44">
      <w:pPr>
        <w:ind w:hanging="360"/>
      </w:pPr>
      <w:r>
        <w:rPr>
          <w:rFonts w:ascii="Times New Roman" w:eastAsia="宋体" w:hAnsi="Times New Roman"/>
          <w:b/>
          <w:bCs/>
          <w:color w:val="000000"/>
          <w:sz w:val="20"/>
          <w:szCs w:val="20"/>
        </w:rPr>
        <w:t xml:space="preserve">5.Goodwill and Purchased Intangible Assets </w:t>
      </w:r>
    </w:p>
    <w:p w14:paraId="7B66E7F6" w14:textId="77777777" w:rsidR="0040300B" w:rsidRDefault="00BB2D44">
      <w:pPr>
        <w:spacing w:before="100" w:after="100"/>
        <w:ind w:hanging="360"/>
      </w:pPr>
      <w:r>
        <w:rPr>
          <w:rFonts w:ascii="Times New Roman" w:eastAsia="宋体" w:hAnsi="Times New Roman"/>
          <w:b/>
          <w:bCs/>
          <w:color w:val="000000"/>
          <w:sz w:val="20"/>
          <w:szCs w:val="20"/>
        </w:rPr>
        <w:t xml:space="preserve">(a)Goodwill </w:t>
      </w:r>
    </w:p>
    <w:p w14:paraId="7B66E7F7" w14:textId="77777777" w:rsidR="0040300B" w:rsidRDefault="00BB2D44">
      <w:pPr>
        <w:spacing w:before="120"/>
        <w:jc w:val="both"/>
      </w:pPr>
      <w:r>
        <w:rPr>
          <w:rFonts w:ascii="Times New Roman" w:eastAsia="宋体" w:hAnsi="Times New Roman"/>
          <w:color w:val="000000"/>
          <w:sz w:val="20"/>
          <w:szCs w:val="20"/>
        </w:rPr>
        <w:t xml:space="preserve">The following table presents the goodwill allocated to our reportable segments as of May 1, 2021 and during the first nine months of fiscal 2021 (in millions): </w:t>
      </w:r>
    </w:p>
    <w:tbl>
      <w:tblPr>
        <w:tblW w:w="4971" w:type="pct"/>
        <w:tblCellMar>
          <w:top w:w="15" w:type="dxa"/>
          <w:left w:w="15" w:type="dxa"/>
          <w:bottom w:w="15" w:type="dxa"/>
          <w:right w:w="15" w:type="dxa"/>
        </w:tblCellMar>
        <w:tblLook w:val="04A0" w:firstRow="1" w:lastRow="0" w:firstColumn="1" w:lastColumn="0" w:noHBand="0" w:noVBand="1"/>
      </w:tblPr>
      <w:tblGrid>
        <w:gridCol w:w="37"/>
        <w:gridCol w:w="3914"/>
        <w:gridCol w:w="36"/>
        <w:gridCol w:w="120"/>
        <w:gridCol w:w="798"/>
        <w:gridCol w:w="36"/>
        <w:gridCol w:w="36"/>
        <w:gridCol w:w="36"/>
        <w:gridCol w:w="36"/>
        <w:gridCol w:w="121"/>
        <w:gridCol w:w="875"/>
        <w:gridCol w:w="36"/>
        <w:gridCol w:w="36"/>
        <w:gridCol w:w="36"/>
        <w:gridCol w:w="36"/>
        <w:gridCol w:w="121"/>
        <w:gridCol w:w="875"/>
        <w:gridCol w:w="36"/>
        <w:gridCol w:w="36"/>
        <w:gridCol w:w="36"/>
        <w:gridCol w:w="36"/>
        <w:gridCol w:w="120"/>
        <w:gridCol w:w="803"/>
        <w:gridCol w:w="36"/>
      </w:tblGrid>
      <w:tr w:rsidR="0040300B" w14:paraId="7B66E810" w14:textId="77777777">
        <w:tc>
          <w:tcPr>
            <w:tcW w:w="50" w:type="pct"/>
            <w:shd w:val="clear" w:color="auto" w:fill="auto"/>
          </w:tcPr>
          <w:p w14:paraId="7B66E7F8" w14:textId="77777777" w:rsidR="0040300B" w:rsidRDefault="0040300B">
            <w:pPr>
              <w:rPr>
                <w:rFonts w:ascii="宋体"/>
              </w:rPr>
            </w:pPr>
          </w:p>
        </w:tc>
        <w:tc>
          <w:tcPr>
            <w:tcW w:w="2393" w:type="pct"/>
            <w:shd w:val="clear" w:color="auto" w:fill="auto"/>
          </w:tcPr>
          <w:p w14:paraId="7B66E7F9" w14:textId="77777777" w:rsidR="0040300B" w:rsidRDefault="0040300B">
            <w:pPr>
              <w:rPr>
                <w:rFonts w:ascii="宋体"/>
              </w:rPr>
            </w:pPr>
          </w:p>
        </w:tc>
        <w:tc>
          <w:tcPr>
            <w:tcW w:w="5" w:type="pct"/>
            <w:shd w:val="clear" w:color="auto" w:fill="auto"/>
          </w:tcPr>
          <w:p w14:paraId="7B66E7FA" w14:textId="77777777" w:rsidR="0040300B" w:rsidRDefault="0040300B">
            <w:pPr>
              <w:rPr>
                <w:rFonts w:ascii="宋体"/>
              </w:rPr>
            </w:pPr>
          </w:p>
        </w:tc>
        <w:tc>
          <w:tcPr>
            <w:tcW w:w="50" w:type="pct"/>
            <w:shd w:val="clear" w:color="auto" w:fill="auto"/>
          </w:tcPr>
          <w:p w14:paraId="7B66E7FB" w14:textId="77777777" w:rsidR="0040300B" w:rsidRDefault="0040300B">
            <w:pPr>
              <w:rPr>
                <w:rFonts w:ascii="宋体"/>
              </w:rPr>
            </w:pPr>
          </w:p>
        </w:tc>
        <w:tc>
          <w:tcPr>
            <w:tcW w:w="511" w:type="pct"/>
            <w:shd w:val="clear" w:color="auto" w:fill="auto"/>
          </w:tcPr>
          <w:p w14:paraId="7B66E7FC" w14:textId="77777777" w:rsidR="0040300B" w:rsidRDefault="0040300B">
            <w:pPr>
              <w:rPr>
                <w:rFonts w:ascii="宋体"/>
              </w:rPr>
            </w:pPr>
          </w:p>
        </w:tc>
        <w:tc>
          <w:tcPr>
            <w:tcW w:w="5" w:type="pct"/>
            <w:shd w:val="clear" w:color="auto" w:fill="auto"/>
          </w:tcPr>
          <w:p w14:paraId="7B66E7FD" w14:textId="77777777" w:rsidR="0040300B" w:rsidRDefault="0040300B">
            <w:pPr>
              <w:rPr>
                <w:rFonts w:ascii="宋体"/>
              </w:rPr>
            </w:pPr>
          </w:p>
        </w:tc>
        <w:tc>
          <w:tcPr>
            <w:tcW w:w="5" w:type="pct"/>
            <w:shd w:val="clear" w:color="auto" w:fill="auto"/>
          </w:tcPr>
          <w:p w14:paraId="7B66E7FE" w14:textId="77777777" w:rsidR="0040300B" w:rsidRDefault="0040300B">
            <w:pPr>
              <w:rPr>
                <w:rFonts w:ascii="宋体"/>
              </w:rPr>
            </w:pPr>
          </w:p>
        </w:tc>
        <w:tc>
          <w:tcPr>
            <w:tcW w:w="26" w:type="pct"/>
            <w:shd w:val="clear" w:color="auto" w:fill="auto"/>
          </w:tcPr>
          <w:p w14:paraId="7B66E7FF" w14:textId="77777777" w:rsidR="0040300B" w:rsidRDefault="0040300B">
            <w:pPr>
              <w:rPr>
                <w:rFonts w:ascii="宋体"/>
              </w:rPr>
            </w:pPr>
          </w:p>
        </w:tc>
        <w:tc>
          <w:tcPr>
            <w:tcW w:w="5" w:type="pct"/>
            <w:shd w:val="clear" w:color="auto" w:fill="auto"/>
          </w:tcPr>
          <w:p w14:paraId="7B66E800" w14:textId="77777777" w:rsidR="0040300B" w:rsidRDefault="0040300B">
            <w:pPr>
              <w:rPr>
                <w:rFonts w:ascii="宋体"/>
              </w:rPr>
            </w:pPr>
          </w:p>
        </w:tc>
        <w:tc>
          <w:tcPr>
            <w:tcW w:w="50" w:type="pct"/>
            <w:shd w:val="clear" w:color="auto" w:fill="auto"/>
          </w:tcPr>
          <w:p w14:paraId="7B66E801" w14:textId="77777777" w:rsidR="0040300B" w:rsidRDefault="0040300B">
            <w:pPr>
              <w:rPr>
                <w:rFonts w:ascii="宋体"/>
              </w:rPr>
            </w:pPr>
          </w:p>
        </w:tc>
        <w:tc>
          <w:tcPr>
            <w:tcW w:w="584" w:type="pct"/>
            <w:shd w:val="clear" w:color="auto" w:fill="auto"/>
          </w:tcPr>
          <w:p w14:paraId="7B66E802" w14:textId="77777777" w:rsidR="0040300B" w:rsidRDefault="0040300B">
            <w:pPr>
              <w:rPr>
                <w:rFonts w:ascii="宋体"/>
              </w:rPr>
            </w:pPr>
          </w:p>
        </w:tc>
        <w:tc>
          <w:tcPr>
            <w:tcW w:w="5" w:type="pct"/>
            <w:shd w:val="clear" w:color="auto" w:fill="auto"/>
          </w:tcPr>
          <w:p w14:paraId="7B66E803" w14:textId="77777777" w:rsidR="0040300B" w:rsidRDefault="0040300B">
            <w:pPr>
              <w:rPr>
                <w:rFonts w:ascii="宋体"/>
              </w:rPr>
            </w:pPr>
          </w:p>
        </w:tc>
        <w:tc>
          <w:tcPr>
            <w:tcW w:w="5" w:type="pct"/>
            <w:shd w:val="clear" w:color="auto" w:fill="auto"/>
          </w:tcPr>
          <w:p w14:paraId="7B66E804" w14:textId="77777777" w:rsidR="0040300B" w:rsidRDefault="0040300B">
            <w:pPr>
              <w:rPr>
                <w:rFonts w:ascii="宋体"/>
              </w:rPr>
            </w:pPr>
          </w:p>
        </w:tc>
        <w:tc>
          <w:tcPr>
            <w:tcW w:w="26" w:type="pct"/>
            <w:shd w:val="clear" w:color="auto" w:fill="auto"/>
          </w:tcPr>
          <w:p w14:paraId="7B66E805" w14:textId="77777777" w:rsidR="0040300B" w:rsidRDefault="0040300B">
            <w:pPr>
              <w:rPr>
                <w:rFonts w:ascii="宋体"/>
              </w:rPr>
            </w:pPr>
          </w:p>
        </w:tc>
        <w:tc>
          <w:tcPr>
            <w:tcW w:w="5" w:type="pct"/>
            <w:shd w:val="clear" w:color="auto" w:fill="auto"/>
          </w:tcPr>
          <w:p w14:paraId="7B66E806" w14:textId="77777777" w:rsidR="0040300B" w:rsidRDefault="0040300B">
            <w:pPr>
              <w:rPr>
                <w:rFonts w:ascii="宋体"/>
              </w:rPr>
            </w:pPr>
          </w:p>
        </w:tc>
        <w:tc>
          <w:tcPr>
            <w:tcW w:w="50" w:type="pct"/>
            <w:shd w:val="clear" w:color="auto" w:fill="auto"/>
          </w:tcPr>
          <w:p w14:paraId="7B66E807" w14:textId="77777777" w:rsidR="0040300B" w:rsidRDefault="0040300B">
            <w:pPr>
              <w:rPr>
                <w:rFonts w:ascii="宋体"/>
              </w:rPr>
            </w:pPr>
          </w:p>
        </w:tc>
        <w:tc>
          <w:tcPr>
            <w:tcW w:w="584" w:type="pct"/>
            <w:shd w:val="clear" w:color="auto" w:fill="auto"/>
          </w:tcPr>
          <w:p w14:paraId="7B66E808" w14:textId="77777777" w:rsidR="0040300B" w:rsidRDefault="0040300B">
            <w:pPr>
              <w:rPr>
                <w:rFonts w:ascii="宋体"/>
              </w:rPr>
            </w:pPr>
          </w:p>
        </w:tc>
        <w:tc>
          <w:tcPr>
            <w:tcW w:w="5" w:type="pct"/>
            <w:shd w:val="clear" w:color="auto" w:fill="auto"/>
          </w:tcPr>
          <w:p w14:paraId="7B66E809" w14:textId="77777777" w:rsidR="0040300B" w:rsidRDefault="0040300B">
            <w:pPr>
              <w:rPr>
                <w:rFonts w:ascii="宋体"/>
              </w:rPr>
            </w:pPr>
          </w:p>
        </w:tc>
        <w:tc>
          <w:tcPr>
            <w:tcW w:w="5" w:type="pct"/>
            <w:shd w:val="clear" w:color="auto" w:fill="auto"/>
          </w:tcPr>
          <w:p w14:paraId="7B66E80A" w14:textId="77777777" w:rsidR="0040300B" w:rsidRDefault="0040300B">
            <w:pPr>
              <w:rPr>
                <w:rFonts w:ascii="宋体"/>
              </w:rPr>
            </w:pPr>
          </w:p>
        </w:tc>
        <w:tc>
          <w:tcPr>
            <w:tcW w:w="26" w:type="pct"/>
            <w:shd w:val="clear" w:color="auto" w:fill="auto"/>
          </w:tcPr>
          <w:p w14:paraId="7B66E80B" w14:textId="77777777" w:rsidR="0040300B" w:rsidRDefault="0040300B">
            <w:pPr>
              <w:rPr>
                <w:rFonts w:ascii="宋体"/>
              </w:rPr>
            </w:pPr>
          </w:p>
        </w:tc>
        <w:tc>
          <w:tcPr>
            <w:tcW w:w="5" w:type="pct"/>
            <w:shd w:val="clear" w:color="auto" w:fill="auto"/>
          </w:tcPr>
          <w:p w14:paraId="7B66E80C" w14:textId="77777777" w:rsidR="0040300B" w:rsidRDefault="0040300B">
            <w:pPr>
              <w:rPr>
                <w:rFonts w:ascii="宋体"/>
              </w:rPr>
            </w:pPr>
          </w:p>
        </w:tc>
        <w:tc>
          <w:tcPr>
            <w:tcW w:w="50" w:type="pct"/>
            <w:shd w:val="clear" w:color="auto" w:fill="auto"/>
          </w:tcPr>
          <w:p w14:paraId="7B66E80D" w14:textId="77777777" w:rsidR="0040300B" w:rsidRDefault="0040300B">
            <w:pPr>
              <w:rPr>
                <w:rFonts w:ascii="宋体"/>
              </w:rPr>
            </w:pPr>
          </w:p>
        </w:tc>
        <w:tc>
          <w:tcPr>
            <w:tcW w:w="540" w:type="pct"/>
            <w:shd w:val="clear" w:color="auto" w:fill="auto"/>
          </w:tcPr>
          <w:p w14:paraId="7B66E80E" w14:textId="77777777" w:rsidR="0040300B" w:rsidRDefault="0040300B">
            <w:pPr>
              <w:rPr>
                <w:rFonts w:ascii="宋体"/>
              </w:rPr>
            </w:pPr>
          </w:p>
        </w:tc>
        <w:tc>
          <w:tcPr>
            <w:tcW w:w="5" w:type="pct"/>
            <w:shd w:val="clear" w:color="auto" w:fill="auto"/>
          </w:tcPr>
          <w:p w14:paraId="7B66E80F" w14:textId="77777777" w:rsidR="0040300B" w:rsidRDefault="0040300B">
            <w:pPr>
              <w:rPr>
                <w:rFonts w:ascii="宋体"/>
              </w:rPr>
            </w:pPr>
          </w:p>
        </w:tc>
      </w:tr>
      <w:tr w:rsidR="0040300B" w14:paraId="7B66E819" w14:textId="77777777">
        <w:trPr>
          <w:trHeight w:val="240"/>
        </w:trPr>
        <w:tc>
          <w:tcPr>
            <w:tcW w:w="0" w:type="auto"/>
            <w:gridSpan w:val="3"/>
            <w:shd w:val="clear" w:color="auto" w:fill="auto"/>
            <w:tcMar>
              <w:top w:w="0" w:type="dxa"/>
              <w:left w:w="20" w:type="dxa"/>
              <w:bottom w:w="0" w:type="dxa"/>
              <w:right w:w="20" w:type="dxa"/>
            </w:tcMar>
          </w:tcPr>
          <w:p w14:paraId="7B66E81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818" w14:textId="77777777" w:rsidR="0040300B" w:rsidRDefault="0040300B">
            <w:pPr>
              <w:rPr>
                <w:rFonts w:ascii="宋体"/>
              </w:rPr>
            </w:pPr>
          </w:p>
        </w:tc>
      </w:tr>
      <w:tr w:rsidR="0040300B" w14:paraId="7B66E822" w14:textId="77777777">
        <w:tc>
          <w:tcPr>
            <w:tcW w:w="0" w:type="auto"/>
            <w:gridSpan w:val="3"/>
            <w:shd w:val="clear" w:color="auto" w:fill="auto"/>
            <w:tcMar>
              <w:top w:w="0" w:type="dxa"/>
              <w:left w:w="20" w:type="dxa"/>
              <w:bottom w:w="0" w:type="dxa"/>
              <w:right w:w="20" w:type="dxa"/>
            </w:tcMar>
          </w:tcPr>
          <w:p w14:paraId="7B66E81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81B" w14:textId="77777777" w:rsidR="0040300B" w:rsidRDefault="00BB2D44">
            <w:pPr>
              <w:jc w:val="center"/>
              <w:textAlignment w:val="bottom"/>
            </w:pPr>
            <w:r>
              <w:rPr>
                <w:rFonts w:ascii="Times New Roman" w:eastAsia="宋体" w:hAnsi="Times New Roman"/>
                <w:color w:val="000000"/>
                <w:sz w:val="18"/>
                <w:szCs w:val="18"/>
              </w:rPr>
              <w:t>Balance at July 25, 2020</w:t>
            </w:r>
          </w:p>
        </w:tc>
        <w:tc>
          <w:tcPr>
            <w:tcW w:w="0" w:type="auto"/>
            <w:gridSpan w:val="3"/>
            <w:shd w:val="clear" w:color="auto" w:fill="auto"/>
            <w:tcMar>
              <w:top w:w="0" w:type="dxa"/>
              <w:left w:w="20" w:type="dxa"/>
              <w:bottom w:w="0" w:type="dxa"/>
              <w:right w:w="20" w:type="dxa"/>
            </w:tcMar>
          </w:tcPr>
          <w:p w14:paraId="7B66E81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81D" w14:textId="77777777" w:rsidR="0040300B" w:rsidRDefault="00BB2D44">
            <w:pPr>
              <w:jc w:val="center"/>
              <w:textAlignment w:val="bottom"/>
            </w:pPr>
            <w:r>
              <w:rPr>
                <w:rFonts w:ascii="Times New Roman" w:eastAsia="宋体" w:hAnsi="Times New Roman"/>
                <w:color w:val="000000"/>
                <w:sz w:val="18"/>
                <w:szCs w:val="18"/>
              </w:rPr>
              <w:t>Acquisitions &amp; Divestitures</w:t>
            </w:r>
          </w:p>
        </w:tc>
        <w:tc>
          <w:tcPr>
            <w:tcW w:w="0" w:type="auto"/>
            <w:gridSpan w:val="3"/>
            <w:shd w:val="clear" w:color="auto" w:fill="auto"/>
            <w:tcMar>
              <w:top w:w="0" w:type="dxa"/>
              <w:left w:w="20" w:type="dxa"/>
              <w:bottom w:w="0" w:type="dxa"/>
              <w:right w:w="20" w:type="dxa"/>
            </w:tcMar>
          </w:tcPr>
          <w:p w14:paraId="7B66E81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81F" w14:textId="77777777" w:rsidR="0040300B" w:rsidRDefault="00BB2D44">
            <w:pPr>
              <w:jc w:val="center"/>
              <w:textAlignment w:val="bottom"/>
            </w:pPr>
            <w:r>
              <w:rPr>
                <w:rFonts w:ascii="Times New Roman" w:eastAsia="宋体" w:hAnsi="Times New Roman"/>
                <w:color w:val="000000"/>
                <w:sz w:val="18"/>
                <w:szCs w:val="18"/>
              </w:rPr>
              <w:t>Foreign Currency Translation and Other</w:t>
            </w:r>
          </w:p>
        </w:tc>
        <w:tc>
          <w:tcPr>
            <w:tcW w:w="0" w:type="auto"/>
            <w:gridSpan w:val="3"/>
            <w:shd w:val="clear" w:color="auto" w:fill="auto"/>
            <w:tcMar>
              <w:top w:w="0" w:type="dxa"/>
              <w:left w:w="20" w:type="dxa"/>
              <w:bottom w:w="0" w:type="dxa"/>
              <w:right w:w="20" w:type="dxa"/>
            </w:tcMar>
          </w:tcPr>
          <w:p w14:paraId="7B66E82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821" w14:textId="77777777" w:rsidR="0040300B" w:rsidRDefault="00BB2D44">
            <w:pPr>
              <w:jc w:val="center"/>
              <w:textAlignment w:val="bottom"/>
            </w:pPr>
            <w:r>
              <w:rPr>
                <w:rFonts w:ascii="Times New Roman" w:eastAsia="宋体" w:hAnsi="Times New Roman"/>
                <w:color w:val="000000"/>
                <w:sz w:val="18"/>
                <w:szCs w:val="18"/>
              </w:rPr>
              <w:t>Balance at May 1, 2021</w:t>
            </w:r>
          </w:p>
        </w:tc>
      </w:tr>
      <w:tr w:rsidR="0040300B" w14:paraId="7B66E833" w14:textId="77777777">
        <w:tc>
          <w:tcPr>
            <w:tcW w:w="0" w:type="auto"/>
            <w:gridSpan w:val="3"/>
            <w:shd w:val="clear" w:color="auto" w:fill="CCEEFF"/>
            <w:tcMar>
              <w:top w:w="40" w:type="dxa"/>
              <w:left w:w="20" w:type="dxa"/>
              <w:bottom w:w="40" w:type="dxa"/>
              <w:right w:w="20" w:type="dxa"/>
            </w:tcMar>
          </w:tcPr>
          <w:p w14:paraId="7B66E823" w14:textId="77777777" w:rsidR="0040300B" w:rsidRDefault="00BB2D44">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82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25" w14:textId="77777777" w:rsidR="0040300B" w:rsidRDefault="00BB2D44">
            <w:pPr>
              <w:jc w:val="right"/>
              <w:textAlignment w:val="bottom"/>
            </w:pPr>
            <w:r>
              <w:rPr>
                <w:rFonts w:ascii="Times New Roman" w:eastAsia="宋体" w:hAnsi="Times New Roman"/>
                <w:color w:val="000000"/>
                <w:sz w:val="20"/>
                <w:szCs w:val="20"/>
              </w:rPr>
              <w:t>21,304 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2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2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29" w14:textId="77777777" w:rsidR="0040300B" w:rsidRDefault="00BB2D44">
            <w:pPr>
              <w:jc w:val="right"/>
              <w:textAlignment w:val="bottom"/>
            </w:pPr>
            <w:r>
              <w:rPr>
                <w:rFonts w:ascii="Times New Roman" w:eastAsia="宋体" w:hAnsi="Times New Roman"/>
                <w:color w:val="000000"/>
                <w:sz w:val="20"/>
                <w:szCs w:val="20"/>
              </w:rPr>
              <w:t>1,902 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2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2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2D" w14:textId="77777777" w:rsidR="0040300B" w:rsidRDefault="00BB2D44">
            <w:pPr>
              <w:jc w:val="right"/>
              <w:textAlignment w:val="bottom"/>
            </w:pPr>
            <w:r>
              <w:rPr>
                <w:rFonts w:ascii="Times New Roman" w:eastAsia="宋体" w:hAnsi="Times New Roman"/>
                <w:color w:val="000000"/>
                <w:sz w:val="20"/>
                <w:szCs w:val="20"/>
              </w:rPr>
              <w:t>157 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2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2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3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31" w14:textId="77777777" w:rsidR="0040300B" w:rsidRDefault="00BB2D44">
            <w:pPr>
              <w:jc w:val="right"/>
              <w:textAlignment w:val="bottom"/>
            </w:pPr>
            <w:r>
              <w:rPr>
                <w:rFonts w:ascii="Times New Roman" w:eastAsia="宋体" w:hAnsi="Times New Roman"/>
                <w:color w:val="000000"/>
                <w:sz w:val="20"/>
                <w:szCs w:val="20"/>
              </w:rPr>
              <w:t>23,363 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32" w14:textId="77777777" w:rsidR="0040300B" w:rsidRDefault="0040300B">
            <w:pPr>
              <w:jc w:val="right"/>
              <w:rPr>
                <w:rFonts w:ascii="宋体"/>
              </w:rPr>
            </w:pPr>
          </w:p>
        </w:tc>
      </w:tr>
      <w:tr w:rsidR="0040300B" w14:paraId="7B66E840" w14:textId="77777777">
        <w:tc>
          <w:tcPr>
            <w:tcW w:w="0" w:type="auto"/>
            <w:gridSpan w:val="3"/>
            <w:shd w:val="clear" w:color="auto" w:fill="FFFFFF"/>
            <w:tcMar>
              <w:top w:w="40" w:type="dxa"/>
              <w:left w:w="20" w:type="dxa"/>
              <w:bottom w:w="40" w:type="dxa"/>
              <w:right w:w="20" w:type="dxa"/>
            </w:tcMar>
          </w:tcPr>
          <w:p w14:paraId="7B66E834" w14:textId="77777777" w:rsidR="0040300B" w:rsidRDefault="00BB2D44">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7B66E835" w14:textId="77777777" w:rsidR="0040300B" w:rsidRDefault="00BB2D44">
            <w:pPr>
              <w:jc w:val="right"/>
              <w:textAlignment w:val="bottom"/>
            </w:pPr>
            <w:r>
              <w:rPr>
                <w:rFonts w:ascii="Times New Roman" w:eastAsia="宋体" w:hAnsi="Times New Roman"/>
                <w:color w:val="000000"/>
                <w:sz w:val="20"/>
                <w:szCs w:val="20"/>
              </w:rPr>
              <w:t>8,040 </w:t>
            </w:r>
          </w:p>
        </w:tc>
        <w:tc>
          <w:tcPr>
            <w:tcW w:w="0" w:type="auto"/>
            <w:shd w:val="clear" w:color="auto" w:fill="FFFFFF"/>
            <w:tcMar>
              <w:top w:w="40" w:type="dxa"/>
              <w:left w:w="0" w:type="dxa"/>
              <w:bottom w:w="40" w:type="dxa"/>
              <w:right w:w="20" w:type="dxa"/>
            </w:tcMar>
            <w:vAlign w:val="bottom"/>
          </w:tcPr>
          <w:p w14:paraId="7B66E83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3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38" w14:textId="77777777" w:rsidR="0040300B" w:rsidRDefault="00BB2D44">
            <w:pPr>
              <w:jc w:val="right"/>
              <w:textAlignment w:val="bottom"/>
            </w:pPr>
            <w:r>
              <w:rPr>
                <w:rFonts w:ascii="Times New Roman" w:eastAsia="宋体" w:hAnsi="Times New Roman"/>
                <w:color w:val="000000"/>
                <w:sz w:val="20"/>
                <w:szCs w:val="20"/>
              </w:rPr>
              <w:t>869 </w:t>
            </w:r>
          </w:p>
        </w:tc>
        <w:tc>
          <w:tcPr>
            <w:tcW w:w="0" w:type="auto"/>
            <w:shd w:val="clear" w:color="auto" w:fill="FFFFFF"/>
            <w:tcMar>
              <w:top w:w="40" w:type="dxa"/>
              <w:left w:w="0" w:type="dxa"/>
              <w:bottom w:w="40" w:type="dxa"/>
              <w:right w:w="20" w:type="dxa"/>
            </w:tcMar>
            <w:vAlign w:val="bottom"/>
          </w:tcPr>
          <w:p w14:paraId="7B66E83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3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3B" w14:textId="77777777" w:rsidR="0040300B" w:rsidRDefault="00BB2D44">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7B66E83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3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3E" w14:textId="77777777" w:rsidR="0040300B" w:rsidRDefault="00BB2D44">
            <w:pPr>
              <w:jc w:val="right"/>
              <w:textAlignment w:val="bottom"/>
            </w:pPr>
            <w:r>
              <w:rPr>
                <w:rFonts w:ascii="Times New Roman" w:eastAsia="宋体" w:hAnsi="Times New Roman"/>
                <w:color w:val="000000"/>
                <w:sz w:val="20"/>
                <w:szCs w:val="20"/>
              </w:rPr>
              <w:t>8,968 </w:t>
            </w:r>
          </w:p>
        </w:tc>
        <w:tc>
          <w:tcPr>
            <w:tcW w:w="0" w:type="auto"/>
            <w:shd w:val="clear" w:color="auto" w:fill="FFFFFF"/>
            <w:tcMar>
              <w:top w:w="40" w:type="dxa"/>
              <w:left w:w="0" w:type="dxa"/>
              <w:bottom w:w="40" w:type="dxa"/>
              <w:right w:w="20" w:type="dxa"/>
            </w:tcMar>
            <w:vAlign w:val="bottom"/>
          </w:tcPr>
          <w:p w14:paraId="7B66E83F" w14:textId="77777777" w:rsidR="0040300B" w:rsidRDefault="0040300B">
            <w:pPr>
              <w:jc w:val="right"/>
              <w:rPr>
                <w:rFonts w:ascii="宋体"/>
              </w:rPr>
            </w:pPr>
          </w:p>
        </w:tc>
      </w:tr>
      <w:tr w:rsidR="0040300B" w14:paraId="7B66E84D" w14:textId="77777777">
        <w:tc>
          <w:tcPr>
            <w:tcW w:w="0" w:type="auto"/>
            <w:gridSpan w:val="3"/>
            <w:shd w:val="clear" w:color="auto" w:fill="CCEEFF"/>
            <w:tcMar>
              <w:top w:w="40" w:type="dxa"/>
              <w:left w:w="20" w:type="dxa"/>
              <w:bottom w:w="40" w:type="dxa"/>
              <w:right w:w="20" w:type="dxa"/>
            </w:tcMar>
          </w:tcPr>
          <w:p w14:paraId="7B66E841" w14:textId="77777777" w:rsidR="0040300B" w:rsidRDefault="00BB2D44">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7B66E842" w14:textId="77777777" w:rsidR="0040300B" w:rsidRDefault="00BB2D44">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7B66E8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4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845" w14:textId="77777777" w:rsidR="0040300B" w:rsidRDefault="00BB2D44">
            <w:pPr>
              <w:jc w:val="right"/>
              <w:textAlignment w:val="bottom"/>
            </w:pPr>
            <w:r>
              <w:rPr>
                <w:rFonts w:ascii="Times New Roman" w:eastAsia="宋体" w:hAnsi="Times New Roman"/>
                <w:color w:val="000000"/>
                <w:sz w:val="20"/>
                <w:szCs w:val="20"/>
              </w:rPr>
              <w:t>863 </w:t>
            </w:r>
          </w:p>
        </w:tc>
        <w:tc>
          <w:tcPr>
            <w:tcW w:w="0" w:type="auto"/>
            <w:shd w:val="clear" w:color="auto" w:fill="CCEEFF"/>
            <w:tcMar>
              <w:top w:w="40" w:type="dxa"/>
              <w:left w:w="0" w:type="dxa"/>
              <w:bottom w:w="40" w:type="dxa"/>
              <w:right w:w="20" w:type="dxa"/>
            </w:tcMar>
            <w:vAlign w:val="bottom"/>
          </w:tcPr>
          <w:p w14:paraId="7B66E84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4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848" w14:textId="77777777" w:rsidR="0040300B" w:rsidRDefault="00BB2D44">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7B66E84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4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84B" w14:textId="77777777" w:rsidR="0040300B" w:rsidRDefault="00BB2D44">
            <w:pPr>
              <w:jc w:val="right"/>
              <w:textAlignment w:val="bottom"/>
            </w:pPr>
            <w:r>
              <w:rPr>
                <w:rFonts w:ascii="Times New Roman" w:eastAsia="宋体" w:hAnsi="Times New Roman"/>
                <w:color w:val="000000"/>
                <w:sz w:val="20"/>
                <w:szCs w:val="20"/>
              </w:rPr>
              <w:t>5,359 </w:t>
            </w:r>
          </w:p>
        </w:tc>
        <w:tc>
          <w:tcPr>
            <w:tcW w:w="0" w:type="auto"/>
            <w:shd w:val="clear" w:color="auto" w:fill="CCEEFF"/>
            <w:tcMar>
              <w:top w:w="40" w:type="dxa"/>
              <w:left w:w="0" w:type="dxa"/>
              <w:bottom w:w="40" w:type="dxa"/>
              <w:right w:w="20" w:type="dxa"/>
            </w:tcMar>
            <w:vAlign w:val="bottom"/>
          </w:tcPr>
          <w:p w14:paraId="7B66E84C" w14:textId="77777777" w:rsidR="0040300B" w:rsidRDefault="0040300B">
            <w:pPr>
              <w:jc w:val="right"/>
              <w:rPr>
                <w:rFonts w:ascii="宋体"/>
              </w:rPr>
            </w:pPr>
          </w:p>
        </w:tc>
      </w:tr>
      <w:tr w:rsidR="0040300B" w14:paraId="7B66E85E" w14:textId="77777777">
        <w:tc>
          <w:tcPr>
            <w:tcW w:w="0" w:type="auto"/>
            <w:gridSpan w:val="3"/>
            <w:shd w:val="clear" w:color="auto" w:fill="FFFFFF"/>
            <w:tcMar>
              <w:top w:w="40" w:type="dxa"/>
              <w:left w:w="380" w:type="dxa"/>
              <w:bottom w:w="40" w:type="dxa"/>
              <w:right w:w="20" w:type="dxa"/>
            </w:tcMar>
          </w:tcPr>
          <w:p w14:paraId="7B66E84E"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84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850" w14:textId="77777777" w:rsidR="0040300B" w:rsidRDefault="00BB2D44">
            <w:pPr>
              <w:jc w:val="right"/>
              <w:textAlignment w:val="bottom"/>
            </w:pPr>
            <w:r>
              <w:rPr>
                <w:rFonts w:ascii="Times New Roman" w:eastAsia="宋体" w:hAnsi="Times New Roman"/>
                <w:color w:val="000000"/>
                <w:sz w:val="20"/>
                <w:szCs w:val="20"/>
              </w:rPr>
              <w:t>33,806 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85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5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85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854" w14:textId="77777777" w:rsidR="0040300B" w:rsidRDefault="00BB2D44">
            <w:pPr>
              <w:jc w:val="right"/>
              <w:textAlignment w:val="bottom"/>
            </w:pPr>
            <w:r>
              <w:rPr>
                <w:rFonts w:ascii="Times New Roman" w:eastAsia="宋体" w:hAnsi="Times New Roman"/>
                <w:color w:val="000000"/>
                <w:sz w:val="20"/>
                <w:szCs w:val="20"/>
              </w:rPr>
              <w:t>3,634 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85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5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85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858" w14:textId="77777777" w:rsidR="0040300B" w:rsidRDefault="00BB2D44">
            <w:pPr>
              <w:jc w:val="right"/>
              <w:textAlignment w:val="bottom"/>
            </w:pPr>
            <w:r>
              <w:rPr>
                <w:rFonts w:ascii="Times New Roman" w:eastAsia="宋体" w:hAnsi="Times New Roman"/>
                <w:color w:val="000000"/>
                <w:sz w:val="20"/>
                <w:szCs w:val="20"/>
              </w:rPr>
              <w:t>250 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85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5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85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85C" w14:textId="77777777" w:rsidR="0040300B" w:rsidRDefault="00BB2D44">
            <w:pPr>
              <w:jc w:val="right"/>
              <w:textAlignment w:val="bottom"/>
            </w:pPr>
            <w:r>
              <w:rPr>
                <w:rFonts w:ascii="Times New Roman" w:eastAsia="宋体" w:hAnsi="Times New Roman"/>
                <w:color w:val="000000"/>
                <w:sz w:val="20"/>
                <w:szCs w:val="20"/>
              </w:rPr>
              <w:t>37,690 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85D" w14:textId="77777777" w:rsidR="0040300B" w:rsidRDefault="0040300B">
            <w:pPr>
              <w:jc w:val="right"/>
              <w:rPr>
                <w:rFonts w:ascii="宋体"/>
              </w:rPr>
            </w:pPr>
          </w:p>
        </w:tc>
      </w:tr>
    </w:tbl>
    <w:p w14:paraId="7B66E85F" w14:textId="77777777" w:rsidR="0040300B" w:rsidRDefault="00BB2D44">
      <w:pPr>
        <w:jc w:val="center"/>
      </w:pPr>
      <w:r>
        <w:rPr>
          <w:rFonts w:ascii="Times New Roman" w:eastAsia="宋体" w:hAnsi="Times New Roman"/>
          <w:color w:val="000000"/>
          <w:sz w:val="20"/>
          <w:szCs w:val="20"/>
        </w:rPr>
        <w:t>13</w:t>
      </w:r>
    </w:p>
    <w:p w14:paraId="7B66E860" w14:textId="77777777" w:rsidR="0040300B" w:rsidRDefault="00BB2D44">
      <w:r>
        <w:pict w14:anchorId="7B671C1D">
          <v:rect id="_x0000_i1037" style="width:415.3pt;height:1.5pt" o:hralign="center" o:hrstd="t" o:hr="t" fillcolor="#a0a0a0" stroked="f"/>
        </w:pict>
      </w:r>
    </w:p>
    <w:p w14:paraId="7B66E861" w14:textId="77777777" w:rsidR="0040300B" w:rsidRDefault="00BB2D44">
      <w:hyperlink r:id="rId59" w:anchor="i52d5b40dbad7426a9806a2fd5167029f_7" w:history="1">
        <w:r>
          <w:rPr>
            <w:rStyle w:val="a5"/>
            <w:rFonts w:ascii="Times New Roman" w:eastAsia="宋体" w:hAnsi="Times New Roman"/>
            <w:sz w:val="18"/>
            <w:szCs w:val="18"/>
          </w:rPr>
          <w:t>Table of Contents</w:t>
        </w:r>
      </w:hyperlink>
    </w:p>
    <w:p w14:paraId="7B66E862" w14:textId="77777777" w:rsidR="0040300B" w:rsidRDefault="00BB2D44">
      <w:pPr>
        <w:jc w:val="center"/>
      </w:pPr>
      <w:r>
        <w:rPr>
          <w:rFonts w:ascii="Times New Roman" w:eastAsia="宋体" w:hAnsi="Times New Roman"/>
          <w:b/>
          <w:bCs/>
          <w:color w:val="000000"/>
          <w:sz w:val="18"/>
          <w:szCs w:val="18"/>
        </w:rPr>
        <w:t>CISCO SYSTEMS, INC.</w:t>
      </w:r>
    </w:p>
    <w:p w14:paraId="7B66E863"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864" w14:textId="77777777" w:rsidR="0040300B" w:rsidRDefault="00BB2D44">
      <w:pPr>
        <w:jc w:val="center"/>
      </w:pPr>
      <w:r>
        <w:rPr>
          <w:rFonts w:ascii="Times New Roman" w:eastAsia="宋体" w:hAnsi="Times New Roman"/>
          <w:b/>
          <w:bCs/>
          <w:color w:val="000000"/>
          <w:sz w:val="18"/>
          <w:szCs w:val="18"/>
        </w:rPr>
        <w:t xml:space="preserve">(Unaudited) </w:t>
      </w:r>
    </w:p>
    <w:p w14:paraId="7B66E865" w14:textId="77777777" w:rsidR="0040300B" w:rsidRDefault="0040300B">
      <w:pPr>
        <w:jc w:val="center"/>
      </w:pPr>
    </w:p>
    <w:p w14:paraId="7B66E866" w14:textId="77777777" w:rsidR="0040300B" w:rsidRDefault="00BB2D44">
      <w:pPr>
        <w:spacing w:before="120" w:after="220"/>
        <w:ind w:hanging="360"/>
        <w:jc w:val="both"/>
      </w:pPr>
      <w:r>
        <w:rPr>
          <w:rFonts w:ascii="Times New Roman" w:eastAsia="宋体" w:hAnsi="Times New Roman"/>
          <w:b/>
          <w:bCs/>
          <w:color w:val="000000"/>
          <w:sz w:val="20"/>
          <w:szCs w:val="20"/>
        </w:rPr>
        <w:t>(b)Purchased Intangible Assets</w:t>
      </w:r>
    </w:p>
    <w:p w14:paraId="7B66E867" w14:textId="77777777" w:rsidR="0040300B" w:rsidRDefault="00BB2D44">
      <w:pPr>
        <w:spacing w:before="120"/>
        <w:jc w:val="both"/>
      </w:pPr>
      <w:r>
        <w:rPr>
          <w:rFonts w:ascii="Times New Roman" w:eastAsia="宋体" w:hAnsi="Times New Roman"/>
          <w:color w:val="000000"/>
          <w:sz w:val="20"/>
          <w:szCs w:val="20"/>
        </w:rPr>
        <w:t xml:space="preserve">The following table presents details of our </w:t>
      </w:r>
      <w:r>
        <w:rPr>
          <w:rFonts w:ascii="Times New Roman" w:eastAsia="宋体" w:hAnsi="Times New Roman"/>
          <w:color w:val="000000"/>
          <w:sz w:val="20"/>
          <w:szCs w:val="20"/>
        </w:rPr>
        <w:t>intangible assets acquired through acquisitions completed during the first nine months of fiscal 2021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38"/>
        <w:gridCol w:w="681"/>
        <w:gridCol w:w="36"/>
        <w:gridCol w:w="93"/>
        <w:gridCol w:w="947"/>
        <w:gridCol w:w="37"/>
        <w:gridCol w:w="37"/>
        <w:gridCol w:w="37"/>
        <w:gridCol w:w="37"/>
        <w:gridCol w:w="120"/>
        <w:gridCol w:w="500"/>
        <w:gridCol w:w="36"/>
        <w:gridCol w:w="36"/>
        <w:gridCol w:w="36"/>
        <w:gridCol w:w="36"/>
        <w:gridCol w:w="93"/>
        <w:gridCol w:w="947"/>
        <w:gridCol w:w="37"/>
        <w:gridCol w:w="37"/>
        <w:gridCol w:w="37"/>
        <w:gridCol w:w="36"/>
        <w:gridCol w:w="120"/>
        <w:gridCol w:w="423"/>
        <w:gridCol w:w="36"/>
        <w:gridCol w:w="36"/>
        <w:gridCol w:w="36"/>
        <w:gridCol w:w="36"/>
        <w:gridCol w:w="93"/>
        <w:gridCol w:w="947"/>
        <w:gridCol w:w="36"/>
        <w:gridCol w:w="36"/>
        <w:gridCol w:w="36"/>
        <w:gridCol w:w="36"/>
        <w:gridCol w:w="121"/>
        <w:gridCol w:w="484"/>
        <w:gridCol w:w="36"/>
        <w:gridCol w:w="36"/>
        <w:gridCol w:w="36"/>
        <w:gridCol w:w="36"/>
        <w:gridCol w:w="121"/>
        <w:gridCol w:w="839"/>
        <w:gridCol w:w="36"/>
        <w:gridCol w:w="36"/>
        <w:gridCol w:w="36"/>
        <w:gridCol w:w="36"/>
        <w:gridCol w:w="120"/>
        <w:gridCol w:w="500"/>
        <w:gridCol w:w="36"/>
      </w:tblGrid>
      <w:tr w:rsidR="0040300B" w14:paraId="7B66E898" w14:textId="77777777">
        <w:tc>
          <w:tcPr>
            <w:tcW w:w="50" w:type="pct"/>
            <w:shd w:val="clear" w:color="auto" w:fill="auto"/>
          </w:tcPr>
          <w:p w14:paraId="7B66E868" w14:textId="77777777" w:rsidR="0040300B" w:rsidRDefault="0040300B">
            <w:pPr>
              <w:rPr>
                <w:rFonts w:ascii="宋体"/>
              </w:rPr>
            </w:pPr>
          </w:p>
        </w:tc>
        <w:tc>
          <w:tcPr>
            <w:tcW w:w="887" w:type="pct"/>
            <w:shd w:val="clear" w:color="auto" w:fill="auto"/>
          </w:tcPr>
          <w:p w14:paraId="7B66E869" w14:textId="77777777" w:rsidR="0040300B" w:rsidRDefault="0040300B">
            <w:pPr>
              <w:rPr>
                <w:rFonts w:ascii="宋体"/>
              </w:rPr>
            </w:pPr>
          </w:p>
        </w:tc>
        <w:tc>
          <w:tcPr>
            <w:tcW w:w="5" w:type="pct"/>
            <w:shd w:val="clear" w:color="auto" w:fill="auto"/>
          </w:tcPr>
          <w:p w14:paraId="7B66E86A" w14:textId="77777777" w:rsidR="0040300B" w:rsidRDefault="0040300B">
            <w:pPr>
              <w:rPr>
                <w:rFonts w:ascii="宋体"/>
              </w:rPr>
            </w:pPr>
          </w:p>
        </w:tc>
        <w:tc>
          <w:tcPr>
            <w:tcW w:w="50" w:type="pct"/>
            <w:shd w:val="clear" w:color="auto" w:fill="auto"/>
          </w:tcPr>
          <w:p w14:paraId="7B66E86B" w14:textId="77777777" w:rsidR="0040300B" w:rsidRDefault="0040300B">
            <w:pPr>
              <w:rPr>
                <w:rFonts w:ascii="宋体"/>
              </w:rPr>
            </w:pPr>
          </w:p>
        </w:tc>
        <w:tc>
          <w:tcPr>
            <w:tcW w:w="512" w:type="pct"/>
            <w:shd w:val="clear" w:color="auto" w:fill="auto"/>
          </w:tcPr>
          <w:p w14:paraId="7B66E86C" w14:textId="77777777" w:rsidR="0040300B" w:rsidRDefault="0040300B">
            <w:pPr>
              <w:rPr>
                <w:rFonts w:ascii="宋体"/>
              </w:rPr>
            </w:pPr>
          </w:p>
        </w:tc>
        <w:tc>
          <w:tcPr>
            <w:tcW w:w="5" w:type="pct"/>
            <w:shd w:val="clear" w:color="auto" w:fill="auto"/>
          </w:tcPr>
          <w:p w14:paraId="7B66E86D" w14:textId="77777777" w:rsidR="0040300B" w:rsidRDefault="0040300B">
            <w:pPr>
              <w:rPr>
                <w:rFonts w:ascii="宋体"/>
              </w:rPr>
            </w:pPr>
          </w:p>
        </w:tc>
        <w:tc>
          <w:tcPr>
            <w:tcW w:w="5" w:type="pct"/>
            <w:shd w:val="clear" w:color="auto" w:fill="auto"/>
          </w:tcPr>
          <w:p w14:paraId="7B66E86E" w14:textId="77777777" w:rsidR="0040300B" w:rsidRDefault="0040300B">
            <w:pPr>
              <w:rPr>
                <w:rFonts w:ascii="宋体"/>
              </w:rPr>
            </w:pPr>
          </w:p>
        </w:tc>
        <w:tc>
          <w:tcPr>
            <w:tcW w:w="26" w:type="pct"/>
            <w:shd w:val="clear" w:color="auto" w:fill="auto"/>
          </w:tcPr>
          <w:p w14:paraId="7B66E86F" w14:textId="77777777" w:rsidR="0040300B" w:rsidRDefault="0040300B">
            <w:pPr>
              <w:rPr>
                <w:rFonts w:ascii="宋体"/>
              </w:rPr>
            </w:pPr>
          </w:p>
        </w:tc>
        <w:tc>
          <w:tcPr>
            <w:tcW w:w="5" w:type="pct"/>
            <w:shd w:val="clear" w:color="auto" w:fill="auto"/>
          </w:tcPr>
          <w:p w14:paraId="7B66E870" w14:textId="77777777" w:rsidR="0040300B" w:rsidRDefault="0040300B">
            <w:pPr>
              <w:rPr>
                <w:rFonts w:ascii="宋体"/>
              </w:rPr>
            </w:pPr>
          </w:p>
        </w:tc>
        <w:tc>
          <w:tcPr>
            <w:tcW w:w="50" w:type="pct"/>
            <w:shd w:val="clear" w:color="auto" w:fill="auto"/>
          </w:tcPr>
          <w:p w14:paraId="7B66E871" w14:textId="77777777" w:rsidR="0040300B" w:rsidRDefault="0040300B">
            <w:pPr>
              <w:rPr>
                <w:rFonts w:ascii="宋体"/>
              </w:rPr>
            </w:pPr>
          </w:p>
        </w:tc>
        <w:tc>
          <w:tcPr>
            <w:tcW w:w="327" w:type="pct"/>
            <w:shd w:val="clear" w:color="auto" w:fill="auto"/>
          </w:tcPr>
          <w:p w14:paraId="7B66E872" w14:textId="77777777" w:rsidR="0040300B" w:rsidRDefault="0040300B">
            <w:pPr>
              <w:rPr>
                <w:rFonts w:ascii="宋体"/>
              </w:rPr>
            </w:pPr>
          </w:p>
        </w:tc>
        <w:tc>
          <w:tcPr>
            <w:tcW w:w="5" w:type="pct"/>
            <w:shd w:val="clear" w:color="auto" w:fill="auto"/>
          </w:tcPr>
          <w:p w14:paraId="7B66E873" w14:textId="77777777" w:rsidR="0040300B" w:rsidRDefault="0040300B">
            <w:pPr>
              <w:rPr>
                <w:rFonts w:ascii="宋体"/>
              </w:rPr>
            </w:pPr>
          </w:p>
        </w:tc>
        <w:tc>
          <w:tcPr>
            <w:tcW w:w="5" w:type="pct"/>
            <w:shd w:val="clear" w:color="auto" w:fill="auto"/>
          </w:tcPr>
          <w:p w14:paraId="7B66E874" w14:textId="77777777" w:rsidR="0040300B" w:rsidRDefault="0040300B">
            <w:pPr>
              <w:rPr>
                <w:rFonts w:ascii="宋体"/>
              </w:rPr>
            </w:pPr>
          </w:p>
        </w:tc>
        <w:tc>
          <w:tcPr>
            <w:tcW w:w="26" w:type="pct"/>
            <w:shd w:val="clear" w:color="auto" w:fill="auto"/>
          </w:tcPr>
          <w:p w14:paraId="7B66E875" w14:textId="77777777" w:rsidR="0040300B" w:rsidRDefault="0040300B">
            <w:pPr>
              <w:rPr>
                <w:rFonts w:ascii="宋体"/>
              </w:rPr>
            </w:pPr>
          </w:p>
        </w:tc>
        <w:tc>
          <w:tcPr>
            <w:tcW w:w="5" w:type="pct"/>
            <w:shd w:val="clear" w:color="auto" w:fill="auto"/>
          </w:tcPr>
          <w:p w14:paraId="7B66E876" w14:textId="77777777" w:rsidR="0040300B" w:rsidRDefault="0040300B">
            <w:pPr>
              <w:rPr>
                <w:rFonts w:ascii="宋体"/>
              </w:rPr>
            </w:pPr>
          </w:p>
        </w:tc>
        <w:tc>
          <w:tcPr>
            <w:tcW w:w="50" w:type="pct"/>
            <w:shd w:val="clear" w:color="auto" w:fill="auto"/>
          </w:tcPr>
          <w:p w14:paraId="7B66E877" w14:textId="77777777" w:rsidR="0040300B" w:rsidRDefault="0040300B">
            <w:pPr>
              <w:rPr>
                <w:rFonts w:ascii="宋体"/>
              </w:rPr>
            </w:pPr>
          </w:p>
        </w:tc>
        <w:tc>
          <w:tcPr>
            <w:tcW w:w="512" w:type="pct"/>
            <w:shd w:val="clear" w:color="auto" w:fill="auto"/>
          </w:tcPr>
          <w:p w14:paraId="7B66E878" w14:textId="77777777" w:rsidR="0040300B" w:rsidRDefault="0040300B">
            <w:pPr>
              <w:rPr>
                <w:rFonts w:ascii="宋体"/>
              </w:rPr>
            </w:pPr>
          </w:p>
        </w:tc>
        <w:tc>
          <w:tcPr>
            <w:tcW w:w="5" w:type="pct"/>
            <w:shd w:val="clear" w:color="auto" w:fill="auto"/>
          </w:tcPr>
          <w:p w14:paraId="7B66E879" w14:textId="77777777" w:rsidR="0040300B" w:rsidRDefault="0040300B">
            <w:pPr>
              <w:rPr>
                <w:rFonts w:ascii="宋体"/>
              </w:rPr>
            </w:pPr>
          </w:p>
        </w:tc>
        <w:tc>
          <w:tcPr>
            <w:tcW w:w="5" w:type="pct"/>
            <w:shd w:val="clear" w:color="auto" w:fill="auto"/>
          </w:tcPr>
          <w:p w14:paraId="7B66E87A" w14:textId="77777777" w:rsidR="0040300B" w:rsidRDefault="0040300B">
            <w:pPr>
              <w:rPr>
                <w:rFonts w:ascii="宋体"/>
              </w:rPr>
            </w:pPr>
          </w:p>
        </w:tc>
        <w:tc>
          <w:tcPr>
            <w:tcW w:w="26" w:type="pct"/>
            <w:shd w:val="clear" w:color="auto" w:fill="auto"/>
          </w:tcPr>
          <w:p w14:paraId="7B66E87B" w14:textId="77777777" w:rsidR="0040300B" w:rsidRDefault="0040300B">
            <w:pPr>
              <w:rPr>
                <w:rFonts w:ascii="宋体"/>
              </w:rPr>
            </w:pPr>
          </w:p>
        </w:tc>
        <w:tc>
          <w:tcPr>
            <w:tcW w:w="5" w:type="pct"/>
            <w:shd w:val="clear" w:color="auto" w:fill="auto"/>
          </w:tcPr>
          <w:p w14:paraId="7B66E87C" w14:textId="77777777" w:rsidR="0040300B" w:rsidRDefault="0040300B">
            <w:pPr>
              <w:rPr>
                <w:rFonts w:ascii="宋体"/>
              </w:rPr>
            </w:pPr>
          </w:p>
        </w:tc>
        <w:tc>
          <w:tcPr>
            <w:tcW w:w="50" w:type="pct"/>
            <w:shd w:val="clear" w:color="auto" w:fill="auto"/>
          </w:tcPr>
          <w:p w14:paraId="7B66E87D" w14:textId="77777777" w:rsidR="0040300B" w:rsidRDefault="0040300B">
            <w:pPr>
              <w:rPr>
                <w:rFonts w:ascii="宋体"/>
              </w:rPr>
            </w:pPr>
          </w:p>
        </w:tc>
        <w:tc>
          <w:tcPr>
            <w:tcW w:w="327" w:type="pct"/>
            <w:shd w:val="clear" w:color="auto" w:fill="auto"/>
          </w:tcPr>
          <w:p w14:paraId="7B66E87E" w14:textId="77777777" w:rsidR="0040300B" w:rsidRDefault="0040300B">
            <w:pPr>
              <w:rPr>
                <w:rFonts w:ascii="宋体"/>
              </w:rPr>
            </w:pPr>
          </w:p>
        </w:tc>
        <w:tc>
          <w:tcPr>
            <w:tcW w:w="5" w:type="pct"/>
            <w:shd w:val="clear" w:color="auto" w:fill="auto"/>
          </w:tcPr>
          <w:p w14:paraId="7B66E87F" w14:textId="77777777" w:rsidR="0040300B" w:rsidRDefault="0040300B">
            <w:pPr>
              <w:rPr>
                <w:rFonts w:ascii="宋体"/>
              </w:rPr>
            </w:pPr>
          </w:p>
        </w:tc>
        <w:tc>
          <w:tcPr>
            <w:tcW w:w="5" w:type="pct"/>
            <w:shd w:val="clear" w:color="auto" w:fill="auto"/>
          </w:tcPr>
          <w:p w14:paraId="7B66E880" w14:textId="77777777" w:rsidR="0040300B" w:rsidRDefault="0040300B">
            <w:pPr>
              <w:rPr>
                <w:rFonts w:ascii="宋体"/>
              </w:rPr>
            </w:pPr>
          </w:p>
        </w:tc>
        <w:tc>
          <w:tcPr>
            <w:tcW w:w="26" w:type="pct"/>
            <w:shd w:val="clear" w:color="auto" w:fill="auto"/>
          </w:tcPr>
          <w:p w14:paraId="7B66E881" w14:textId="77777777" w:rsidR="0040300B" w:rsidRDefault="0040300B">
            <w:pPr>
              <w:rPr>
                <w:rFonts w:ascii="宋体"/>
              </w:rPr>
            </w:pPr>
          </w:p>
        </w:tc>
        <w:tc>
          <w:tcPr>
            <w:tcW w:w="5" w:type="pct"/>
            <w:shd w:val="clear" w:color="auto" w:fill="auto"/>
          </w:tcPr>
          <w:p w14:paraId="7B66E882" w14:textId="77777777" w:rsidR="0040300B" w:rsidRDefault="0040300B">
            <w:pPr>
              <w:rPr>
                <w:rFonts w:ascii="宋体"/>
              </w:rPr>
            </w:pPr>
          </w:p>
        </w:tc>
        <w:tc>
          <w:tcPr>
            <w:tcW w:w="50" w:type="pct"/>
            <w:shd w:val="clear" w:color="auto" w:fill="auto"/>
          </w:tcPr>
          <w:p w14:paraId="7B66E883" w14:textId="77777777" w:rsidR="0040300B" w:rsidRDefault="0040300B">
            <w:pPr>
              <w:rPr>
                <w:rFonts w:ascii="宋体"/>
              </w:rPr>
            </w:pPr>
          </w:p>
        </w:tc>
        <w:tc>
          <w:tcPr>
            <w:tcW w:w="512" w:type="pct"/>
            <w:shd w:val="clear" w:color="auto" w:fill="auto"/>
          </w:tcPr>
          <w:p w14:paraId="7B66E884" w14:textId="77777777" w:rsidR="0040300B" w:rsidRDefault="0040300B">
            <w:pPr>
              <w:rPr>
                <w:rFonts w:ascii="宋体"/>
              </w:rPr>
            </w:pPr>
          </w:p>
        </w:tc>
        <w:tc>
          <w:tcPr>
            <w:tcW w:w="5" w:type="pct"/>
            <w:shd w:val="clear" w:color="auto" w:fill="auto"/>
          </w:tcPr>
          <w:p w14:paraId="7B66E885" w14:textId="77777777" w:rsidR="0040300B" w:rsidRDefault="0040300B">
            <w:pPr>
              <w:rPr>
                <w:rFonts w:ascii="宋体"/>
              </w:rPr>
            </w:pPr>
          </w:p>
        </w:tc>
        <w:tc>
          <w:tcPr>
            <w:tcW w:w="5" w:type="pct"/>
            <w:shd w:val="clear" w:color="auto" w:fill="auto"/>
          </w:tcPr>
          <w:p w14:paraId="7B66E886" w14:textId="77777777" w:rsidR="0040300B" w:rsidRDefault="0040300B">
            <w:pPr>
              <w:rPr>
                <w:rFonts w:ascii="宋体"/>
              </w:rPr>
            </w:pPr>
          </w:p>
        </w:tc>
        <w:tc>
          <w:tcPr>
            <w:tcW w:w="26" w:type="pct"/>
            <w:shd w:val="clear" w:color="auto" w:fill="auto"/>
          </w:tcPr>
          <w:p w14:paraId="7B66E887" w14:textId="77777777" w:rsidR="0040300B" w:rsidRDefault="0040300B">
            <w:pPr>
              <w:rPr>
                <w:rFonts w:ascii="宋体"/>
              </w:rPr>
            </w:pPr>
          </w:p>
        </w:tc>
        <w:tc>
          <w:tcPr>
            <w:tcW w:w="5" w:type="pct"/>
            <w:shd w:val="clear" w:color="auto" w:fill="auto"/>
          </w:tcPr>
          <w:p w14:paraId="7B66E888" w14:textId="77777777" w:rsidR="0040300B" w:rsidRDefault="0040300B">
            <w:pPr>
              <w:rPr>
                <w:rFonts w:ascii="宋体"/>
              </w:rPr>
            </w:pPr>
          </w:p>
        </w:tc>
        <w:tc>
          <w:tcPr>
            <w:tcW w:w="50" w:type="pct"/>
            <w:shd w:val="clear" w:color="auto" w:fill="auto"/>
          </w:tcPr>
          <w:p w14:paraId="7B66E889" w14:textId="77777777" w:rsidR="0040300B" w:rsidRDefault="0040300B">
            <w:pPr>
              <w:rPr>
                <w:rFonts w:ascii="宋体"/>
              </w:rPr>
            </w:pPr>
          </w:p>
        </w:tc>
        <w:tc>
          <w:tcPr>
            <w:tcW w:w="327" w:type="pct"/>
            <w:shd w:val="clear" w:color="auto" w:fill="auto"/>
          </w:tcPr>
          <w:p w14:paraId="7B66E88A" w14:textId="77777777" w:rsidR="0040300B" w:rsidRDefault="0040300B">
            <w:pPr>
              <w:rPr>
                <w:rFonts w:ascii="宋体"/>
              </w:rPr>
            </w:pPr>
          </w:p>
        </w:tc>
        <w:tc>
          <w:tcPr>
            <w:tcW w:w="5" w:type="pct"/>
            <w:shd w:val="clear" w:color="auto" w:fill="auto"/>
          </w:tcPr>
          <w:p w14:paraId="7B66E88B" w14:textId="77777777" w:rsidR="0040300B" w:rsidRDefault="0040300B">
            <w:pPr>
              <w:rPr>
                <w:rFonts w:ascii="宋体"/>
              </w:rPr>
            </w:pPr>
          </w:p>
        </w:tc>
        <w:tc>
          <w:tcPr>
            <w:tcW w:w="5" w:type="pct"/>
            <w:shd w:val="clear" w:color="auto" w:fill="auto"/>
          </w:tcPr>
          <w:p w14:paraId="7B66E88C" w14:textId="77777777" w:rsidR="0040300B" w:rsidRDefault="0040300B">
            <w:pPr>
              <w:rPr>
                <w:rFonts w:ascii="宋体"/>
              </w:rPr>
            </w:pPr>
          </w:p>
        </w:tc>
        <w:tc>
          <w:tcPr>
            <w:tcW w:w="26" w:type="pct"/>
            <w:shd w:val="clear" w:color="auto" w:fill="auto"/>
          </w:tcPr>
          <w:p w14:paraId="7B66E88D" w14:textId="77777777" w:rsidR="0040300B" w:rsidRDefault="0040300B">
            <w:pPr>
              <w:rPr>
                <w:rFonts w:ascii="宋体"/>
              </w:rPr>
            </w:pPr>
          </w:p>
        </w:tc>
        <w:tc>
          <w:tcPr>
            <w:tcW w:w="5" w:type="pct"/>
            <w:shd w:val="clear" w:color="auto" w:fill="auto"/>
          </w:tcPr>
          <w:p w14:paraId="7B66E88E" w14:textId="77777777" w:rsidR="0040300B" w:rsidRDefault="0040300B">
            <w:pPr>
              <w:rPr>
                <w:rFonts w:ascii="宋体"/>
              </w:rPr>
            </w:pPr>
          </w:p>
        </w:tc>
        <w:tc>
          <w:tcPr>
            <w:tcW w:w="50" w:type="pct"/>
            <w:shd w:val="clear" w:color="auto" w:fill="auto"/>
          </w:tcPr>
          <w:p w14:paraId="7B66E88F" w14:textId="77777777" w:rsidR="0040300B" w:rsidRDefault="0040300B">
            <w:pPr>
              <w:rPr>
                <w:rFonts w:ascii="宋体"/>
              </w:rPr>
            </w:pPr>
          </w:p>
        </w:tc>
        <w:tc>
          <w:tcPr>
            <w:tcW w:w="512" w:type="pct"/>
            <w:shd w:val="clear" w:color="auto" w:fill="auto"/>
          </w:tcPr>
          <w:p w14:paraId="7B66E890" w14:textId="77777777" w:rsidR="0040300B" w:rsidRDefault="0040300B">
            <w:pPr>
              <w:rPr>
                <w:rFonts w:ascii="宋体"/>
              </w:rPr>
            </w:pPr>
          </w:p>
        </w:tc>
        <w:tc>
          <w:tcPr>
            <w:tcW w:w="5" w:type="pct"/>
            <w:shd w:val="clear" w:color="auto" w:fill="auto"/>
          </w:tcPr>
          <w:p w14:paraId="7B66E891" w14:textId="77777777" w:rsidR="0040300B" w:rsidRDefault="0040300B">
            <w:pPr>
              <w:rPr>
                <w:rFonts w:ascii="宋体"/>
              </w:rPr>
            </w:pPr>
          </w:p>
        </w:tc>
        <w:tc>
          <w:tcPr>
            <w:tcW w:w="5" w:type="pct"/>
            <w:shd w:val="clear" w:color="auto" w:fill="auto"/>
          </w:tcPr>
          <w:p w14:paraId="7B66E892" w14:textId="77777777" w:rsidR="0040300B" w:rsidRDefault="0040300B">
            <w:pPr>
              <w:rPr>
                <w:rFonts w:ascii="宋体"/>
              </w:rPr>
            </w:pPr>
          </w:p>
        </w:tc>
        <w:tc>
          <w:tcPr>
            <w:tcW w:w="26" w:type="pct"/>
            <w:shd w:val="clear" w:color="auto" w:fill="auto"/>
          </w:tcPr>
          <w:p w14:paraId="7B66E893" w14:textId="77777777" w:rsidR="0040300B" w:rsidRDefault="0040300B">
            <w:pPr>
              <w:rPr>
                <w:rFonts w:ascii="宋体"/>
              </w:rPr>
            </w:pPr>
          </w:p>
        </w:tc>
        <w:tc>
          <w:tcPr>
            <w:tcW w:w="5" w:type="pct"/>
            <w:shd w:val="clear" w:color="auto" w:fill="auto"/>
          </w:tcPr>
          <w:p w14:paraId="7B66E894" w14:textId="77777777" w:rsidR="0040300B" w:rsidRDefault="0040300B">
            <w:pPr>
              <w:rPr>
                <w:rFonts w:ascii="宋体"/>
              </w:rPr>
            </w:pPr>
          </w:p>
        </w:tc>
        <w:tc>
          <w:tcPr>
            <w:tcW w:w="50" w:type="pct"/>
            <w:shd w:val="clear" w:color="auto" w:fill="auto"/>
          </w:tcPr>
          <w:p w14:paraId="7B66E895" w14:textId="77777777" w:rsidR="0040300B" w:rsidRDefault="0040300B">
            <w:pPr>
              <w:rPr>
                <w:rFonts w:ascii="宋体"/>
              </w:rPr>
            </w:pPr>
          </w:p>
        </w:tc>
        <w:tc>
          <w:tcPr>
            <w:tcW w:w="328" w:type="pct"/>
            <w:shd w:val="clear" w:color="auto" w:fill="auto"/>
          </w:tcPr>
          <w:p w14:paraId="7B66E896" w14:textId="77777777" w:rsidR="0040300B" w:rsidRDefault="0040300B">
            <w:pPr>
              <w:rPr>
                <w:rFonts w:ascii="宋体"/>
              </w:rPr>
            </w:pPr>
          </w:p>
        </w:tc>
        <w:tc>
          <w:tcPr>
            <w:tcW w:w="5" w:type="pct"/>
            <w:shd w:val="clear" w:color="auto" w:fill="auto"/>
          </w:tcPr>
          <w:p w14:paraId="7B66E897" w14:textId="77777777" w:rsidR="0040300B" w:rsidRDefault="0040300B">
            <w:pPr>
              <w:rPr>
                <w:rFonts w:ascii="宋体"/>
              </w:rPr>
            </w:pPr>
          </w:p>
        </w:tc>
      </w:tr>
      <w:tr w:rsidR="0040300B" w14:paraId="7B66E89F" w14:textId="77777777">
        <w:trPr>
          <w:trHeight w:val="420"/>
        </w:trPr>
        <w:tc>
          <w:tcPr>
            <w:tcW w:w="0" w:type="auto"/>
            <w:gridSpan w:val="3"/>
            <w:shd w:val="clear" w:color="auto" w:fill="auto"/>
            <w:tcMar>
              <w:top w:w="40" w:type="dxa"/>
              <w:left w:w="20" w:type="dxa"/>
              <w:bottom w:w="40" w:type="dxa"/>
              <w:right w:w="20" w:type="dxa"/>
            </w:tcMar>
            <w:vAlign w:val="bottom"/>
          </w:tcPr>
          <w:p w14:paraId="7B66E899" w14:textId="77777777" w:rsidR="0040300B" w:rsidRDefault="00BB2D44">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B66E89A" w14:textId="77777777" w:rsidR="0040300B" w:rsidRDefault="00BB2D44">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tcPr>
          <w:p w14:paraId="7B66E89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89C" w14:textId="77777777" w:rsidR="0040300B" w:rsidRDefault="00BB2D44">
            <w:pPr>
              <w:jc w:val="center"/>
              <w:textAlignment w:val="bottom"/>
            </w:pPr>
            <w:r>
              <w:rPr>
                <w:rFonts w:ascii="Times New Roman" w:eastAsia="宋体" w:hAnsi="Times New Roman"/>
                <w:color w:val="000000"/>
                <w:sz w:val="16"/>
                <w:szCs w:val="16"/>
              </w:rPr>
              <w:t>INDEFINITE LIVES</w:t>
            </w:r>
          </w:p>
        </w:tc>
        <w:tc>
          <w:tcPr>
            <w:tcW w:w="0" w:type="auto"/>
            <w:gridSpan w:val="3"/>
            <w:shd w:val="clear" w:color="auto" w:fill="auto"/>
            <w:tcMar>
              <w:top w:w="0" w:type="dxa"/>
              <w:left w:w="20" w:type="dxa"/>
              <w:bottom w:w="0" w:type="dxa"/>
              <w:right w:w="20" w:type="dxa"/>
            </w:tcMar>
          </w:tcPr>
          <w:p w14:paraId="7B66E89D" w14:textId="77777777" w:rsidR="0040300B" w:rsidRDefault="0040300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B66E89E"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E8AA" w14:textId="77777777">
        <w:trPr>
          <w:trHeight w:val="420"/>
        </w:trPr>
        <w:tc>
          <w:tcPr>
            <w:tcW w:w="0" w:type="auto"/>
            <w:gridSpan w:val="3"/>
            <w:shd w:val="clear" w:color="auto" w:fill="auto"/>
            <w:tcMar>
              <w:top w:w="40" w:type="dxa"/>
              <w:left w:w="20" w:type="dxa"/>
              <w:bottom w:w="40" w:type="dxa"/>
              <w:right w:w="20" w:type="dxa"/>
            </w:tcMar>
            <w:vAlign w:val="bottom"/>
          </w:tcPr>
          <w:p w14:paraId="7B66E8A0" w14:textId="77777777" w:rsidR="0040300B" w:rsidRDefault="00BB2D44">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6E8A1" w14:textId="77777777" w:rsidR="0040300B" w:rsidRDefault="00BB2D44">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tcPr>
          <w:p w14:paraId="7B66E8A2"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6E8A3" w14:textId="77777777" w:rsidR="0040300B" w:rsidRDefault="00BB2D44">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tcPr>
          <w:p w14:paraId="7B66E8A4"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6E8A5" w14:textId="77777777" w:rsidR="0040300B" w:rsidRDefault="00BB2D4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7B66E8A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A7" w14:textId="77777777" w:rsidR="0040300B" w:rsidRDefault="00BB2D44">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tcPr>
          <w:p w14:paraId="7B66E8A8" w14:textId="77777777" w:rsidR="0040300B" w:rsidRDefault="0040300B">
            <w:pPr>
              <w:rPr>
                <w:rFonts w:ascii="宋体"/>
              </w:rPr>
            </w:pPr>
          </w:p>
        </w:tc>
        <w:tc>
          <w:tcPr>
            <w:tcW w:w="0" w:type="auto"/>
            <w:gridSpan w:val="3"/>
            <w:vMerge/>
            <w:shd w:val="clear" w:color="auto" w:fill="auto"/>
            <w:tcMar>
              <w:top w:w="40" w:type="dxa"/>
              <w:left w:w="20" w:type="dxa"/>
              <w:bottom w:w="40" w:type="dxa"/>
              <w:right w:w="20" w:type="dxa"/>
            </w:tcMar>
            <w:vAlign w:val="bottom"/>
          </w:tcPr>
          <w:p w14:paraId="7B66E8A9" w14:textId="77777777" w:rsidR="0040300B" w:rsidRDefault="0040300B">
            <w:pPr>
              <w:jc w:val="center"/>
              <w:rPr>
                <w:rFonts w:ascii="宋体"/>
              </w:rPr>
            </w:pPr>
          </w:p>
        </w:tc>
      </w:tr>
      <w:tr w:rsidR="0040300B" w14:paraId="7B66E8BB" w14:textId="77777777">
        <w:tc>
          <w:tcPr>
            <w:tcW w:w="0" w:type="auto"/>
            <w:gridSpan w:val="3"/>
            <w:shd w:val="clear" w:color="auto" w:fill="auto"/>
            <w:tcMar>
              <w:top w:w="0" w:type="dxa"/>
              <w:left w:w="20" w:type="dxa"/>
              <w:bottom w:w="0" w:type="dxa"/>
              <w:right w:w="20" w:type="dxa"/>
            </w:tcMar>
          </w:tcPr>
          <w:p w14:paraId="7B66E8A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AC" w14:textId="77777777" w:rsidR="0040300B" w:rsidRDefault="00BB2D4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tcPr>
          <w:p w14:paraId="7B66E8A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AE"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7B66E8A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0" w14:textId="77777777" w:rsidR="0040300B" w:rsidRDefault="00BB2D4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tcPr>
          <w:p w14:paraId="7B66E8B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2"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7B66E8B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4" w14:textId="77777777" w:rsidR="0040300B" w:rsidRDefault="00BB2D4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shd w:val="clear" w:color="auto" w:fill="auto"/>
            <w:tcMar>
              <w:top w:w="0" w:type="dxa"/>
              <w:left w:w="20" w:type="dxa"/>
              <w:bottom w:w="0" w:type="dxa"/>
              <w:right w:w="20" w:type="dxa"/>
            </w:tcMar>
          </w:tcPr>
          <w:p w14:paraId="7B66E8B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6"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7B66E8B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8"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tcPr>
          <w:p w14:paraId="7B66E8B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8BA" w14:textId="77777777" w:rsidR="0040300B" w:rsidRDefault="00BB2D44">
            <w:pPr>
              <w:jc w:val="center"/>
              <w:textAlignment w:val="bottom"/>
            </w:pPr>
            <w:r>
              <w:rPr>
                <w:rFonts w:ascii="Times New Roman" w:eastAsia="宋体" w:hAnsi="Times New Roman"/>
                <w:color w:val="000000"/>
                <w:sz w:val="16"/>
                <w:szCs w:val="16"/>
              </w:rPr>
              <w:t>Amount</w:t>
            </w:r>
          </w:p>
        </w:tc>
      </w:tr>
      <w:tr w:rsidR="0040300B" w14:paraId="7B66E8D6" w14:textId="77777777">
        <w:tc>
          <w:tcPr>
            <w:tcW w:w="0" w:type="auto"/>
            <w:gridSpan w:val="3"/>
            <w:shd w:val="clear" w:color="auto" w:fill="CCEEFF"/>
            <w:tcMar>
              <w:top w:w="40" w:type="dxa"/>
              <w:left w:w="20" w:type="dxa"/>
              <w:bottom w:w="40" w:type="dxa"/>
              <w:right w:w="20" w:type="dxa"/>
            </w:tcMar>
          </w:tcPr>
          <w:p w14:paraId="7B66E8BC" w14:textId="77777777" w:rsidR="0040300B" w:rsidRDefault="00BB2D44">
            <w:pPr>
              <w:textAlignment w:val="top"/>
            </w:pPr>
            <w:r>
              <w:rPr>
                <w:rFonts w:ascii="Times New Roman" w:eastAsia="宋体" w:hAnsi="Times New Roman"/>
                <w:color w:val="000000"/>
                <w:sz w:val="20"/>
                <w:szCs w:val="20"/>
              </w:rPr>
              <w:t>Acacia</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6E8BD" w14:textId="77777777" w:rsidR="0040300B" w:rsidRDefault="00BB2D44">
            <w:pPr>
              <w:jc w:val="right"/>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tcPr>
          <w:p w14:paraId="7B66E8B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B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C0" w14:textId="77777777" w:rsidR="0040300B" w:rsidRDefault="00BB2D44">
            <w:pPr>
              <w:jc w:val="right"/>
              <w:textAlignment w:val="bottom"/>
            </w:pPr>
            <w:r>
              <w:rPr>
                <w:rFonts w:ascii="Times New Roman" w:eastAsia="宋体" w:hAnsi="Times New Roman"/>
                <w:color w:val="000000"/>
                <w:sz w:val="20"/>
                <w:szCs w:val="20"/>
              </w:rPr>
              <w:t>1,290 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C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C2"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6E8C3" w14:textId="77777777" w:rsidR="0040300B" w:rsidRDefault="00BB2D44">
            <w:pPr>
              <w:jc w:val="right"/>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tcPr>
          <w:p w14:paraId="7B66E8C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C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C6" w14:textId="77777777" w:rsidR="0040300B" w:rsidRDefault="00BB2D44">
            <w:pPr>
              <w:jc w:val="right"/>
              <w:textAlignment w:val="bottom"/>
            </w:pPr>
            <w:r>
              <w:rPr>
                <w:rFonts w:ascii="Times New Roman" w:eastAsia="宋体" w:hAnsi="Times New Roman"/>
                <w:color w:val="000000"/>
                <w:sz w:val="20"/>
                <w:szCs w:val="20"/>
              </w:rPr>
              <w:t>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C8"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6E8C9" w14:textId="77777777" w:rsidR="0040300B" w:rsidRDefault="00BB2D44">
            <w:pPr>
              <w:jc w:val="right"/>
              <w:textAlignment w:val="bottom"/>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tcPr>
          <w:p w14:paraId="7B66E8C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C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CC" w14:textId="77777777" w:rsidR="0040300B" w:rsidRDefault="00BB2D44">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C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C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C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D0" w14:textId="77777777" w:rsidR="0040300B" w:rsidRDefault="00BB2D44">
            <w:pPr>
              <w:jc w:val="right"/>
              <w:textAlignment w:val="bottom"/>
            </w:pPr>
            <w:r>
              <w:rPr>
                <w:rFonts w:ascii="Times New Roman" w:eastAsia="宋体" w:hAnsi="Times New Roman"/>
                <w:color w:val="000000"/>
                <w:sz w:val="20"/>
                <w:szCs w:val="20"/>
              </w:rPr>
              <w:t>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D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D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8D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8D4" w14:textId="77777777" w:rsidR="0040300B" w:rsidRDefault="00BB2D44">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8D5" w14:textId="77777777" w:rsidR="0040300B" w:rsidRDefault="0040300B">
            <w:pPr>
              <w:jc w:val="right"/>
              <w:rPr>
                <w:rFonts w:ascii="宋体"/>
              </w:rPr>
            </w:pPr>
          </w:p>
        </w:tc>
      </w:tr>
      <w:tr w:rsidR="0040300B" w14:paraId="7B66E8EC" w14:textId="77777777">
        <w:tc>
          <w:tcPr>
            <w:tcW w:w="0" w:type="auto"/>
            <w:gridSpan w:val="3"/>
            <w:shd w:val="clear" w:color="auto" w:fill="FFFFFF"/>
            <w:tcMar>
              <w:top w:w="40" w:type="dxa"/>
              <w:left w:w="20" w:type="dxa"/>
              <w:bottom w:w="40" w:type="dxa"/>
              <w:right w:w="20" w:type="dxa"/>
            </w:tcMar>
          </w:tcPr>
          <w:p w14:paraId="7B66E8D7" w14:textId="77777777" w:rsidR="0040300B" w:rsidRDefault="00BB2D44">
            <w:pPr>
              <w:textAlignment w:val="top"/>
            </w:pPr>
            <w:r>
              <w:rPr>
                <w:rFonts w:ascii="Times New Roman" w:eastAsia="宋体" w:hAnsi="Times New Roman"/>
                <w:color w:val="000000"/>
                <w:sz w:val="20"/>
                <w:szCs w:val="20"/>
              </w:rPr>
              <w:t>Others</w:t>
            </w:r>
          </w:p>
        </w:tc>
        <w:tc>
          <w:tcPr>
            <w:tcW w:w="0" w:type="auto"/>
            <w:gridSpan w:val="3"/>
            <w:shd w:val="clear" w:color="auto" w:fill="FFFFFF"/>
            <w:tcMar>
              <w:top w:w="40" w:type="dxa"/>
              <w:left w:w="20" w:type="dxa"/>
              <w:bottom w:w="40" w:type="dxa"/>
              <w:right w:w="20" w:type="dxa"/>
            </w:tcMar>
            <w:vAlign w:val="bottom"/>
          </w:tcPr>
          <w:p w14:paraId="7B66E8D8" w14:textId="77777777" w:rsidR="0040300B" w:rsidRDefault="00BB2D44">
            <w:pPr>
              <w:jc w:val="right"/>
              <w:textAlignment w:val="bottom"/>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7B66E8D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DA" w14:textId="77777777" w:rsidR="0040300B" w:rsidRDefault="00BB2D44">
            <w:pPr>
              <w:jc w:val="right"/>
              <w:textAlignment w:val="bottom"/>
            </w:pPr>
            <w:r>
              <w:rPr>
                <w:rFonts w:ascii="Times New Roman" w:eastAsia="宋体" w:hAnsi="Times New Roman"/>
                <w:color w:val="000000"/>
                <w:sz w:val="20"/>
                <w:szCs w:val="20"/>
              </w:rPr>
              <w:t>395 </w:t>
            </w:r>
          </w:p>
        </w:tc>
        <w:tc>
          <w:tcPr>
            <w:tcW w:w="0" w:type="auto"/>
            <w:shd w:val="clear" w:color="auto" w:fill="FFFFFF"/>
            <w:tcMar>
              <w:top w:w="40" w:type="dxa"/>
              <w:left w:w="0" w:type="dxa"/>
              <w:bottom w:w="40" w:type="dxa"/>
              <w:right w:w="20" w:type="dxa"/>
            </w:tcMar>
            <w:vAlign w:val="bottom"/>
          </w:tcPr>
          <w:p w14:paraId="7B66E8D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DC"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E8DD" w14:textId="77777777" w:rsidR="0040300B" w:rsidRDefault="00BB2D44">
            <w:pPr>
              <w:jc w:val="right"/>
              <w:textAlignment w:val="bottom"/>
            </w:pPr>
            <w:r>
              <w:rPr>
                <w:rFonts w:ascii="Times New Roman" w:eastAsia="宋体" w:hAnsi="Times New Roman"/>
                <w:color w:val="000000"/>
                <w:sz w:val="20"/>
                <w:szCs w:val="20"/>
              </w:rPr>
              <w:t>4.7</w:t>
            </w:r>
          </w:p>
        </w:tc>
        <w:tc>
          <w:tcPr>
            <w:tcW w:w="0" w:type="auto"/>
            <w:gridSpan w:val="3"/>
            <w:shd w:val="clear" w:color="auto" w:fill="FFFFFF"/>
            <w:tcMar>
              <w:top w:w="0" w:type="dxa"/>
              <w:left w:w="20" w:type="dxa"/>
              <w:bottom w:w="0" w:type="dxa"/>
              <w:right w:w="20" w:type="dxa"/>
            </w:tcMar>
          </w:tcPr>
          <w:p w14:paraId="7B66E8D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DF" w14:textId="77777777" w:rsidR="0040300B" w:rsidRDefault="00BB2D44">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7B66E8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E1"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E8E2" w14:textId="77777777" w:rsidR="0040300B" w:rsidRDefault="00BB2D44">
            <w:pPr>
              <w:jc w:val="right"/>
              <w:textAlignment w:val="bottom"/>
            </w:pPr>
            <w:r>
              <w:rPr>
                <w:rFonts w:ascii="Times New Roman" w:eastAsia="宋体" w:hAnsi="Times New Roman"/>
                <w:color w:val="000000"/>
                <w:sz w:val="20"/>
                <w:szCs w:val="20"/>
              </w:rPr>
              <w:t>3.3</w:t>
            </w:r>
          </w:p>
        </w:tc>
        <w:tc>
          <w:tcPr>
            <w:tcW w:w="0" w:type="auto"/>
            <w:gridSpan w:val="3"/>
            <w:shd w:val="clear" w:color="auto" w:fill="FFFFFF"/>
            <w:tcMar>
              <w:top w:w="0" w:type="dxa"/>
              <w:left w:w="20" w:type="dxa"/>
              <w:bottom w:w="0" w:type="dxa"/>
              <w:right w:w="20" w:type="dxa"/>
            </w:tcMar>
          </w:tcPr>
          <w:p w14:paraId="7B66E8E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E4" w14:textId="77777777" w:rsidR="0040300B" w:rsidRDefault="00BB2D44">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7B66E8E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E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E7"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8E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8E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8EA" w14:textId="77777777" w:rsidR="0040300B" w:rsidRDefault="00BB2D44">
            <w:pPr>
              <w:jc w:val="right"/>
              <w:textAlignment w:val="bottom"/>
            </w:pPr>
            <w:r>
              <w:rPr>
                <w:rFonts w:ascii="Times New Roman" w:eastAsia="宋体" w:hAnsi="Times New Roman"/>
                <w:color w:val="000000"/>
                <w:sz w:val="20"/>
                <w:szCs w:val="20"/>
              </w:rPr>
              <w:t>567 </w:t>
            </w:r>
          </w:p>
        </w:tc>
        <w:tc>
          <w:tcPr>
            <w:tcW w:w="0" w:type="auto"/>
            <w:shd w:val="clear" w:color="auto" w:fill="FFFFFF"/>
            <w:tcMar>
              <w:top w:w="40" w:type="dxa"/>
              <w:left w:w="0" w:type="dxa"/>
              <w:bottom w:w="40" w:type="dxa"/>
              <w:right w:w="20" w:type="dxa"/>
            </w:tcMar>
            <w:vAlign w:val="bottom"/>
          </w:tcPr>
          <w:p w14:paraId="7B66E8EB" w14:textId="77777777" w:rsidR="0040300B" w:rsidRDefault="0040300B">
            <w:pPr>
              <w:jc w:val="right"/>
              <w:rPr>
                <w:rFonts w:ascii="宋体"/>
              </w:rPr>
            </w:pPr>
          </w:p>
        </w:tc>
      </w:tr>
      <w:tr w:rsidR="0040300B" w14:paraId="7B66E907" w14:textId="77777777">
        <w:tc>
          <w:tcPr>
            <w:tcW w:w="0" w:type="auto"/>
            <w:gridSpan w:val="3"/>
            <w:shd w:val="clear" w:color="auto" w:fill="CCEEFF"/>
            <w:tcMar>
              <w:top w:w="40" w:type="dxa"/>
              <w:left w:w="260" w:type="dxa"/>
              <w:bottom w:w="40" w:type="dxa"/>
              <w:right w:w="20" w:type="dxa"/>
            </w:tcMar>
          </w:tcPr>
          <w:p w14:paraId="7B66E8ED"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B66E8E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8E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8F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8F1" w14:textId="77777777" w:rsidR="0040300B" w:rsidRDefault="00BB2D44">
            <w:pPr>
              <w:jc w:val="right"/>
              <w:textAlignment w:val="bottom"/>
            </w:pPr>
            <w:r>
              <w:rPr>
                <w:rFonts w:ascii="Times New Roman" w:eastAsia="宋体" w:hAnsi="Times New Roman"/>
                <w:color w:val="000000"/>
                <w:sz w:val="20"/>
                <w:szCs w:val="20"/>
              </w:rPr>
              <w:t>1,685 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8F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F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8F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8F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8F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8F7" w14:textId="77777777" w:rsidR="0040300B" w:rsidRDefault="00BB2D44">
            <w:pPr>
              <w:jc w:val="right"/>
              <w:textAlignment w:val="bottom"/>
            </w:pPr>
            <w:r>
              <w:rPr>
                <w:rFonts w:ascii="Times New Roman" w:eastAsia="宋体" w:hAnsi="Times New Roman"/>
                <w:color w:val="000000"/>
                <w:sz w:val="20"/>
                <w:szCs w:val="20"/>
              </w:rPr>
              <w:t>633 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8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F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8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8F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8F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8FD" w14:textId="77777777" w:rsidR="0040300B" w:rsidRDefault="00BB2D44">
            <w:pPr>
              <w:jc w:val="right"/>
              <w:textAlignment w:val="bottom"/>
            </w:pPr>
            <w:r>
              <w:rPr>
                <w:rFonts w:ascii="Times New Roman" w:eastAsia="宋体" w:hAnsi="Times New Roman"/>
                <w:color w:val="000000"/>
                <w:sz w:val="20"/>
                <w:szCs w:val="20"/>
              </w:rPr>
              <w:t>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8F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8F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0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01" w14:textId="77777777" w:rsidR="0040300B" w:rsidRDefault="00BB2D44">
            <w:pPr>
              <w:jc w:val="right"/>
              <w:textAlignment w:val="bottom"/>
            </w:pPr>
            <w:r>
              <w:rPr>
                <w:rFonts w:ascii="Times New Roman" w:eastAsia="宋体" w:hAnsi="Times New Roman"/>
                <w:color w:val="000000"/>
                <w:sz w:val="20"/>
                <w:szCs w:val="20"/>
              </w:rPr>
              <w:t>345 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0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0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0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05" w14:textId="77777777" w:rsidR="0040300B" w:rsidRDefault="00BB2D44">
            <w:pPr>
              <w:jc w:val="right"/>
              <w:textAlignment w:val="bottom"/>
            </w:pPr>
            <w:r>
              <w:rPr>
                <w:rFonts w:ascii="Times New Roman" w:eastAsia="宋体" w:hAnsi="Times New Roman"/>
                <w:color w:val="000000"/>
                <w:sz w:val="20"/>
                <w:szCs w:val="20"/>
              </w:rPr>
              <w:t>2,727 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06" w14:textId="77777777" w:rsidR="0040300B" w:rsidRDefault="0040300B">
            <w:pPr>
              <w:jc w:val="right"/>
              <w:rPr>
                <w:rFonts w:ascii="宋体"/>
              </w:rPr>
            </w:pPr>
          </w:p>
        </w:tc>
      </w:tr>
    </w:tbl>
    <w:p w14:paraId="7B66E908" w14:textId="77777777" w:rsidR="0040300B" w:rsidRDefault="00BB2D44">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40300B" w14:paraId="7B66E91E" w14:textId="77777777">
        <w:tc>
          <w:tcPr>
            <w:tcW w:w="50" w:type="pct"/>
            <w:shd w:val="clear" w:color="auto" w:fill="auto"/>
          </w:tcPr>
          <w:p w14:paraId="7B66E909" w14:textId="77777777" w:rsidR="0040300B" w:rsidRDefault="0040300B">
            <w:pPr>
              <w:rPr>
                <w:rFonts w:ascii="宋体"/>
              </w:rPr>
            </w:pPr>
          </w:p>
        </w:tc>
        <w:tc>
          <w:tcPr>
            <w:tcW w:w="2638" w:type="pct"/>
            <w:shd w:val="clear" w:color="auto" w:fill="auto"/>
          </w:tcPr>
          <w:p w14:paraId="7B66E90A" w14:textId="77777777" w:rsidR="0040300B" w:rsidRDefault="0040300B">
            <w:pPr>
              <w:rPr>
                <w:rFonts w:ascii="宋体"/>
              </w:rPr>
            </w:pPr>
          </w:p>
        </w:tc>
        <w:tc>
          <w:tcPr>
            <w:tcW w:w="5" w:type="pct"/>
            <w:shd w:val="clear" w:color="auto" w:fill="auto"/>
          </w:tcPr>
          <w:p w14:paraId="7B66E90B" w14:textId="77777777" w:rsidR="0040300B" w:rsidRDefault="0040300B">
            <w:pPr>
              <w:rPr>
                <w:rFonts w:ascii="宋体"/>
              </w:rPr>
            </w:pPr>
          </w:p>
        </w:tc>
        <w:tc>
          <w:tcPr>
            <w:tcW w:w="5" w:type="pct"/>
            <w:shd w:val="clear" w:color="auto" w:fill="auto"/>
          </w:tcPr>
          <w:p w14:paraId="7B66E90C" w14:textId="77777777" w:rsidR="0040300B" w:rsidRDefault="0040300B">
            <w:pPr>
              <w:rPr>
                <w:rFonts w:ascii="宋体"/>
              </w:rPr>
            </w:pPr>
          </w:p>
        </w:tc>
        <w:tc>
          <w:tcPr>
            <w:tcW w:w="26" w:type="pct"/>
            <w:shd w:val="clear" w:color="auto" w:fill="auto"/>
          </w:tcPr>
          <w:p w14:paraId="7B66E90D" w14:textId="77777777" w:rsidR="0040300B" w:rsidRDefault="0040300B">
            <w:pPr>
              <w:rPr>
                <w:rFonts w:ascii="宋体"/>
              </w:rPr>
            </w:pPr>
          </w:p>
        </w:tc>
        <w:tc>
          <w:tcPr>
            <w:tcW w:w="5" w:type="pct"/>
            <w:shd w:val="clear" w:color="auto" w:fill="auto"/>
          </w:tcPr>
          <w:p w14:paraId="7B66E90E" w14:textId="77777777" w:rsidR="0040300B" w:rsidRDefault="0040300B">
            <w:pPr>
              <w:rPr>
                <w:rFonts w:ascii="宋体"/>
              </w:rPr>
            </w:pPr>
          </w:p>
        </w:tc>
        <w:tc>
          <w:tcPr>
            <w:tcW w:w="50" w:type="pct"/>
            <w:shd w:val="clear" w:color="auto" w:fill="auto"/>
          </w:tcPr>
          <w:p w14:paraId="7B66E90F" w14:textId="77777777" w:rsidR="0040300B" w:rsidRDefault="0040300B">
            <w:pPr>
              <w:rPr>
                <w:rFonts w:ascii="宋体"/>
              </w:rPr>
            </w:pPr>
          </w:p>
        </w:tc>
        <w:tc>
          <w:tcPr>
            <w:tcW w:w="677" w:type="pct"/>
            <w:shd w:val="clear" w:color="auto" w:fill="auto"/>
          </w:tcPr>
          <w:p w14:paraId="7B66E910" w14:textId="77777777" w:rsidR="0040300B" w:rsidRDefault="0040300B">
            <w:pPr>
              <w:rPr>
                <w:rFonts w:ascii="宋体"/>
              </w:rPr>
            </w:pPr>
          </w:p>
        </w:tc>
        <w:tc>
          <w:tcPr>
            <w:tcW w:w="5" w:type="pct"/>
            <w:shd w:val="clear" w:color="auto" w:fill="auto"/>
          </w:tcPr>
          <w:p w14:paraId="7B66E911" w14:textId="77777777" w:rsidR="0040300B" w:rsidRDefault="0040300B">
            <w:pPr>
              <w:rPr>
                <w:rFonts w:ascii="宋体"/>
              </w:rPr>
            </w:pPr>
          </w:p>
        </w:tc>
        <w:tc>
          <w:tcPr>
            <w:tcW w:w="5" w:type="pct"/>
            <w:shd w:val="clear" w:color="auto" w:fill="auto"/>
          </w:tcPr>
          <w:p w14:paraId="7B66E912" w14:textId="77777777" w:rsidR="0040300B" w:rsidRDefault="0040300B">
            <w:pPr>
              <w:rPr>
                <w:rFonts w:ascii="宋体"/>
              </w:rPr>
            </w:pPr>
          </w:p>
        </w:tc>
        <w:tc>
          <w:tcPr>
            <w:tcW w:w="26" w:type="pct"/>
            <w:shd w:val="clear" w:color="auto" w:fill="auto"/>
          </w:tcPr>
          <w:p w14:paraId="7B66E913" w14:textId="77777777" w:rsidR="0040300B" w:rsidRDefault="0040300B">
            <w:pPr>
              <w:rPr>
                <w:rFonts w:ascii="宋体"/>
              </w:rPr>
            </w:pPr>
          </w:p>
        </w:tc>
        <w:tc>
          <w:tcPr>
            <w:tcW w:w="5" w:type="pct"/>
            <w:shd w:val="clear" w:color="auto" w:fill="auto"/>
          </w:tcPr>
          <w:p w14:paraId="7B66E914" w14:textId="77777777" w:rsidR="0040300B" w:rsidRDefault="0040300B">
            <w:pPr>
              <w:rPr>
                <w:rFonts w:ascii="宋体"/>
              </w:rPr>
            </w:pPr>
          </w:p>
        </w:tc>
        <w:tc>
          <w:tcPr>
            <w:tcW w:w="50" w:type="pct"/>
            <w:shd w:val="clear" w:color="auto" w:fill="auto"/>
          </w:tcPr>
          <w:p w14:paraId="7B66E915" w14:textId="77777777" w:rsidR="0040300B" w:rsidRDefault="0040300B">
            <w:pPr>
              <w:rPr>
                <w:rFonts w:ascii="宋体"/>
              </w:rPr>
            </w:pPr>
          </w:p>
        </w:tc>
        <w:tc>
          <w:tcPr>
            <w:tcW w:w="677" w:type="pct"/>
            <w:shd w:val="clear" w:color="auto" w:fill="auto"/>
          </w:tcPr>
          <w:p w14:paraId="7B66E916" w14:textId="77777777" w:rsidR="0040300B" w:rsidRDefault="0040300B">
            <w:pPr>
              <w:rPr>
                <w:rFonts w:ascii="宋体"/>
              </w:rPr>
            </w:pPr>
          </w:p>
        </w:tc>
        <w:tc>
          <w:tcPr>
            <w:tcW w:w="5" w:type="pct"/>
            <w:shd w:val="clear" w:color="auto" w:fill="auto"/>
          </w:tcPr>
          <w:p w14:paraId="7B66E917" w14:textId="77777777" w:rsidR="0040300B" w:rsidRDefault="0040300B">
            <w:pPr>
              <w:rPr>
                <w:rFonts w:ascii="宋体"/>
              </w:rPr>
            </w:pPr>
          </w:p>
        </w:tc>
        <w:tc>
          <w:tcPr>
            <w:tcW w:w="5" w:type="pct"/>
            <w:shd w:val="clear" w:color="auto" w:fill="auto"/>
          </w:tcPr>
          <w:p w14:paraId="7B66E918" w14:textId="77777777" w:rsidR="0040300B" w:rsidRDefault="0040300B">
            <w:pPr>
              <w:rPr>
                <w:rFonts w:ascii="宋体"/>
              </w:rPr>
            </w:pPr>
          </w:p>
        </w:tc>
        <w:tc>
          <w:tcPr>
            <w:tcW w:w="26" w:type="pct"/>
            <w:shd w:val="clear" w:color="auto" w:fill="auto"/>
          </w:tcPr>
          <w:p w14:paraId="7B66E919" w14:textId="77777777" w:rsidR="0040300B" w:rsidRDefault="0040300B">
            <w:pPr>
              <w:rPr>
                <w:rFonts w:ascii="宋体"/>
              </w:rPr>
            </w:pPr>
          </w:p>
        </w:tc>
        <w:tc>
          <w:tcPr>
            <w:tcW w:w="5" w:type="pct"/>
            <w:shd w:val="clear" w:color="auto" w:fill="auto"/>
          </w:tcPr>
          <w:p w14:paraId="7B66E91A" w14:textId="77777777" w:rsidR="0040300B" w:rsidRDefault="0040300B">
            <w:pPr>
              <w:rPr>
                <w:rFonts w:ascii="宋体"/>
              </w:rPr>
            </w:pPr>
          </w:p>
        </w:tc>
        <w:tc>
          <w:tcPr>
            <w:tcW w:w="50" w:type="pct"/>
            <w:shd w:val="clear" w:color="auto" w:fill="auto"/>
          </w:tcPr>
          <w:p w14:paraId="7B66E91B" w14:textId="77777777" w:rsidR="0040300B" w:rsidRDefault="0040300B">
            <w:pPr>
              <w:rPr>
                <w:rFonts w:ascii="宋体"/>
              </w:rPr>
            </w:pPr>
          </w:p>
        </w:tc>
        <w:tc>
          <w:tcPr>
            <w:tcW w:w="677" w:type="pct"/>
            <w:shd w:val="clear" w:color="auto" w:fill="auto"/>
          </w:tcPr>
          <w:p w14:paraId="7B66E91C" w14:textId="77777777" w:rsidR="0040300B" w:rsidRDefault="0040300B">
            <w:pPr>
              <w:rPr>
                <w:rFonts w:ascii="宋体"/>
              </w:rPr>
            </w:pPr>
          </w:p>
        </w:tc>
        <w:tc>
          <w:tcPr>
            <w:tcW w:w="5" w:type="pct"/>
            <w:shd w:val="clear" w:color="auto" w:fill="auto"/>
          </w:tcPr>
          <w:p w14:paraId="7B66E91D" w14:textId="77777777" w:rsidR="0040300B" w:rsidRDefault="0040300B">
            <w:pPr>
              <w:rPr>
                <w:rFonts w:ascii="宋体"/>
              </w:rPr>
            </w:pPr>
          </w:p>
        </w:tc>
      </w:tr>
      <w:tr w:rsidR="0040300B" w14:paraId="7B66E926" w14:textId="77777777">
        <w:tc>
          <w:tcPr>
            <w:tcW w:w="0" w:type="auto"/>
            <w:gridSpan w:val="3"/>
            <w:shd w:val="clear" w:color="auto" w:fill="auto"/>
            <w:tcMar>
              <w:top w:w="40" w:type="dxa"/>
              <w:left w:w="20" w:type="dxa"/>
              <w:bottom w:w="40" w:type="dxa"/>
              <w:right w:w="20" w:type="dxa"/>
            </w:tcMar>
            <w:vAlign w:val="bottom"/>
          </w:tcPr>
          <w:p w14:paraId="7B66E91F" w14:textId="77777777" w:rsidR="0040300B" w:rsidRDefault="00BB2D44">
            <w:pPr>
              <w:textAlignment w:val="bottom"/>
            </w:pPr>
            <w:r>
              <w:rPr>
                <w:rFonts w:ascii="Times New Roman" w:eastAsia="宋体" w:hAnsi="Times New Roman"/>
                <w:color w:val="000000"/>
                <w:sz w:val="18"/>
                <w:szCs w:val="18"/>
                <w:u w:val="single"/>
              </w:rPr>
              <w:t>May 1, 202</w:t>
            </w:r>
            <w:r>
              <w:rPr>
                <w:rFonts w:ascii="Times New Roman" w:eastAsia="宋体" w:hAnsi="Times New Roman"/>
                <w:color w:val="000000"/>
                <w:sz w:val="18"/>
                <w:szCs w:val="18"/>
                <w:u w:val="single"/>
              </w:rPr>
              <w:t>1</w:t>
            </w:r>
          </w:p>
        </w:tc>
        <w:tc>
          <w:tcPr>
            <w:tcW w:w="0" w:type="auto"/>
            <w:gridSpan w:val="3"/>
            <w:shd w:val="clear" w:color="auto" w:fill="auto"/>
            <w:tcMar>
              <w:top w:w="0" w:type="dxa"/>
              <w:left w:w="20" w:type="dxa"/>
              <w:bottom w:w="0" w:type="dxa"/>
              <w:right w:w="20" w:type="dxa"/>
            </w:tcMar>
          </w:tcPr>
          <w:p w14:paraId="7B66E92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21" w14:textId="77777777" w:rsidR="0040300B" w:rsidRDefault="00BB2D44">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tcPr>
          <w:p w14:paraId="7B66E92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23" w14:textId="77777777" w:rsidR="0040300B" w:rsidRDefault="00BB2D44">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tcPr>
          <w:p w14:paraId="7B66E92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25" w14:textId="77777777" w:rsidR="0040300B" w:rsidRDefault="00BB2D44">
            <w:pPr>
              <w:jc w:val="center"/>
              <w:textAlignment w:val="bottom"/>
            </w:pPr>
            <w:r>
              <w:rPr>
                <w:rFonts w:ascii="Times New Roman" w:eastAsia="宋体" w:hAnsi="Times New Roman"/>
                <w:color w:val="000000"/>
                <w:sz w:val="18"/>
                <w:szCs w:val="18"/>
              </w:rPr>
              <w:t>Net</w:t>
            </w:r>
          </w:p>
        </w:tc>
      </w:tr>
      <w:tr w:rsidR="0040300B" w14:paraId="7B66E92E" w14:textId="77777777">
        <w:tc>
          <w:tcPr>
            <w:tcW w:w="0" w:type="auto"/>
            <w:gridSpan w:val="3"/>
            <w:shd w:val="clear" w:color="auto" w:fill="CCEEFF"/>
            <w:tcMar>
              <w:top w:w="40" w:type="dxa"/>
              <w:left w:w="20" w:type="dxa"/>
              <w:bottom w:w="40" w:type="dxa"/>
              <w:right w:w="20" w:type="dxa"/>
            </w:tcMar>
          </w:tcPr>
          <w:p w14:paraId="7B66E927" w14:textId="77777777" w:rsidR="0040300B" w:rsidRDefault="00BB2D44">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tcPr>
          <w:p w14:paraId="7B66E92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2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92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2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92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2D" w14:textId="77777777" w:rsidR="0040300B" w:rsidRDefault="0040300B">
            <w:pPr>
              <w:rPr>
                <w:rFonts w:ascii="宋体"/>
              </w:rPr>
            </w:pPr>
          </w:p>
        </w:tc>
      </w:tr>
      <w:tr w:rsidR="0040300B" w14:paraId="7B66E93C" w14:textId="77777777">
        <w:tc>
          <w:tcPr>
            <w:tcW w:w="0" w:type="auto"/>
            <w:gridSpan w:val="3"/>
            <w:shd w:val="clear" w:color="auto" w:fill="FFFFFF"/>
            <w:tcMar>
              <w:top w:w="40" w:type="dxa"/>
              <w:left w:w="380" w:type="dxa"/>
              <w:bottom w:w="40" w:type="dxa"/>
              <w:right w:w="20" w:type="dxa"/>
            </w:tcMar>
          </w:tcPr>
          <w:p w14:paraId="7B66E92F" w14:textId="77777777" w:rsidR="0040300B" w:rsidRDefault="00BB2D44">
            <w:pPr>
              <w:textAlignment w:val="top"/>
            </w:pPr>
            <w:r>
              <w:rPr>
                <w:rFonts w:ascii="Times New Roman" w:eastAsia="宋体" w:hAnsi="Times New Roman"/>
                <w:color w:val="000000"/>
                <w:sz w:val="20"/>
                <w:szCs w:val="20"/>
              </w:rPr>
              <w:t>Technology</w:t>
            </w:r>
          </w:p>
        </w:tc>
        <w:tc>
          <w:tcPr>
            <w:tcW w:w="0" w:type="auto"/>
            <w:gridSpan w:val="3"/>
            <w:shd w:val="clear" w:color="auto" w:fill="FFFFFF"/>
            <w:tcMar>
              <w:top w:w="0" w:type="dxa"/>
              <w:left w:w="20" w:type="dxa"/>
              <w:bottom w:w="0" w:type="dxa"/>
              <w:right w:w="20" w:type="dxa"/>
            </w:tcMar>
          </w:tcPr>
          <w:p w14:paraId="7B66E93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93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932" w14:textId="77777777" w:rsidR="0040300B" w:rsidRDefault="00BB2D44">
            <w:pPr>
              <w:jc w:val="right"/>
              <w:textAlignment w:val="bottom"/>
            </w:pPr>
            <w:r>
              <w:rPr>
                <w:rFonts w:ascii="Times New Roman" w:eastAsia="宋体" w:hAnsi="Times New Roman"/>
                <w:color w:val="000000"/>
                <w:sz w:val="20"/>
                <w:szCs w:val="20"/>
              </w:rPr>
              <w:t>3,594 </w:t>
            </w:r>
          </w:p>
        </w:tc>
        <w:tc>
          <w:tcPr>
            <w:tcW w:w="0" w:type="auto"/>
            <w:shd w:val="clear" w:color="auto" w:fill="FFFFFF"/>
            <w:tcMar>
              <w:top w:w="40" w:type="dxa"/>
              <w:left w:w="0" w:type="dxa"/>
              <w:bottom w:w="40" w:type="dxa"/>
              <w:right w:w="20" w:type="dxa"/>
            </w:tcMar>
            <w:vAlign w:val="bottom"/>
          </w:tcPr>
          <w:p w14:paraId="7B66E93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3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93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936" w14:textId="77777777" w:rsidR="0040300B" w:rsidRDefault="00BB2D44">
            <w:pPr>
              <w:jc w:val="right"/>
              <w:textAlignment w:val="bottom"/>
            </w:pPr>
            <w:r>
              <w:rPr>
                <w:rFonts w:ascii="Times New Roman" w:eastAsia="宋体" w:hAnsi="Times New Roman"/>
                <w:color w:val="000000"/>
                <w:sz w:val="20"/>
                <w:szCs w:val="20"/>
              </w:rPr>
              <w:t>(1,348)</w:t>
            </w:r>
          </w:p>
        </w:tc>
        <w:tc>
          <w:tcPr>
            <w:tcW w:w="0" w:type="auto"/>
            <w:shd w:val="clear" w:color="auto" w:fill="FFFFFF"/>
            <w:tcMar>
              <w:top w:w="40" w:type="dxa"/>
              <w:left w:w="0" w:type="dxa"/>
              <w:bottom w:w="40" w:type="dxa"/>
              <w:right w:w="20" w:type="dxa"/>
            </w:tcMar>
            <w:vAlign w:val="bottom"/>
          </w:tcPr>
          <w:p w14:paraId="7B66E93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3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93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93A" w14:textId="77777777" w:rsidR="0040300B" w:rsidRDefault="00BB2D44">
            <w:pPr>
              <w:jc w:val="right"/>
              <w:textAlignment w:val="bottom"/>
            </w:pPr>
            <w:r>
              <w:rPr>
                <w:rFonts w:ascii="Times New Roman" w:eastAsia="宋体" w:hAnsi="Times New Roman"/>
                <w:color w:val="000000"/>
                <w:sz w:val="20"/>
                <w:szCs w:val="20"/>
              </w:rPr>
              <w:t>2,246 </w:t>
            </w:r>
          </w:p>
        </w:tc>
        <w:tc>
          <w:tcPr>
            <w:tcW w:w="0" w:type="auto"/>
            <w:shd w:val="clear" w:color="auto" w:fill="FFFFFF"/>
            <w:tcMar>
              <w:top w:w="40" w:type="dxa"/>
              <w:left w:w="0" w:type="dxa"/>
              <w:bottom w:w="40" w:type="dxa"/>
              <w:right w:w="20" w:type="dxa"/>
            </w:tcMar>
            <w:vAlign w:val="bottom"/>
          </w:tcPr>
          <w:p w14:paraId="7B66E93B" w14:textId="77777777" w:rsidR="0040300B" w:rsidRDefault="0040300B">
            <w:pPr>
              <w:jc w:val="right"/>
              <w:rPr>
                <w:rFonts w:ascii="宋体"/>
              </w:rPr>
            </w:pPr>
          </w:p>
        </w:tc>
      </w:tr>
      <w:tr w:rsidR="0040300B" w14:paraId="7B66E947" w14:textId="77777777">
        <w:tc>
          <w:tcPr>
            <w:tcW w:w="0" w:type="auto"/>
            <w:gridSpan w:val="3"/>
            <w:shd w:val="clear" w:color="auto" w:fill="CCEEFF"/>
            <w:tcMar>
              <w:top w:w="40" w:type="dxa"/>
              <w:left w:w="380" w:type="dxa"/>
              <w:bottom w:w="40" w:type="dxa"/>
              <w:right w:w="20" w:type="dxa"/>
            </w:tcMar>
          </w:tcPr>
          <w:p w14:paraId="7B66E93D" w14:textId="77777777" w:rsidR="0040300B" w:rsidRDefault="00BB2D44">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tcPr>
          <w:p w14:paraId="7B66E93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3F" w14:textId="77777777" w:rsidR="0040300B" w:rsidRDefault="00BB2D44">
            <w:pPr>
              <w:jc w:val="right"/>
              <w:textAlignment w:val="bottom"/>
            </w:pPr>
            <w:r>
              <w:rPr>
                <w:rFonts w:ascii="Times New Roman" w:eastAsia="宋体" w:hAnsi="Times New Roman"/>
                <w:color w:val="000000"/>
                <w:sz w:val="20"/>
                <w:szCs w:val="20"/>
              </w:rPr>
              <w:t>1,364 </w:t>
            </w:r>
          </w:p>
        </w:tc>
        <w:tc>
          <w:tcPr>
            <w:tcW w:w="0" w:type="auto"/>
            <w:shd w:val="clear" w:color="auto" w:fill="CCEEFF"/>
            <w:tcMar>
              <w:top w:w="40" w:type="dxa"/>
              <w:left w:w="0" w:type="dxa"/>
              <w:bottom w:w="40" w:type="dxa"/>
              <w:right w:w="20" w:type="dxa"/>
            </w:tcMar>
            <w:vAlign w:val="bottom"/>
          </w:tcPr>
          <w:p w14:paraId="7B66E94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4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42" w14:textId="77777777" w:rsidR="0040300B" w:rsidRDefault="00BB2D44">
            <w:pPr>
              <w:jc w:val="right"/>
              <w:textAlignment w:val="bottom"/>
            </w:pPr>
            <w:r>
              <w:rPr>
                <w:rFonts w:ascii="Times New Roman" w:eastAsia="宋体" w:hAnsi="Times New Roman"/>
                <w:color w:val="000000"/>
                <w:sz w:val="20"/>
                <w:szCs w:val="20"/>
              </w:rPr>
              <w:t>(460)</w:t>
            </w:r>
          </w:p>
        </w:tc>
        <w:tc>
          <w:tcPr>
            <w:tcW w:w="0" w:type="auto"/>
            <w:shd w:val="clear" w:color="auto" w:fill="CCEEFF"/>
            <w:tcMar>
              <w:top w:w="40" w:type="dxa"/>
              <w:left w:w="0" w:type="dxa"/>
              <w:bottom w:w="40" w:type="dxa"/>
              <w:right w:w="20" w:type="dxa"/>
            </w:tcMar>
            <w:vAlign w:val="bottom"/>
          </w:tcPr>
          <w:p w14:paraId="7B66E9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4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45" w14:textId="77777777" w:rsidR="0040300B" w:rsidRDefault="00BB2D44">
            <w:pPr>
              <w:jc w:val="right"/>
              <w:textAlignment w:val="bottom"/>
            </w:pPr>
            <w:r>
              <w:rPr>
                <w:rFonts w:ascii="Times New Roman" w:eastAsia="宋体" w:hAnsi="Times New Roman"/>
                <w:color w:val="000000"/>
                <w:sz w:val="20"/>
                <w:szCs w:val="20"/>
              </w:rPr>
              <w:t>904 </w:t>
            </w:r>
          </w:p>
        </w:tc>
        <w:tc>
          <w:tcPr>
            <w:tcW w:w="0" w:type="auto"/>
            <w:shd w:val="clear" w:color="auto" w:fill="CCEEFF"/>
            <w:tcMar>
              <w:top w:w="40" w:type="dxa"/>
              <w:left w:w="0" w:type="dxa"/>
              <w:bottom w:w="40" w:type="dxa"/>
              <w:right w:w="20" w:type="dxa"/>
            </w:tcMar>
            <w:vAlign w:val="bottom"/>
          </w:tcPr>
          <w:p w14:paraId="7B66E946" w14:textId="77777777" w:rsidR="0040300B" w:rsidRDefault="0040300B">
            <w:pPr>
              <w:jc w:val="right"/>
              <w:rPr>
                <w:rFonts w:ascii="宋体"/>
              </w:rPr>
            </w:pPr>
          </w:p>
        </w:tc>
      </w:tr>
      <w:tr w:rsidR="0040300B" w14:paraId="7B66E952" w14:textId="77777777">
        <w:tc>
          <w:tcPr>
            <w:tcW w:w="0" w:type="auto"/>
            <w:gridSpan w:val="3"/>
            <w:shd w:val="clear" w:color="auto" w:fill="FFFFFF"/>
            <w:tcMar>
              <w:top w:w="40" w:type="dxa"/>
              <w:left w:w="380" w:type="dxa"/>
              <w:bottom w:w="40" w:type="dxa"/>
              <w:right w:w="20" w:type="dxa"/>
            </w:tcMar>
          </w:tcPr>
          <w:p w14:paraId="7B66E948" w14:textId="77777777" w:rsidR="0040300B" w:rsidRDefault="00BB2D44">
            <w:pPr>
              <w:textAlignment w:val="top"/>
            </w:pPr>
            <w:r>
              <w:rPr>
                <w:rFonts w:ascii="Times New Roman" w:eastAsia="宋体" w:hAnsi="Times New Roman"/>
                <w:color w:val="000000"/>
                <w:sz w:val="20"/>
                <w:szCs w:val="20"/>
              </w:rPr>
              <w:t>Other</w:t>
            </w:r>
          </w:p>
        </w:tc>
        <w:tc>
          <w:tcPr>
            <w:tcW w:w="0" w:type="auto"/>
            <w:gridSpan w:val="3"/>
            <w:shd w:val="clear" w:color="auto" w:fill="FFFFFF"/>
            <w:tcMar>
              <w:top w:w="0" w:type="dxa"/>
              <w:left w:w="20" w:type="dxa"/>
              <w:bottom w:w="0" w:type="dxa"/>
              <w:right w:w="20" w:type="dxa"/>
            </w:tcMar>
          </w:tcPr>
          <w:p w14:paraId="7B66E94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4A" w14:textId="77777777" w:rsidR="0040300B" w:rsidRDefault="00BB2D44">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B66E94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4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4D" w14:textId="77777777" w:rsidR="0040300B" w:rsidRDefault="00BB2D44">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7B66E94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4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50"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7B66E951" w14:textId="77777777" w:rsidR="0040300B" w:rsidRDefault="0040300B">
            <w:pPr>
              <w:jc w:val="right"/>
              <w:rPr>
                <w:rFonts w:ascii="宋体"/>
              </w:rPr>
            </w:pPr>
          </w:p>
        </w:tc>
      </w:tr>
      <w:tr w:rsidR="0040300B" w14:paraId="7B66E95D" w14:textId="77777777">
        <w:tc>
          <w:tcPr>
            <w:tcW w:w="0" w:type="auto"/>
            <w:gridSpan w:val="3"/>
            <w:shd w:val="clear" w:color="auto" w:fill="CCEEFF"/>
            <w:tcMar>
              <w:top w:w="40" w:type="dxa"/>
              <w:left w:w="20" w:type="dxa"/>
              <w:bottom w:w="40" w:type="dxa"/>
              <w:right w:w="20" w:type="dxa"/>
            </w:tcMar>
          </w:tcPr>
          <w:p w14:paraId="7B66E953" w14:textId="77777777" w:rsidR="0040300B" w:rsidRDefault="00BB2D44">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tcPr>
          <w:p w14:paraId="7B66E954"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55" w14:textId="77777777" w:rsidR="0040300B" w:rsidRDefault="00BB2D44">
            <w:pPr>
              <w:jc w:val="right"/>
              <w:textAlignment w:val="bottom"/>
            </w:pPr>
            <w:r>
              <w:rPr>
                <w:rFonts w:ascii="Times New Roman" w:eastAsia="宋体" w:hAnsi="Times New Roman"/>
                <w:color w:val="000000"/>
                <w:sz w:val="20"/>
                <w:szCs w:val="20"/>
              </w:rPr>
              <w:t>5,029 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5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57"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58" w14:textId="77777777" w:rsidR="0040300B" w:rsidRDefault="00BB2D44">
            <w:pPr>
              <w:jc w:val="right"/>
              <w:textAlignment w:val="bottom"/>
            </w:pPr>
            <w:r>
              <w:rPr>
                <w:rFonts w:ascii="Times New Roman" w:eastAsia="宋体" w:hAnsi="Times New Roman"/>
                <w:color w:val="000000"/>
                <w:sz w:val="20"/>
                <w:szCs w:val="20"/>
              </w:rPr>
              <w:t>(1,818)</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5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5A"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5B" w14:textId="77777777" w:rsidR="0040300B" w:rsidRDefault="00BB2D44">
            <w:pPr>
              <w:jc w:val="right"/>
              <w:textAlignment w:val="bottom"/>
            </w:pPr>
            <w:r>
              <w:rPr>
                <w:rFonts w:ascii="Times New Roman" w:eastAsia="宋体" w:hAnsi="Times New Roman"/>
                <w:color w:val="000000"/>
                <w:sz w:val="20"/>
                <w:szCs w:val="20"/>
              </w:rPr>
              <w:t>3,211 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5C" w14:textId="77777777" w:rsidR="0040300B" w:rsidRDefault="0040300B">
            <w:pPr>
              <w:jc w:val="right"/>
              <w:rPr>
                <w:rFonts w:ascii="宋体"/>
              </w:rPr>
            </w:pPr>
          </w:p>
        </w:tc>
      </w:tr>
      <w:tr w:rsidR="0040300B" w14:paraId="7B66E968" w14:textId="77777777">
        <w:tc>
          <w:tcPr>
            <w:tcW w:w="0" w:type="auto"/>
            <w:gridSpan w:val="3"/>
            <w:shd w:val="clear" w:color="auto" w:fill="FFFFFF"/>
            <w:tcMar>
              <w:top w:w="40" w:type="dxa"/>
              <w:left w:w="20" w:type="dxa"/>
              <w:bottom w:w="40" w:type="dxa"/>
              <w:right w:w="20" w:type="dxa"/>
            </w:tcMar>
          </w:tcPr>
          <w:p w14:paraId="7B66E95E" w14:textId="77777777" w:rsidR="0040300B" w:rsidRDefault="00BB2D44">
            <w:pPr>
              <w:textAlignment w:val="top"/>
            </w:pPr>
            <w:r>
              <w:rPr>
                <w:rFonts w:ascii="Times New Roman" w:eastAsia="宋体" w:hAnsi="Times New Roman"/>
                <w:color w:val="000000"/>
                <w:sz w:val="20"/>
                <w:szCs w:val="20"/>
              </w:rPr>
              <w:t>In-process research and development, with indefinite lives</w:t>
            </w:r>
          </w:p>
        </w:tc>
        <w:tc>
          <w:tcPr>
            <w:tcW w:w="0" w:type="auto"/>
            <w:gridSpan w:val="3"/>
            <w:shd w:val="clear" w:color="auto" w:fill="FFFFFF"/>
            <w:tcMar>
              <w:top w:w="0" w:type="dxa"/>
              <w:left w:w="20" w:type="dxa"/>
              <w:bottom w:w="0" w:type="dxa"/>
              <w:right w:w="20" w:type="dxa"/>
            </w:tcMar>
          </w:tcPr>
          <w:p w14:paraId="7B66E95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60" w14:textId="77777777" w:rsidR="0040300B" w:rsidRDefault="00BB2D4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7B66E96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6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6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96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6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66" w14:textId="77777777" w:rsidR="0040300B" w:rsidRDefault="00BB2D4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7B66E967" w14:textId="77777777" w:rsidR="0040300B" w:rsidRDefault="0040300B">
            <w:pPr>
              <w:jc w:val="right"/>
              <w:rPr>
                <w:rFonts w:ascii="宋体"/>
              </w:rPr>
            </w:pPr>
          </w:p>
        </w:tc>
      </w:tr>
      <w:tr w:rsidR="0040300B" w14:paraId="7B66E976" w14:textId="77777777">
        <w:tc>
          <w:tcPr>
            <w:tcW w:w="0" w:type="auto"/>
            <w:gridSpan w:val="3"/>
            <w:shd w:val="clear" w:color="auto" w:fill="CCEEFF"/>
            <w:tcMar>
              <w:top w:w="40" w:type="dxa"/>
              <w:left w:w="20" w:type="dxa"/>
              <w:bottom w:w="40" w:type="dxa"/>
              <w:right w:w="20" w:type="dxa"/>
            </w:tcMar>
          </w:tcPr>
          <w:p w14:paraId="7B66E969" w14:textId="77777777" w:rsidR="0040300B" w:rsidRDefault="00BB2D44">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tcPr>
          <w:p w14:paraId="7B66E96A"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6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6C" w14:textId="77777777" w:rsidR="0040300B" w:rsidRDefault="00BB2D44">
            <w:pPr>
              <w:jc w:val="right"/>
              <w:textAlignment w:val="bottom"/>
            </w:pPr>
            <w:r>
              <w:rPr>
                <w:rFonts w:ascii="Times New Roman" w:eastAsia="宋体" w:hAnsi="Times New Roman"/>
                <w:color w:val="000000"/>
                <w:sz w:val="20"/>
                <w:szCs w:val="20"/>
              </w:rPr>
              <w:t>5,534 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6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6E"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6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70" w14:textId="77777777" w:rsidR="0040300B" w:rsidRDefault="00BB2D44">
            <w:pPr>
              <w:jc w:val="right"/>
              <w:textAlignment w:val="bottom"/>
            </w:pPr>
            <w:r>
              <w:rPr>
                <w:rFonts w:ascii="Times New Roman" w:eastAsia="宋体" w:hAnsi="Times New Roman"/>
                <w:color w:val="000000"/>
                <w:sz w:val="20"/>
                <w:szCs w:val="20"/>
              </w:rPr>
              <w:t>(1,818)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7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72"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7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74" w14:textId="77777777" w:rsidR="0040300B" w:rsidRDefault="00BB2D44">
            <w:pPr>
              <w:jc w:val="right"/>
              <w:textAlignment w:val="bottom"/>
            </w:pPr>
            <w:r>
              <w:rPr>
                <w:rFonts w:ascii="Times New Roman" w:eastAsia="宋体" w:hAnsi="Times New Roman"/>
                <w:color w:val="000000"/>
                <w:sz w:val="20"/>
                <w:szCs w:val="20"/>
              </w:rPr>
              <w:t>3,716 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75" w14:textId="77777777" w:rsidR="0040300B" w:rsidRDefault="0040300B">
            <w:pPr>
              <w:jc w:val="right"/>
              <w:rPr>
                <w:rFonts w:ascii="宋体"/>
              </w:rPr>
            </w:pPr>
          </w:p>
        </w:tc>
      </w:tr>
    </w:tbl>
    <w:p w14:paraId="7B66E977" w14:textId="77777777" w:rsidR="0040300B" w:rsidRDefault="0040300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40300B" w14:paraId="7B66E98D" w14:textId="77777777">
        <w:tc>
          <w:tcPr>
            <w:tcW w:w="50" w:type="pct"/>
            <w:shd w:val="clear" w:color="auto" w:fill="auto"/>
          </w:tcPr>
          <w:p w14:paraId="7B66E978" w14:textId="77777777" w:rsidR="0040300B" w:rsidRDefault="0040300B">
            <w:pPr>
              <w:rPr>
                <w:rFonts w:ascii="宋体"/>
              </w:rPr>
            </w:pPr>
          </w:p>
        </w:tc>
        <w:tc>
          <w:tcPr>
            <w:tcW w:w="2635" w:type="pct"/>
            <w:shd w:val="clear" w:color="auto" w:fill="auto"/>
          </w:tcPr>
          <w:p w14:paraId="7B66E979" w14:textId="77777777" w:rsidR="0040300B" w:rsidRDefault="0040300B">
            <w:pPr>
              <w:rPr>
                <w:rFonts w:ascii="宋体"/>
              </w:rPr>
            </w:pPr>
          </w:p>
        </w:tc>
        <w:tc>
          <w:tcPr>
            <w:tcW w:w="5" w:type="pct"/>
            <w:shd w:val="clear" w:color="auto" w:fill="auto"/>
          </w:tcPr>
          <w:p w14:paraId="7B66E97A" w14:textId="77777777" w:rsidR="0040300B" w:rsidRDefault="0040300B">
            <w:pPr>
              <w:rPr>
                <w:rFonts w:ascii="宋体"/>
              </w:rPr>
            </w:pPr>
          </w:p>
        </w:tc>
        <w:tc>
          <w:tcPr>
            <w:tcW w:w="5" w:type="pct"/>
            <w:shd w:val="clear" w:color="auto" w:fill="auto"/>
          </w:tcPr>
          <w:p w14:paraId="7B66E97B" w14:textId="77777777" w:rsidR="0040300B" w:rsidRDefault="0040300B">
            <w:pPr>
              <w:rPr>
                <w:rFonts w:ascii="宋体"/>
              </w:rPr>
            </w:pPr>
          </w:p>
        </w:tc>
        <w:tc>
          <w:tcPr>
            <w:tcW w:w="26" w:type="pct"/>
            <w:shd w:val="clear" w:color="auto" w:fill="auto"/>
          </w:tcPr>
          <w:p w14:paraId="7B66E97C" w14:textId="77777777" w:rsidR="0040300B" w:rsidRDefault="0040300B">
            <w:pPr>
              <w:rPr>
                <w:rFonts w:ascii="宋体"/>
              </w:rPr>
            </w:pPr>
          </w:p>
        </w:tc>
        <w:tc>
          <w:tcPr>
            <w:tcW w:w="5" w:type="pct"/>
            <w:shd w:val="clear" w:color="auto" w:fill="auto"/>
          </w:tcPr>
          <w:p w14:paraId="7B66E97D" w14:textId="77777777" w:rsidR="0040300B" w:rsidRDefault="0040300B">
            <w:pPr>
              <w:rPr>
                <w:rFonts w:ascii="宋体"/>
              </w:rPr>
            </w:pPr>
          </w:p>
        </w:tc>
        <w:tc>
          <w:tcPr>
            <w:tcW w:w="50" w:type="pct"/>
            <w:shd w:val="clear" w:color="auto" w:fill="auto"/>
          </w:tcPr>
          <w:p w14:paraId="7B66E97E" w14:textId="77777777" w:rsidR="0040300B" w:rsidRDefault="0040300B">
            <w:pPr>
              <w:rPr>
                <w:rFonts w:ascii="宋体"/>
              </w:rPr>
            </w:pPr>
          </w:p>
        </w:tc>
        <w:tc>
          <w:tcPr>
            <w:tcW w:w="678" w:type="pct"/>
            <w:shd w:val="clear" w:color="auto" w:fill="auto"/>
          </w:tcPr>
          <w:p w14:paraId="7B66E97F" w14:textId="77777777" w:rsidR="0040300B" w:rsidRDefault="0040300B">
            <w:pPr>
              <w:rPr>
                <w:rFonts w:ascii="宋体"/>
              </w:rPr>
            </w:pPr>
          </w:p>
        </w:tc>
        <w:tc>
          <w:tcPr>
            <w:tcW w:w="5" w:type="pct"/>
            <w:shd w:val="clear" w:color="auto" w:fill="auto"/>
          </w:tcPr>
          <w:p w14:paraId="7B66E980" w14:textId="77777777" w:rsidR="0040300B" w:rsidRDefault="0040300B">
            <w:pPr>
              <w:rPr>
                <w:rFonts w:ascii="宋体"/>
              </w:rPr>
            </w:pPr>
          </w:p>
        </w:tc>
        <w:tc>
          <w:tcPr>
            <w:tcW w:w="5" w:type="pct"/>
            <w:shd w:val="clear" w:color="auto" w:fill="auto"/>
          </w:tcPr>
          <w:p w14:paraId="7B66E981" w14:textId="77777777" w:rsidR="0040300B" w:rsidRDefault="0040300B">
            <w:pPr>
              <w:rPr>
                <w:rFonts w:ascii="宋体"/>
              </w:rPr>
            </w:pPr>
          </w:p>
        </w:tc>
        <w:tc>
          <w:tcPr>
            <w:tcW w:w="26" w:type="pct"/>
            <w:shd w:val="clear" w:color="auto" w:fill="auto"/>
          </w:tcPr>
          <w:p w14:paraId="7B66E982" w14:textId="77777777" w:rsidR="0040300B" w:rsidRDefault="0040300B">
            <w:pPr>
              <w:rPr>
                <w:rFonts w:ascii="宋体"/>
              </w:rPr>
            </w:pPr>
          </w:p>
        </w:tc>
        <w:tc>
          <w:tcPr>
            <w:tcW w:w="5" w:type="pct"/>
            <w:shd w:val="clear" w:color="auto" w:fill="auto"/>
          </w:tcPr>
          <w:p w14:paraId="7B66E983" w14:textId="77777777" w:rsidR="0040300B" w:rsidRDefault="0040300B">
            <w:pPr>
              <w:rPr>
                <w:rFonts w:ascii="宋体"/>
              </w:rPr>
            </w:pPr>
          </w:p>
        </w:tc>
        <w:tc>
          <w:tcPr>
            <w:tcW w:w="50" w:type="pct"/>
            <w:shd w:val="clear" w:color="auto" w:fill="auto"/>
          </w:tcPr>
          <w:p w14:paraId="7B66E984" w14:textId="77777777" w:rsidR="0040300B" w:rsidRDefault="0040300B">
            <w:pPr>
              <w:rPr>
                <w:rFonts w:ascii="宋体"/>
              </w:rPr>
            </w:pPr>
          </w:p>
        </w:tc>
        <w:tc>
          <w:tcPr>
            <w:tcW w:w="678" w:type="pct"/>
            <w:shd w:val="clear" w:color="auto" w:fill="auto"/>
          </w:tcPr>
          <w:p w14:paraId="7B66E985" w14:textId="77777777" w:rsidR="0040300B" w:rsidRDefault="0040300B">
            <w:pPr>
              <w:rPr>
                <w:rFonts w:ascii="宋体"/>
              </w:rPr>
            </w:pPr>
          </w:p>
        </w:tc>
        <w:tc>
          <w:tcPr>
            <w:tcW w:w="5" w:type="pct"/>
            <w:shd w:val="clear" w:color="auto" w:fill="auto"/>
          </w:tcPr>
          <w:p w14:paraId="7B66E986" w14:textId="77777777" w:rsidR="0040300B" w:rsidRDefault="0040300B">
            <w:pPr>
              <w:rPr>
                <w:rFonts w:ascii="宋体"/>
              </w:rPr>
            </w:pPr>
          </w:p>
        </w:tc>
        <w:tc>
          <w:tcPr>
            <w:tcW w:w="5" w:type="pct"/>
            <w:shd w:val="clear" w:color="auto" w:fill="auto"/>
          </w:tcPr>
          <w:p w14:paraId="7B66E987" w14:textId="77777777" w:rsidR="0040300B" w:rsidRDefault="0040300B">
            <w:pPr>
              <w:rPr>
                <w:rFonts w:ascii="宋体"/>
              </w:rPr>
            </w:pPr>
          </w:p>
        </w:tc>
        <w:tc>
          <w:tcPr>
            <w:tcW w:w="26" w:type="pct"/>
            <w:shd w:val="clear" w:color="auto" w:fill="auto"/>
          </w:tcPr>
          <w:p w14:paraId="7B66E988" w14:textId="77777777" w:rsidR="0040300B" w:rsidRDefault="0040300B">
            <w:pPr>
              <w:rPr>
                <w:rFonts w:ascii="宋体"/>
              </w:rPr>
            </w:pPr>
          </w:p>
        </w:tc>
        <w:tc>
          <w:tcPr>
            <w:tcW w:w="5" w:type="pct"/>
            <w:shd w:val="clear" w:color="auto" w:fill="auto"/>
          </w:tcPr>
          <w:p w14:paraId="7B66E989" w14:textId="77777777" w:rsidR="0040300B" w:rsidRDefault="0040300B">
            <w:pPr>
              <w:rPr>
                <w:rFonts w:ascii="宋体"/>
              </w:rPr>
            </w:pPr>
          </w:p>
        </w:tc>
        <w:tc>
          <w:tcPr>
            <w:tcW w:w="50" w:type="pct"/>
            <w:shd w:val="clear" w:color="auto" w:fill="auto"/>
          </w:tcPr>
          <w:p w14:paraId="7B66E98A" w14:textId="77777777" w:rsidR="0040300B" w:rsidRDefault="0040300B">
            <w:pPr>
              <w:rPr>
                <w:rFonts w:ascii="宋体"/>
              </w:rPr>
            </w:pPr>
          </w:p>
        </w:tc>
        <w:tc>
          <w:tcPr>
            <w:tcW w:w="678" w:type="pct"/>
            <w:shd w:val="clear" w:color="auto" w:fill="auto"/>
          </w:tcPr>
          <w:p w14:paraId="7B66E98B" w14:textId="77777777" w:rsidR="0040300B" w:rsidRDefault="0040300B">
            <w:pPr>
              <w:rPr>
                <w:rFonts w:ascii="宋体"/>
              </w:rPr>
            </w:pPr>
          </w:p>
        </w:tc>
        <w:tc>
          <w:tcPr>
            <w:tcW w:w="5" w:type="pct"/>
            <w:shd w:val="clear" w:color="auto" w:fill="auto"/>
          </w:tcPr>
          <w:p w14:paraId="7B66E98C" w14:textId="77777777" w:rsidR="0040300B" w:rsidRDefault="0040300B">
            <w:pPr>
              <w:rPr>
                <w:rFonts w:ascii="宋体"/>
              </w:rPr>
            </w:pPr>
          </w:p>
        </w:tc>
      </w:tr>
      <w:tr w:rsidR="0040300B" w14:paraId="7B66E995" w14:textId="77777777">
        <w:tc>
          <w:tcPr>
            <w:tcW w:w="0" w:type="auto"/>
            <w:gridSpan w:val="3"/>
            <w:shd w:val="clear" w:color="auto" w:fill="auto"/>
            <w:tcMar>
              <w:top w:w="40" w:type="dxa"/>
              <w:left w:w="20" w:type="dxa"/>
              <w:bottom w:w="40" w:type="dxa"/>
              <w:right w:w="20" w:type="dxa"/>
            </w:tcMar>
            <w:vAlign w:val="bottom"/>
          </w:tcPr>
          <w:p w14:paraId="7B66E98E" w14:textId="77777777" w:rsidR="0040300B" w:rsidRDefault="00BB2D44">
            <w:pPr>
              <w:textAlignment w:val="bottom"/>
            </w:pPr>
            <w:r>
              <w:rPr>
                <w:rFonts w:ascii="Times New Roman" w:eastAsia="宋体" w:hAnsi="Times New Roman"/>
                <w:color w:val="000000"/>
                <w:sz w:val="18"/>
                <w:szCs w:val="18"/>
                <w:u w:val="single"/>
              </w:rPr>
              <w:t>July 25, 2</w:t>
            </w:r>
            <w:r>
              <w:rPr>
                <w:rFonts w:ascii="Times New Roman" w:eastAsia="宋体" w:hAnsi="Times New Roman"/>
                <w:color w:val="000000"/>
                <w:sz w:val="18"/>
                <w:szCs w:val="18"/>
                <w:u w:val="single"/>
              </w:rPr>
              <w:t>020</w:t>
            </w:r>
          </w:p>
        </w:tc>
        <w:tc>
          <w:tcPr>
            <w:tcW w:w="0" w:type="auto"/>
            <w:gridSpan w:val="3"/>
            <w:shd w:val="clear" w:color="auto" w:fill="auto"/>
            <w:tcMar>
              <w:top w:w="0" w:type="dxa"/>
              <w:left w:w="20" w:type="dxa"/>
              <w:bottom w:w="0" w:type="dxa"/>
              <w:right w:w="20" w:type="dxa"/>
            </w:tcMar>
          </w:tcPr>
          <w:p w14:paraId="7B66E98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90" w14:textId="77777777" w:rsidR="0040300B" w:rsidRDefault="00BB2D44">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tcPr>
          <w:p w14:paraId="7B66E99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92" w14:textId="77777777" w:rsidR="0040300B" w:rsidRDefault="00BB2D44">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tcPr>
          <w:p w14:paraId="7B66E99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994" w14:textId="77777777" w:rsidR="0040300B" w:rsidRDefault="00BB2D44">
            <w:pPr>
              <w:jc w:val="center"/>
              <w:textAlignment w:val="bottom"/>
            </w:pPr>
            <w:r>
              <w:rPr>
                <w:rFonts w:ascii="Times New Roman" w:eastAsia="宋体" w:hAnsi="Times New Roman"/>
                <w:color w:val="000000"/>
                <w:sz w:val="18"/>
                <w:szCs w:val="18"/>
              </w:rPr>
              <w:t>Net</w:t>
            </w:r>
          </w:p>
        </w:tc>
      </w:tr>
      <w:tr w:rsidR="0040300B" w14:paraId="7B66E99D" w14:textId="77777777">
        <w:tc>
          <w:tcPr>
            <w:tcW w:w="0" w:type="auto"/>
            <w:gridSpan w:val="3"/>
            <w:shd w:val="clear" w:color="auto" w:fill="CCEEFF"/>
            <w:tcMar>
              <w:top w:w="40" w:type="dxa"/>
              <w:left w:w="20" w:type="dxa"/>
              <w:bottom w:w="40" w:type="dxa"/>
              <w:right w:w="20" w:type="dxa"/>
            </w:tcMar>
          </w:tcPr>
          <w:p w14:paraId="7B66E996" w14:textId="77777777" w:rsidR="0040300B" w:rsidRDefault="00BB2D44">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tcPr>
          <w:p w14:paraId="7B66E99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9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99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9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99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99C" w14:textId="77777777" w:rsidR="0040300B" w:rsidRDefault="0040300B">
            <w:pPr>
              <w:rPr>
                <w:rFonts w:ascii="宋体"/>
              </w:rPr>
            </w:pPr>
          </w:p>
        </w:tc>
      </w:tr>
      <w:tr w:rsidR="0040300B" w14:paraId="7B66E9AB" w14:textId="77777777">
        <w:tc>
          <w:tcPr>
            <w:tcW w:w="0" w:type="auto"/>
            <w:gridSpan w:val="3"/>
            <w:shd w:val="clear" w:color="auto" w:fill="auto"/>
            <w:tcMar>
              <w:top w:w="40" w:type="dxa"/>
              <w:left w:w="380" w:type="dxa"/>
              <w:bottom w:w="40" w:type="dxa"/>
              <w:right w:w="20" w:type="dxa"/>
            </w:tcMar>
          </w:tcPr>
          <w:p w14:paraId="7B66E99E" w14:textId="77777777" w:rsidR="0040300B" w:rsidRDefault="00BB2D44">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tcPr>
          <w:p w14:paraId="7B66E99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9A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9A1" w14:textId="77777777" w:rsidR="0040300B" w:rsidRDefault="00BB2D44">
            <w:pPr>
              <w:jc w:val="right"/>
              <w:textAlignment w:val="bottom"/>
            </w:pPr>
            <w:r>
              <w:rPr>
                <w:rFonts w:ascii="Times New Roman" w:eastAsia="宋体" w:hAnsi="Times New Roman"/>
                <w:color w:val="000000"/>
                <w:sz w:val="20"/>
                <w:szCs w:val="20"/>
              </w:rPr>
              <w:t>3,298 </w:t>
            </w:r>
          </w:p>
        </w:tc>
        <w:tc>
          <w:tcPr>
            <w:tcW w:w="0" w:type="auto"/>
            <w:shd w:val="clear" w:color="auto" w:fill="FFFFFF"/>
            <w:tcMar>
              <w:top w:w="40" w:type="dxa"/>
              <w:left w:w="0" w:type="dxa"/>
              <w:bottom w:w="40" w:type="dxa"/>
              <w:right w:w="20" w:type="dxa"/>
            </w:tcMar>
            <w:vAlign w:val="bottom"/>
          </w:tcPr>
          <w:p w14:paraId="7B66E9A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A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9A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9A5" w14:textId="77777777" w:rsidR="0040300B" w:rsidRDefault="00BB2D44">
            <w:pPr>
              <w:jc w:val="right"/>
              <w:textAlignment w:val="bottom"/>
            </w:pPr>
            <w:r>
              <w:rPr>
                <w:rFonts w:ascii="Times New Roman" w:eastAsia="宋体" w:hAnsi="Times New Roman"/>
                <w:color w:val="000000"/>
                <w:sz w:val="20"/>
                <w:szCs w:val="20"/>
              </w:rPr>
              <w:t>(2,336)</w:t>
            </w:r>
          </w:p>
        </w:tc>
        <w:tc>
          <w:tcPr>
            <w:tcW w:w="0" w:type="auto"/>
            <w:shd w:val="clear" w:color="auto" w:fill="FFFFFF"/>
            <w:tcMar>
              <w:top w:w="40" w:type="dxa"/>
              <w:left w:w="0" w:type="dxa"/>
              <w:bottom w:w="40" w:type="dxa"/>
              <w:right w:w="20" w:type="dxa"/>
            </w:tcMar>
            <w:vAlign w:val="bottom"/>
          </w:tcPr>
          <w:p w14:paraId="7B66E9A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9A7"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6E9A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6E9A9" w14:textId="77777777" w:rsidR="0040300B" w:rsidRDefault="00BB2D44">
            <w:pPr>
              <w:jc w:val="right"/>
              <w:textAlignment w:val="bottom"/>
            </w:pPr>
            <w:r>
              <w:rPr>
                <w:rFonts w:ascii="Times New Roman" w:eastAsia="宋体" w:hAnsi="Times New Roman"/>
                <w:color w:val="000000"/>
                <w:sz w:val="20"/>
                <w:szCs w:val="20"/>
              </w:rPr>
              <w:t>962 </w:t>
            </w:r>
          </w:p>
        </w:tc>
        <w:tc>
          <w:tcPr>
            <w:tcW w:w="0" w:type="auto"/>
            <w:shd w:val="clear" w:color="auto" w:fill="auto"/>
            <w:tcMar>
              <w:top w:w="40" w:type="dxa"/>
              <w:left w:w="0" w:type="dxa"/>
              <w:bottom w:w="40" w:type="dxa"/>
              <w:right w:w="20" w:type="dxa"/>
            </w:tcMar>
            <w:vAlign w:val="bottom"/>
          </w:tcPr>
          <w:p w14:paraId="7B66E9AA" w14:textId="77777777" w:rsidR="0040300B" w:rsidRDefault="0040300B">
            <w:pPr>
              <w:jc w:val="right"/>
              <w:rPr>
                <w:rFonts w:ascii="宋体"/>
              </w:rPr>
            </w:pPr>
          </w:p>
        </w:tc>
      </w:tr>
      <w:tr w:rsidR="0040300B" w14:paraId="7B66E9B6" w14:textId="77777777">
        <w:tc>
          <w:tcPr>
            <w:tcW w:w="0" w:type="auto"/>
            <w:gridSpan w:val="3"/>
            <w:shd w:val="clear" w:color="auto" w:fill="CCEEFF"/>
            <w:tcMar>
              <w:top w:w="40" w:type="dxa"/>
              <w:left w:w="380" w:type="dxa"/>
              <w:bottom w:w="40" w:type="dxa"/>
              <w:right w:w="20" w:type="dxa"/>
            </w:tcMar>
          </w:tcPr>
          <w:p w14:paraId="7B66E9AC" w14:textId="77777777" w:rsidR="0040300B" w:rsidRDefault="00BB2D44">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tcPr>
          <w:p w14:paraId="7B66E9A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AE" w14:textId="77777777" w:rsidR="0040300B" w:rsidRDefault="00BB2D44">
            <w:pPr>
              <w:jc w:val="right"/>
              <w:textAlignment w:val="bottom"/>
            </w:pPr>
            <w:r>
              <w:rPr>
                <w:rFonts w:ascii="Times New Roman" w:eastAsia="宋体" w:hAnsi="Times New Roman"/>
                <w:color w:val="000000"/>
                <w:sz w:val="20"/>
                <w:szCs w:val="20"/>
              </w:rPr>
              <w:t>760 </w:t>
            </w:r>
          </w:p>
        </w:tc>
        <w:tc>
          <w:tcPr>
            <w:tcW w:w="0" w:type="auto"/>
            <w:shd w:val="clear" w:color="auto" w:fill="CCEEFF"/>
            <w:tcMar>
              <w:top w:w="40" w:type="dxa"/>
              <w:left w:w="0" w:type="dxa"/>
              <w:bottom w:w="40" w:type="dxa"/>
              <w:right w:w="20" w:type="dxa"/>
            </w:tcMar>
            <w:vAlign w:val="bottom"/>
          </w:tcPr>
          <w:p w14:paraId="7B66E9A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B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B1" w14:textId="77777777" w:rsidR="0040300B" w:rsidRDefault="00BB2D44">
            <w:pPr>
              <w:jc w:val="right"/>
              <w:textAlignment w:val="bottom"/>
            </w:pPr>
            <w:r>
              <w:rPr>
                <w:rFonts w:ascii="Times New Roman" w:eastAsia="宋体" w:hAnsi="Times New Roman"/>
                <w:color w:val="000000"/>
                <w:sz w:val="20"/>
                <w:szCs w:val="20"/>
              </w:rPr>
              <w:t>(365)</w:t>
            </w:r>
          </w:p>
        </w:tc>
        <w:tc>
          <w:tcPr>
            <w:tcW w:w="0" w:type="auto"/>
            <w:shd w:val="clear" w:color="auto" w:fill="CCEEFF"/>
            <w:tcMar>
              <w:top w:w="40" w:type="dxa"/>
              <w:left w:w="0" w:type="dxa"/>
              <w:bottom w:w="40" w:type="dxa"/>
              <w:right w:w="20" w:type="dxa"/>
            </w:tcMar>
            <w:vAlign w:val="bottom"/>
          </w:tcPr>
          <w:p w14:paraId="7B66E9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B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9B4" w14:textId="77777777" w:rsidR="0040300B" w:rsidRDefault="00BB2D44">
            <w:pPr>
              <w:jc w:val="right"/>
              <w:textAlignment w:val="bottom"/>
            </w:pPr>
            <w:r>
              <w:rPr>
                <w:rFonts w:ascii="Times New Roman" w:eastAsia="宋体" w:hAnsi="Times New Roman"/>
                <w:color w:val="000000"/>
                <w:sz w:val="20"/>
                <w:szCs w:val="20"/>
              </w:rPr>
              <w:t>395 </w:t>
            </w:r>
          </w:p>
        </w:tc>
        <w:tc>
          <w:tcPr>
            <w:tcW w:w="0" w:type="auto"/>
            <w:shd w:val="clear" w:color="auto" w:fill="CCEEFF"/>
            <w:tcMar>
              <w:top w:w="40" w:type="dxa"/>
              <w:left w:w="0" w:type="dxa"/>
              <w:bottom w:w="40" w:type="dxa"/>
              <w:right w:w="20" w:type="dxa"/>
            </w:tcMar>
            <w:vAlign w:val="bottom"/>
          </w:tcPr>
          <w:p w14:paraId="7B66E9B5" w14:textId="77777777" w:rsidR="0040300B" w:rsidRDefault="0040300B">
            <w:pPr>
              <w:jc w:val="right"/>
              <w:rPr>
                <w:rFonts w:ascii="宋体"/>
              </w:rPr>
            </w:pPr>
          </w:p>
        </w:tc>
      </w:tr>
      <w:tr w:rsidR="0040300B" w14:paraId="7B66E9C1" w14:textId="77777777">
        <w:tc>
          <w:tcPr>
            <w:tcW w:w="0" w:type="auto"/>
            <w:gridSpan w:val="3"/>
            <w:shd w:val="clear" w:color="auto" w:fill="auto"/>
            <w:tcMar>
              <w:top w:w="40" w:type="dxa"/>
              <w:left w:w="380" w:type="dxa"/>
              <w:bottom w:w="40" w:type="dxa"/>
              <w:right w:w="20" w:type="dxa"/>
            </w:tcMar>
          </w:tcPr>
          <w:p w14:paraId="7B66E9B7" w14:textId="77777777" w:rsidR="0040300B" w:rsidRDefault="00BB2D44">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tcPr>
          <w:p w14:paraId="7B66E9B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B9" w14:textId="77777777" w:rsidR="0040300B" w:rsidRDefault="00BB2D4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B66E9B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B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BC" w14:textId="77777777" w:rsidR="0040300B" w:rsidRDefault="00BB2D44">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7B66E9BD"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9BE"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9BF"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7B66E9C0" w14:textId="77777777" w:rsidR="0040300B" w:rsidRDefault="0040300B">
            <w:pPr>
              <w:jc w:val="right"/>
              <w:rPr>
                <w:rFonts w:ascii="宋体"/>
              </w:rPr>
            </w:pPr>
          </w:p>
        </w:tc>
      </w:tr>
      <w:tr w:rsidR="0040300B" w14:paraId="7B66E9CC" w14:textId="77777777">
        <w:tc>
          <w:tcPr>
            <w:tcW w:w="0" w:type="auto"/>
            <w:gridSpan w:val="3"/>
            <w:shd w:val="clear" w:color="auto" w:fill="CCEEFF"/>
            <w:tcMar>
              <w:top w:w="40" w:type="dxa"/>
              <w:left w:w="20" w:type="dxa"/>
              <w:bottom w:w="40" w:type="dxa"/>
              <w:right w:w="20" w:type="dxa"/>
            </w:tcMar>
          </w:tcPr>
          <w:p w14:paraId="7B66E9C2" w14:textId="77777777" w:rsidR="0040300B" w:rsidRDefault="00BB2D44">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tcPr>
          <w:p w14:paraId="7B66E9C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C4" w14:textId="77777777" w:rsidR="0040300B" w:rsidRDefault="00BB2D44">
            <w:pPr>
              <w:jc w:val="right"/>
              <w:textAlignment w:val="bottom"/>
            </w:pPr>
            <w:r>
              <w:rPr>
                <w:rFonts w:ascii="Times New Roman" w:eastAsia="宋体" w:hAnsi="Times New Roman"/>
                <w:color w:val="000000"/>
                <w:sz w:val="20"/>
                <w:szCs w:val="20"/>
              </w:rPr>
              <w:t>4,084 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C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C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C7" w14:textId="77777777" w:rsidR="0040300B" w:rsidRDefault="00BB2D44">
            <w:pPr>
              <w:jc w:val="right"/>
              <w:textAlignment w:val="bottom"/>
            </w:pPr>
            <w:r>
              <w:rPr>
                <w:rFonts w:ascii="Times New Roman" w:eastAsia="宋体" w:hAnsi="Times New Roman"/>
                <w:color w:val="000000"/>
                <w:sz w:val="20"/>
                <w:szCs w:val="20"/>
              </w:rPr>
              <w:t>(2,721)</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C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C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9CA" w14:textId="77777777" w:rsidR="0040300B" w:rsidRDefault="00BB2D44">
            <w:pPr>
              <w:jc w:val="right"/>
              <w:textAlignment w:val="bottom"/>
            </w:pPr>
            <w:r>
              <w:rPr>
                <w:rFonts w:ascii="Times New Roman" w:eastAsia="宋体" w:hAnsi="Times New Roman"/>
                <w:color w:val="000000"/>
                <w:sz w:val="20"/>
                <w:szCs w:val="20"/>
              </w:rPr>
              <w:t>1,363 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9CB" w14:textId="77777777" w:rsidR="0040300B" w:rsidRDefault="0040300B">
            <w:pPr>
              <w:jc w:val="right"/>
              <w:rPr>
                <w:rFonts w:ascii="宋体"/>
              </w:rPr>
            </w:pPr>
          </w:p>
        </w:tc>
      </w:tr>
      <w:tr w:rsidR="0040300B" w14:paraId="7B66E9D7" w14:textId="77777777">
        <w:tc>
          <w:tcPr>
            <w:tcW w:w="0" w:type="auto"/>
            <w:gridSpan w:val="3"/>
            <w:shd w:val="clear" w:color="auto" w:fill="FFFFFF"/>
            <w:tcMar>
              <w:top w:w="40" w:type="dxa"/>
              <w:left w:w="20" w:type="dxa"/>
              <w:bottom w:w="40" w:type="dxa"/>
              <w:right w:w="20" w:type="dxa"/>
            </w:tcMar>
          </w:tcPr>
          <w:p w14:paraId="7B66E9CD" w14:textId="77777777" w:rsidR="0040300B" w:rsidRDefault="00BB2D44">
            <w:pPr>
              <w:textAlignment w:val="top"/>
            </w:pPr>
            <w:r>
              <w:rPr>
                <w:rFonts w:ascii="Times New Roman" w:eastAsia="宋体" w:hAnsi="Times New Roman"/>
                <w:color w:val="000000"/>
                <w:sz w:val="20"/>
                <w:szCs w:val="20"/>
              </w:rPr>
              <w:t>In-process research and development, with indefinite lives</w:t>
            </w:r>
          </w:p>
        </w:tc>
        <w:tc>
          <w:tcPr>
            <w:tcW w:w="0" w:type="auto"/>
            <w:gridSpan w:val="3"/>
            <w:shd w:val="clear" w:color="auto" w:fill="FFFFFF"/>
            <w:tcMar>
              <w:top w:w="0" w:type="dxa"/>
              <w:left w:w="20" w:type="dxa"/>
              <w:bottom w:w="0" w:type="dxa"/>
              <w:right w:w="20" w:type="dxa"/>
            </w:tcMar>
          </w:tcPr>
          <w:p w14:paraId="7B66E9C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CF" w14:textId="77777777" w:rsidR="0040300B" w:rsidRDefault="00BB2D44">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7B66E9D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D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D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9D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9D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9D5" w14:textId="77777777" w:rsidR="0040300B" w:rsidRDefault="00BB2D44">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7B66E9D6" w14:textId="77777777" w:rsidR="0040300B" w:rsidRDefault="0040300B">
            <w:pPr>
              <w:jc w:val="right"/>
              <w:rPr>
                <w:rFonts w:ascii="宋体"/>
              </w:rPr>
            </w:pPr>
          </w:p>
        </w:tc>
      </w:tr>
      <w:tr w:rsidR="0040300B" w14:paraId="7B66E9E5" w14:textId="77777777">
        <w:tc>
          <w:tcPr>
            <w:tcW w:w="0" w:type="auto"/>
            <w:gridSpan w:val="3"/>
            <w:shd w:val="clear" w:color="auto" w:fill="CCEEFF"/>
            <w:tcMar>
              <w:top w:w="40" w:type="dxa"/>
              <w:left w:w="20" w:type="dxa"/>
              <w:bottom w:w="40" w:type="dxa"/>
              <w:right w:w="20" w:type="dxa"/>
            </w:tcMar>
          </w:tcPr>
          <w:p w14:paraId="7B66E9D8" w14:textId="77777777" w:rsidR="0040300B" w:rsidRDefault="00BB2D44">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tcPr>
          <w:p w14:paraId="7B66E9D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DB" w14:textId="77777777" w:rsidR="0040300B" w:rsidRDefault="00BB2D44">
            <w:pPr>
              <w:jc w:val="right"/>
              <w:textAlignment w:val="bottom"/>
            </w:pPr>
            <w:r>
              <w:rPr>
                <w:rFonts w:ascii="Times New Roman" w:eastAsia="宋体" w:hAnsi="Times New Roman"/>
                <w:color w:val="000000"/>
                <w:sz w:val="20"/>
                <w:szCs w:val="20"/>
              </w:rPr>
              <w:t>4,297 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D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DF" w14:textId="77777777" w:rsidR="0040300B" w:rsidRDefault="00BB2D44">
            <w:pPr>
              <w:jc w:val="right"/>
              <w:textAlignment w:val="bottom"/>
            </w:pPr>
            <w:r>
              <w:rPr>
                <w:rFonts w:ascii="Times New Roman" w:eastAsia="宋体" w:hAnsi="Times New Roman"/>
                <w:color w:val="000000"/>
                <w:sz w:val="20"/>
                <w:szCs w:val="20"/>
              </w:rPr>
              <w:t>(2,721)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9E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9E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9E3" w14:textId="77777777" w:rsidR="0040300B" w:rsidRDefault="00BB2D44">
            <w:pPr>
              <w:jc w:val="right"/>
              <w:textAlignment w:val="bottom"/>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9E4" w14:textId="77777777" w:rsidR="0040300B" w:rsidRDefault="0040300B">
            <w:pPr>
              <w:jc w:val="right"/>
              <w:rPr>
                <w:rFonts w:ascii="宋体"/>
              </w:rPr>
            </w:pPr>
          </w:p>
        </w:tc>
      </w:tr>
    </w:tbl>
    <w:p w14:paraId="7B66E9E6" w14:textId="77777777" w:rsidR="0040300B" w:rsidRDefault="00BB2D44">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7B66E9E7" w14:textId="77777777" w:rsidR="0040300B" w:rsidRDefault="00BB2D44">
      <w:pPr>
        <w:spacing w:before="120"/>
      </w:pPr>
      <w:r>
        <w:rPr>
          <w:rFonts w:ascii="Times New Roman" w:eastAsia="宋体" w:hAnsi="Times New Roman"/>
          <w:color w:val="000000"/>
          <w:sz w:val="20"/>
          <w:szCs w:val="20"/>
        </w:rPr>
        <w:t xml:space="preserve">The following table presents the amortization </w:t>
      </w:r>
      <w:r>
        <w:rPr>
          <w:rFonts w:ascii="Times New Roman" w:eastAsia="宋体" w:hAnsi="Times New Roman"/>
          <w:color w:val="000000"/>
          <w:sz w:val="20"/>
          <w:szCs w:val="20"/>
        </w:rPr>
        <w:t>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451"/>
        <w:gridCol w:w="37"/>
        <w:gridCol w:w="120"/>
        <w:gridCol w:w="747"/>
        <w:gridCol w:w="36"/>
        <w:gridCol w:w="36"/>
        <w:gridCol w:w="36"/>
        <w:gridCol w:w="36"/>
        <w:gridCol w:w="120"/>
        <w:gridCol w:w="704"/>
        <w:gridCol w:w="36"/>
        <w:gridCol w:w="36"/>
        <w:gridCol w:w="36"/>
        <w:gridCol w:w="36"/>
        <w:gridCol w:w="120"/>
        <w:gridCol w:w="705"/>
        <w:gridCol w:w="36"/>
        <w:gridCol w:w="36"/>
        <w:gridCol w:w="36"/>
        <w:gridCol w:w="36"/>
        <w:gridCol w:w="120"/>
        <w:gridCol w:w="706"/>
        <w:gridCol w:w="36"/>
      </w:tblGrid>
      <w:tr w:rsidR="0040300B" w14:paraId="7B66EA00" w14:textId="77777777">
        <w:tc>
          <w:tcPr>
            <w:tcW w:w="50" w:type="pct"/>
            <w:shd w:val="clear" w:color="auto" w:fill="auto"/>
          </w:tcPr>
          <w:p w14:paraId="7B66E9E8" w14:textId="77777777" w:rsidR="0040300B" w:rsidRDefault="0040300B">
            <w:pPr>
              <w:rPr>
                <w:rFonts w:ascii="宋体"/>
              </w:rPr>
            </w:pPr>
          </w:p>
        </w:tc>
        <w:tc>
          <w:tcPr>
            <w:tcW w:w="2700" w:type="pct"/>
            <w:shd w:val="clear" w:color="auto" w:fill="auto"/>
          </w:tcPr>
          <w:p w14:paraId="7B66E9E9" w14:textId="77777777" w:rsidR="0040300B" w:rsidRDefault="0040300B">
            <w:pPr>
              <w:rPr>
                <w:rFonts w:ascii="宋体"/>
              </w:rPr>
            </w:pPr>
          </w:p>
        </w:tc>
        <w:tc>
          <w:tcPr>
            <w:tcW w:w="5" w:type="pct"/>
            <w:shd w:val="clear" w:color="auto" w:fill="auto"/>
          </w:tcPr>
          <w:p w14:paraId="7B66E9EA" w14:textId="77777777" w:rsidR="0040300B" w:rsidRDefault="0040300B">
            <w:pPr>
              <w:rPr>
                <w:rFonts w:ascii="宋体"/>
              </w:rPr>
            </w:pPr>
          </w:p>
        </w:tc>
        <w:tc>
          <w:tcPr>
            <w:tcW w:w="50" w:type="pct"/>
            <w:shd w:val="clear" w:color="auto" w:fill="auto"/>
          </w:tcPr>
          <w:p w14:paraId="7B66E9EB" w14:textId="77777777" w:rsidR="0040300B" w:rsidRDefault="0040300B">
            <w:pPr>
              <w:rPr>
                <w:rFonts w:ascii="宋体"/>
              </w:rPr>
            </w:pPr>
          </w:p>
        </w:tc>
        <w:tc>
          <w:tcPr>
            <w:tcW w:w="478" w:type="pct"/>
            <w:shd w:val="clear" w:color="auto" w:fill="auto"/>
          </w:tcPr>
          <w:p w14:paraId="7B66E9EC" w14:textId="77777777" w:rsidR="0040300B" w:rsidRDefault="0040300B">
            <w:pPr>
              <w:rPr>
                <w:rFonts w:ascii="宋体"/>
              </w:rPr>
            </w:pPr>
          </w:p>
        </w:tc>
        <w:tc>
          <w:tcPr>
            <w:tcW w:w="5" w:type="pct"/>
            <w:shd w:val="clear" w:color="auto" w:fill="auto"/>
          </w:tcPr>
          <w:p w14:paraId="7B66E9ED" w14:textId="77777777" w:rsidR="0040300B" w:rsidRDefault="0040300B">
            <w:pPr>
              <w:rPr>
                <w:rFonts w:ascii="宋体"/>
              </w:rPr>
            </w:pPr>
          </w:p>
        </w:tc>
        <w:tc>
          <w:tcPr>
            <w:tcW w:w="5" w:type="pct"/>
            <w:shd w:val="clear" w:color="auto" w:fill="auto"/>
          </w:tcPr>
          <w:p w14:paraId="7B66E9EE" w14:textId="77777777" w:rsidR="0040300B" w:rsidRDefault="0040300B">
            <w:pPr>
              <w:rPr>
                <w:rFonts w:ascii="宋体"/>
              </w:rPr>
            </w:pPr>
          </w:p>
        </w:tc>
        <w:tc>
          <w:tcPr>
            <w:tcW w:w="26" w:type="pct"/>
            <w:shd w:val="clear" w:color="auto" w:fill="auto"/>
          </w:tcPr>
          <w:p w14:paraId="7B66E9EF" w14:textId="77777777" w:rsidR="0040300B" w:rsidRDefault="0040300B">
            <w:pPr>
              <w:rPr>
                <w:rFonts w:ascii="宋体"/>
              </w:rPr>
            </w:pPr>
          </w:p>
        </w:tc>
        <w:tc>
          <w:tcPr>
            <w:tcW w:w="5" w:type="pct"/>
            <w:shd w:val="clear" w:color="auto" w:fill="auto"/>
          </w:tcPr>
          <w:p w14:paraId="7B66E9F0" w14:textId="77777777" w:rsidR="0040300B" w:rsidRDefault="0040300B">
            <w:pPr>
              <w:rPr>
                <w:rFonts w:ascii="宋体"/>
              </w:rPr>
            </w:pPr>
          </w:p>
        </w:tc>
        <w:tc>
          <w:tcPr>
            <w:tcW w:w="50" w:type="pct"/>
            <w:shd w:val="clear" w:color="auto" w:fill="auto"/>
          </w:tcPr>
          <w:p w14:paraId="7B66E9F1" w14:textId="77777777" w:rsidR="0040300B" w:rsidRDefault="0040300B">
            <w:pPr>
              <w:rPr>
                <w:rFonts w:ascii="宋体"/>
              </w:rPr>
            </w:pPr>
          </w:p>
        </w:tc>
        <w:tc>
          <w:tcPr>
            <w:tcW w:w="478" w:type="pct"/>
            <w:shd w:val="clear" w:color="auto" w:fill="auto"/>
          </w:tcPr>
          <w:p w14:paraId="7B66E9F2" w14:textId="77777777" w:rsidR="0040300B" w:rsidRDefault="0040300B">
            <w:pPr>
              <w:rPr>
                <w:rFonts w:ascii="宋体"/>
              </w:rPr>
            </w:pPr>
          </w:p>
        </w:tc>
        <w:tc>
          <w:tcPr>
            <w:tcW w:w="5" w:type="pct"/>
            <w:shd w:val="clear" w:color="auto" w:fill="auto"/>
          </w:tcPr>
          <w:p w14:paraId="7B66E9F3" w14:textId="77777777" w:rsidR="0040300B" w:rsidRDefault="0040300B">
            <w:pPr>
              <w:rPr>
                <w:rFonts w:ascii="宋体"/>
              </w:rPr>
            </w:pPr>
          </w:p>
        </w:tc>
        <w:tc>
          <w:tcPr>
            <w:tcW w:w="5" w:type="pct"/>
            <w:shd w:val="clear" w:color="auto" w:fill="auto"/>
          </w:tcPr>
          <w:p w14:paraId="7B66E9F4" w14:textId="77777777" w:rsidR="0040300B" w:rsidRDefault="0040300B">
            <w:pPr>
              <w:rPr>
                <w:rFonts w:ascii="宋体"/>
              </w:rPr>
            </w:pPr>
          </w:p>
        </w:tc>
        <w:tc>
          <w:tcPr>
            <w:tcW w:w="26" w:type="pct"/>
            <w:shd w:val="clear" w:color="auto" w:fill="auto"/>
          </w:tcPr>
          <w:p w14:paraId="7B66E9F5" w14:textId="77777777" w:rsidR="0040300B" w:rsidRDefault="0040300B">
            <w:pPr>
              <w:rPr>
                <w:rFonts w:ascii="宋体"/>
              </w:rPr>
            </w:pPr>
          </w:p>
        </w:tc>
        <w:tc>
          <w:tcPr>
            <w:tcW w:w="5" w:type="pct"/>
            <w:shd w:val="clear" w:color="auto" w:fill="auto"/>
          </w:tcPr>
          <w:p w14:paraId="7B66E9F6" w14:textId="77777777" w:rsidR="0040300B" w:rsidRDefault="0040300B">
            <w:pPr>
              <w:rPr>
                <w:rFonts w:ascii="宋体"/>
              </w:rPr>
            </w:pPr>
          </w:p>
        </w:tc>
        <w:tc>
          <w:tcPr>
            <w:tcW w:w="50" w:type="pct"/>
            <w:shd w:val="clear" w:color="auto" w:fill="auto"/>
          </w:tcPr>
          <w:p w14:paraId="7B66E9F7" w14:textId="77777777" w:rsidR="0040300B" w:rsidRDefault="0040300B">
            <w:pPr>
              <w:rPr>
                <w:rFonts w:ascii="宋体"/>
              </w:rPr>
            </w:pPr>
          </w:p>
        </w:tc>
        <w:tc>
          <w:tcPr>
            <w:tcW w:w="478" w:type="pct"/>
            <w:shd w:val="clear" w:color="auto" w:fill="auto"/>
          </w:tcPr>
          <w:p w14:paraId="7B66E9F8" w14:textId="77777777" w:rsidR="0040300B" w:rsidRDefault="0040300B">
            <w:pPr>
              <w:rPr>
                <w:rFonts w:ascii="宋体"/>
              </w:rPr>
            </w:pPr>
          </w:p>
        </w:tc>
        <w:tc>
          <w:tcPr>
            <w:tcW w:w="5" w:type="pct"/>
            <w:shd w:val="clear" w:color="auto" w:fill="auto"/>
          </w:tcPr>
          <w:p w14:paraId="7B66E9F9" w14:textId="77777777" w:rsidR="0040300B" w:rsidRDefault="0040300B">
            <w:pPr>
              <w:rPr>
                <w:rFonts w:ascii="宋体"/>
              </w:rPr>
            </w:pPr>
          </w:p>
        </w:tc>
        <w:tc>
          <w:tcPr>
            <w:tcW w:w="5" w:type="pct"/>
            <w:shd w:val="clear" w:color="auto" w:fill="auto"/>
          </w:tcPr>
          <w:p w14:paraId="7B66E9FA" w14:textId="77777777" w:rsidR="0040300B" w:rsidRDefault="0040300B">
            <w:pPr>
              <w:rPr>
                <w:rFonts w:ascii="宋体"/>
              </w:rPr>
            </w:pPr>
          </w:p>
        </w:tc>
        <w:tc>
          <w:tcPr>
            <w:tcW w:w="26" w:type="pct"/>
            <w:shd w:val="clear" w:color="auto" w:fill="auto"/>
          </w:tcPr>
          <w:p w14:paraId="7B66E9FB" w14:textId="77777777" w:rsidR="0040300B" w:rsidRDefault="0040300B">
            <w:pPr>
              <w:rPr>
                <w:rFonts w:ascii="宋体"/>
              </w:rPr>
            </w:pPr>
          </w:p>
        </w:tc>
        <w:tc>
          <w:tcPr>
            <w:tcW w:w="5" w:type="pct"/>
            <w:shd w:val="clear" w:color="auto" w:fill="auto"/>
          </w:tcPr>
          <w:p w14:paraId="7B66E9FC" w14:textId="77777777" w:rsidR="0040300B" w:rsidRDefault="0040300B">
            <w:pPr>
              <w:rPr>
                <w:rFonts w:ascii="宋体"/>
              </w:rPr>
            </w:pPr>
          </w:p>
        </w:tc>
        <w:tc>
          <w:tcPr>
            <w:tcW w:w="50" w:type="pct"/>
            <w:shd w:val="clear" w:color="auto" w:fill="auto"/>
          </w:tcPr>
          <w:p w14:paraId="7B66E9FD" w14:textId="77777777" w:rsidR="0040300B" w:rsidRDefault="0040300B">
            <w:pPr>
              <w:rPr>
                <w:rFonts w:ascii="宋体"/>
              </w:rPr>
            </w:pPr>
          </w:p>
        </w:tc>
        <w:tc>
          <w:tcPr>
            <w:tcW w:w="478" w:type="pct"/>
            <w:shd w:val="clear" w:color="auto" w:fill="auto"/>
          </w:tcPr>
          <w:p w14:paraId="7B66E9FE" w14:textId="77777777" w:rsidR="0040300B" w:rsidRDefault="0040300B">
            <w:pPr>
              <w:rPr>
                <w:rFonts w:ascii="宋体"/>
              </w:rPr>
            </w:pPr>
          </w:p>
        </w:tc>
        <w:tc>
          <w:tcPr>
            <w:tcW w:w="5" w:type="pct"/>
            <w:shd w:val="clear" w:color="auto" w:fill="auto"/>
          </w:tcPr>
          <w:p w14:paraId="7B66E9FF" w14:textId="77777777" w:rsidR="0040300B" w:rsidRDefault="0040300B">
            <w:pPr>
              <w:rPr>
                <w:rFonts w:ascii="宋体"/>
              </w:rPr>
            </w:pPr>
          </w:p>
        </w:tc>
      </w:tr>
      <w:tr w:rsidR="0040300B" w14:paraId="7B66EA05" w14:textId="77777777">
        <w:tc>
          <w:tcPr>
            <w:tcW w:w="0" w:type="auto"/>
            <w:gridSpan w:val="3"/>
            <w:shd w:val="clear" w:color="auto" w:fill="auto"/>
            <w:tcMar>
              <w:top w:w="0" w:type="dxa"/>
              <w:left w:w="20" w:type="dxa"/>
              <w:bottom w:w="0" w:type="dxa"/>
              <w:right w:w="20" w:type="dxa"/>
            </w:tcMar>
          </w:tcPr>
          <w:p w14:paraId="7B66EA01"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A0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EA03"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A0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A0E" w14:textId="77777777">
        <w:tc>
          <w:tcPr>
            <w:tcW w:w="0" w:type="auto"/>
            <w:gridSpan w:val="3"/>
            <w:shd w:val="clear" w:color="auto" w:fill="auto"/>
            <w:tcMar>
              <w:top w:w="0" w:type="dxa"/>
              <w:left w:w="20" w:type="dxa"/>
              <w:bottom w:w="0" w:type="dxa"/>
              <w:right w:w="20" w:type="dxa"/>
            </w:tcMar>
          </w:tcPr>
          <w:p w14:paraId="7B66EA0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07"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A0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09"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EA0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0B"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A0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0D"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EA17" w14:textId="77777777">
        <w:tc>
          <w:tcPr>
            <w:tcW w:w="0" w:type="auto"/>
            <w:gridSpan w:val="3"/>
            <w:shd w:val="clear" w:color="auto" w:fill="CCEEFF"/>
            <w:tcMar>
              <w:top w:w="40" w:type="dxa"/>
              <w:left w:w="20" w:type="dxa"/>
              <w:bottom w:w="40" w:type="dxa"/>
              <w:right w:w="20" w:type="dxa"/>
            </w:tcMar>
          </w:tcPr>
          <w:p w14:paraId="7B66EA0F" w14:textId="77777777" w:rsidR="0040300B" w:rsidRDefault="00BB2D44">
            <w:pPr>
              <w:textAlignment w:val="top"/>
            </w:pPr>
            <w:r>
              <w:rPr>
                <w:rFonts w:ascii="Times New Roman" w:eastAsia="宋体" w:hAnsi="Times New Roman"/>
                <w:color w:val="00000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tcPr>
          <w:p w14:paraId="7B66EA1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A1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A1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A1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A1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A1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EA16" w14:textId="77777777" w:rsidR="0040300B" w:rsidRDefault="0040300B">
            <w:pPr>
              <w:rPr>
                <w:rFonts w:ascii="宋体"/>
              </w:rPr>
            </w:pPr>
          </w:p>
        </w:tc>
      </w:tr>
      <w:tr w:rsidR="0040300B" w14:paraId="7B66EA28" w14:textId="77777777">
        <w:tc>
          <w:tcPr>
            <w:tcW w:w="0" w:type="auto"/>
            <w:gridSpan w:val="3"/>
            <w:shd w:val="clear" w:color="auto" w:fill="FFFFFF"/>
            <w:tcMar>
              <w:top w:w="40" w:type="dxa"/>
              <w:left w:w="380" w:type="dxa"/>
              <w:bottom w:w="40" w:type="dxa"/>
              <w:right w:w="20" w:type="dxa"/>
            </w:tcMar>
          </w:tcPr>
          <w:p w14:paraId="7B66EA18" w14:textId="77777777" w:rsidR="0040300B" w:rsidRDefault="00BB2D44">
            <w:pPr>
              <w:textAlignment w:val="top"/>
            </w:pPr>
            <w:r>
              <w:rPr>
                <w:rFonts w:ascii="Times New Roman" w:eastAsia="宋体" w:hAnsi="Times New Roman"/>
                <w:color w:val="000000"/>
                <w:sz w:val="20"/>
                <w:szCs w:val="20"/>
              </w:rPr>
              <w:t>Cost of sales</w:t>
            </w:r>
          </w:p>
        </w:tc>
        <w:tc>
          <w:tcPr>
            <w:tcW w:w="0" w:type="auto"/>
            <w:shd w:val="clear" w:color="auto" w:fill="FFFFFF"/>
            <w:tcMar>
              <w:top w:w="40" w:type="dxa"/>
              <w:left w:w="20" w:type="dxa"/>
              <w:bottom w:w="40" w:type="dxa"/>
              <w:right w:w="0" w:type="dxa"/>
            </w:tcMar>
            <w:vAlign w:val="bottom"/>
          </w:tcPr>
          <w:p w14:paraId="7B66EA1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1A" w14:textId="77777777" w:rsidR="0040300B" w:rsidRDefault="00BB2D44">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7B66EA1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1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A1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1E" w14:textId="77777777" w:rsidR="0040300B" w:rsidRDefault="00BB2D44">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7B66EA1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2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A2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22" w14:textId="77777777" w:rsidR="0040300B" w:rsidRDefault="00BB2D44">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7B66EA2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2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A2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26" w14:textId="77777777" w:rsidR="0040300B" w:rsidRDefault="00BB2D44">
            <w:pPr>
              <w:jc w:val="right"/>
              <w:textAlignment w:val="bottom"/>
            </w:pPr>
            <w:r>
              <w:rPr>
                <w:rFonts w:ascii="Times New Roman" w:eastAsia="宋体" w:hAnsi="Times New Roman"/>
                <w:color w:val="000000"/>
                <w:sz w:val="20"/>
                <w:szCs w:val="20"/>
              </w:rPr>
              <w:t>494 </w:t>
            </w:r>
          </w:p>
        </w:tc>
        <w:tc>
          <w:tcPr>
            <w:tcW w:w="0" w:type="auto"/>
            <w:shd w:val="clear" w:color="auto" w:fill="FFFFFF"/>
            <w:tcMar>
              <w:top w:w="40" w:type="dxa"/>
              <w:left w:w="0" w:type="dxa"/>
              <w:bottom w:w="40" w:type="dxa"/>
              <w:right w:w="20" w:type="dxa"/>
            </w:tcMar>
            <w:vAlign w:val="bottom"/>
          </w:tcPr>
          <w:p w14:paraId="7B66EA27" w14:textId="77777777" w:rsidR="0040300B" w:rsidRDefault="0040300B">
            <w:pPr>
              <w:jc w:val="right"/>
              <w:rPr>
                <w:rFonts w:ascii="宋体"/>
              </w:rPr>
            </w:pPr>
          </w:p>
        </w:tc>
      </w:tr>
      <w:tr w:rsidR="0040300B" w14:paraId="7B66EA35" w14:textId="77777777">
        <w:tc>
          <w:tcPr>
            <w:tcW w:w="0" w:type="auto"/>
            <w:gridSpan w:val="3"/>
            <w:shd w:val="clear" w:color="auto" w:fill="CCEEFF"/>
            <w:tcMar>
              <w:top w:w="40" w:type="dxa"/>
              <w:left w:w="380" w:type="dxa"/>
              <w:bottom w:w="40" w:type="dxa"/>
              <w:right w:w="20" w:type="dxa"/>
            </w:tcMar>
          </w:tcPr>
          <w:p w14:paraId="7B66EA29" w14:textId="77777777" w:rsidR="0040300B" w:rsidRDefault="00BB2D44">
            <w:pPr>
              <w:textAlignment w:val="top"/>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7B66EA2A"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6EA2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2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2D" w14:textId="77777777" w:rsidR="0040300B" w:rsidRDefault="00BB2D44">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7B66EA2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2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30" w14:textId="77777777" w:rsidR="0040300B" w:rsidRDefault="00BB2D44">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7B66EA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3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33" w14:textId="77777777" w:rsidR="0040300B" w:rsidRDefault="00BB2D44">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7B66EA34" w14:textId="77777777" w:rsidR="0040300B" w:rsidRDefault="0040300B">
            <w:pPr>
              <w:jc w:val="right"/>
              <w:rPr>
                <w:rFonts w:ascii="宋体"/>
              </w:rPr>
            </w:pPr>
          </w:p>
        </w:tc>
      </w:tr>
      <w:tr w:rsidR="0040300B" w14:paraId="7B66EA46" w14:textId="77777777">
        <w:tc>
          <w:tcPr>
            <w:tcW w:w="0" w:type="auto"/>
            <w:gridSpan w:val="3"/>
            <w:shd w:val="clear" w:color="auto" w:fill="FFFFFF"/>
            <w:tcMar>
              <w:top w:w="40" w:type="dxa"/>
              <w:left w:w="740" w:type="dxa"/>
              <w:bottom w:w="40" w:type="dxa"/>
              <w:right w:w="20" w:type="dxa"/>
            </w:tcMar>
          </w:tcPr>
          <w:p w14:paraId="7B66EA36"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A3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A38" w14:textId="77777777" w:rsidR="0040300B" w:rsidRDefault="00BB2D44">
            <w:pPr>
              <w:jc w:val="right"/>
              <w:textAlignment w:val="bottom"/>
            </w:pPr>
            <w:r>
              <w:rPr>
                <w:rFonts w:ascii="Times New Roman" w:eastAsia="宋体" w:hAnsi="Times New Roman"/>
                <w:color w:val="000000"/>
                <w:sz w:val="20"/>
                <w:szCs w:val="20"/>
              </w:rPr>
              <w:t>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A3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3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A3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A3C" w14:textId="77777777" w:rsidR="0040300B" w:rsidRDefault="00BB2D44">
            <w:pPr>
              <w:jc w:val="right"/>
              <w:textAlignment w:val="bottom"/>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A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3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A3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A40" w14:textId="77777777" w:rsidR="0040300B" w:rsidRDefault="00BB2D44">
            <w:pPr>
              <w:jc w:val="right"/>
              <w:textAlignment w:val="bottom"/>
            </w:pPr>
            <w:r>
              <w:rPr>
                <w:rFonts w:ascii="Times New Roman" w:eastAsia="宋体" w:hAnsi="Times New Roman"/>
                <w:color w:val="000000"/>
                <w:sz w:val="20"/>
                <w:szCs w:val="20"/>
              </w:rPr>
              <w:t>649 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A4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4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A4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A44" w14:textId="77777777" w:rsidR="0040300B" w:rsidRDefault="00BB2D44">
            <w:pPr>
              <w:jc w:val="right"/>
              <w:textAlignment w:val="bottom"/>
            </w:pPr>
            <w:r>
              <w:rPr>
                <w:rFonts w:ascii="Times New Roman" w:eastAsia="宋体" w:hAnsi="Times New Roman"/>
                <w:color w:val="000000"/>
                <w:sz w:val="20"/>
                <w:szCs w:val="20"/>
              </w:rPr>
              <w:t>602 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A45" w14:textId="77777777" w:rsidR="0040300B" w:rsidRDefault="0040300B">
            <w:pPr>
              <w:jc w:val="right"/>
              <w:rPr>
                <w:rFonts w:ascii="宋体"/>
              </w:rPr>
            </w:pPr>
          </w:p>
        </w:tc>
      </w:tr>
    </w:tbl>
    <w:p w14:paraId="7B66EA47" w14:textId="77777777" w:rsidR="0040300B" w:rsidRDefault="00BB2D44">
      <w:pPr>
        <w:jc w:val="center"/>
      </w:pPr>
      <w:r>
        <w:rPr>
          <w:rFonts w:ascii="Times New Roman" w:eastAsia="宋体" w:hAnsi="Times New Roman"/>
          <w:color w:val="000000"/>
          <w:sz w:val="20"/>
          <w:szCs w:val="20"/>
        </w:rPr>
        <w:t>14</w:t>
      </w:r>
    </w:p>
    <w:p w14:paraId="7B66EA48" w14:textId="77777777" w:rsidR="0040300B" w:rsidRDefault="00BB2D44">
      <w:r>
        <w:pict w14:anchorId="7B671C1E">
          <v:rect id="_x0000_i1038" style="width:415.3pt;height:1.5pt" o:hralign="center" o:hrstd="t" o:hr="t" fillcolor="#a0a0a0" stroked="f"/>
        </w:pict>
      </w:r>
    </w:p>
    <w:p w14:paraId="7B66EA49" w14:textId="77777777" w:rsidR="0040300B" w:rsidRDefault="00BB2D44">
      <w:hyperlink r:id="rId60" w:anchor="i52d5b40dbad7426a9806a2fd5167029f_7" w:history="1">
        <w:r>
          <w:rPr>
            <w:rStyle w:val="a5"/>
            <w:rFonts w:ascii="Times New Roman" w:eastAsia="宋体" w:hAnsi="Times New Roman"/>
            <w:sz w:val="18"/>
            <w:szCs w:val="18"/>
          </w:rPr>
          <w:t>Table of Contents</w:t>
        </w:r>
      </w:hyperlink>
    </w:p>
    <w:p w14:paraId="7B66EA4A" w14:textId="77777777" w:rsidR="0040300B" w:rsidRDefault="00BB2D44">
      <w:pPr>
        <w:jc w:val="center"/>
      </w:pPr>
      <w:r>
        <w:rPr>
          <w:rFonts w:ascii="Times New Roman" w:eastAsia="宋体" w:hAnsi="Times New Roman"/>
          <w:b/>
          <w:bCs/>
          <w:color w:val="000000"/>
          <w:sz w:val="18"/>
          <w:szCs w:val="18"/>
        </w:rPr>
        <w:t>CISCO SYSTEMS, INC.</w:t>
      </w:r>
    </w:p>
    <w:p w14:paraId="7B66EA4B"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A4C" w14:textId="77777777" w:rsidR="0040300B" w:rsidRDefault="00BB2D44">
      <w:pPr>
        <w:jc w:val="center"/>
      </w:pPr>
      <w:r>
        <w:rPr>
          <w:rFonts w:ascii="Times New Roman" w:eastAsia="宋体" w:hAnsi="Times New Roman"/>
          <w:b/>
          <w:bCs/>
          <w:color w:val="000000"/>
          <w:sz w:val="18"/>
          <w:szCs w:val="18"/>
        </w:rPr>
        <w:t xml:space="preserve">(Unaudited) </w:t>
      </w:r>
    </w:p>
    <w:p w14:paraId="7B66EA4D" w14:textId="77777777" w:rsidR="0040300B" w:rsidRDefault="0040300B">
      <w:pPr>
        <w:jc w:val="center"/>
      </w:pPr>
    </w:p>
    <w:p w14:paraId="7B66EA4E" w14:textId="77777777" w:rsidR="0040300B" w:rsidRDefault="00BB2D44">
      <w:pPr>
        <w:spacing w:before="120"/>
        <w:jc w:val="both"/>
      </w:pPr>
      <w:r>
        <w:rPr>
          <w:rFonts w:ascii="Times New Roman" w:eastAsia="宋体" w:hAnsi="Times New Roman"/>
          <w:color w:val="000000"/>
          <w:sz w:val="20"/>
          <w:szCs w:val="20"/>
        </w:rPr>
        <w:t>The estimated future amortization expense of purchased intangible assets with finite lives a</w:t>
      </w:r>
      <w:r>
        <w:rPr>
          <w:rFonts w:ascii="Times New Roman" w:eastAsia="宋体" w:hAnsi="Times New Roman"/>
          <w:color w:val="000000"/>
          <w:sz w:val="20"/>
          <w:szCs w:val="20"/>
        </w:rPr>
        <w:t>s of May 1, 2021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40300B" w14:paraId="7B66EA55" w14:textId="77777777">
        <w:tc>
          <w:tcPr>
            <w:tcW w:w="50" w:type="pct"/>
            <w:shd w:val="clear" w:color="auto" w:fill="auto"/>
          </w:tcPr>
          <w:p w14:paraId="7B66EA4F" w14:textId="77777777" w:rsidR="0040300B" w:rsidRDefault="0040300B">
            <w:pPr>
              <w:rPr>
                <w:rFonts w:ascii="宋体"/>
              </w:rPr>
            </w:pPr>
          </w:p>
        </w:tc>
        <w:tc>
          <w:tcPr>
            <w:tcW w:w="4214" w:type="pct"/>
            <w:shd w:val="clear" w:color="auto" w:fill="auto"/>
          </w:tcPr>
          <w:p w14:paraId="7B66EA50" w14:textId="77777777" w:rsidR="0040300B" w:rsidRDefault="0040300B">
            <w:pPr>
              <w:rPr>
                <w:rFonts w:ascii="宋体"/>
              </w:rPr>
            </w:pPr>
          </w:p>
        </w:tc>
        <w:tc>
          <w:tcPr>
            <w:tcW w:w="5" w:type="pct"/>
            <w:shd w:val="clear" w:color="auto" w:fill="auto"/>
          </w:tcPr>
          <w:p w14:paraId="7B66EA51" w14:textId="77777777" w:rsidR="0040300B" w:rsidRDefault="0040300B">
            <w:pPr>
              <w:rPr>
                <w:rFonts w:ascii="宋体"/>
              </w:rPr>
            </w:pPr>
          </w:p>
        </w:tc>
        <w:tc>
          <w:tcPr>
            <w:tcW w:w="50" w:type="pct"/>
            <w:shd w:val="clear" w:color="auto" w:fill="auto"/>
          </w:tcPr>
          <w:p w14:paraId="7B66EA52" w14:textId="77777777" w:rsidR="0040300B" w:rsidRDefault="0040300B">
            <w:pPr>
              <w:rPr>
                <w:rFonts w:ascii="宋体"/>
              </w:rPr>
            </w:pPr>
          </w:p>
        </w:tc>
        <w:tc>
          <w:tcPr>
            <w:tcW w:w="675" w:type="pct"/>
            <w:shd w:val="clear" w:color="auto" w:fill="auto"/>
          </w:tcPr>
          <w:p w14:paraId="7B66EA53" w14:textId="77777777" w:rsidR="0040300B" w:rsidRDefault="0040300B">
            <w:pPr>
              <w:rPr>
                <w:rFonts w:ascii="宋体"/>
              </w:rPr>
            </w:pPr>
          </w:p>
        </w:tc>
        <w:tc>
          <w:tcPr>
            <w:tcW w:w="5" w:type="pct"/>
            <w:shd w:val="clear" w:color="auto" w:fill="auto"/>
          </w:tcPr>
          <w:p w14:paraId="7B66EA54" w14:textId="77777777" w:rsidR="0040300B" w:rsidRDefault="0040300B">
            <w:pPr>
              <w:rPr>
                <w:rFonts w:ascii="宋体"/>
              </w:rPr>
            </w:pPr>
          </w:p>
        </w:tc>
      </w:tr>
      <w:tr w:rsidR="0040300B" w14:paraId="7B66EA58" w14:textId="77777777">
        <w:tc>
          <w:tcPr>
            <w:tcW w:w="0" w:type="auto"/>
            <w:gridSpan w:val="3"/>
            <w:shd w:val="clear" w:color="auto" w:fill="auto"/>
            <w:tcMar>
              <w:top w:w="40" w:type="dxa"/>
              <w:left w:w="20" w:type="dxa"/>
              <w:bottom w:w="40" w:type="dxa"/>
              <w:right w:w="20" w:type="dxa"/>
            </w:tcMar>
            <w:vAlign w:val="bottom"/>
          </w:tcPr>
          <w:p w14:paraId="7B66EA56" w14:textId="77777777" w:rsidR="0040300B" w:rsidRDefault="00BB2D44">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7B66EA57"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6EA5D" w14:textId="77777777">
        <w:tc>
          <w:tcPr>
            <w:tcW w:w="0" w:type="auto"/>
            <w:gridSpan w:val="3"/>
            <w:shd w:val="clear" w:color="auto" w:fill="CCEEFF"/>
            <w:tcMar>
              <w:top w:w="40" w:type="dxa"/>
              <w:left w:w="20" w:type="dxa"/>
              <w:bottom w:w="40" w:type="dxa"/>
              <w:right w:w="20" w:type="dxa"/>
            </w:tcMar>
          </w:tcPr>
          <w:p w14:paraId="7B66EA59" w14:textId="77777777" w:rsidR="0040300B" w:rsidRDefault="00BB2D44">
            <w:pPr>
              <w:textAlignment w:val="top"/>
            </w:pPr>
            <w:r>
              <w:rPr>
                <w:rFonts w:ascii="Times New Roman" w:eastAsia="宋体" w:hAnsi="Times New Roman"/>
                <w:color w:val="000000"/>
                <w:sz w:val="20"/>
                <w:szCs w:val="20"/>
              </w:rPr>
              <w:t>2021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A5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5B" w14:textId="77777777" w:rsidR="0040300B" w:rsidRDefault="00BB2D44">
            <w:pPr>
              <w:jc w:val="right"/>
              <w:textAlignment w:val="bottom"/>
            </w:pPr>
            <w:r>
              <w:rPr>
                <w:rFonts w:ascii="Times New Roman" w:eastAsia="宋体" w:hAnsi="Times New Roman"/>
                <w:color w:val="000000"/>
                <w:sz w:val="20"/>
                <w:szCs w:val="20"/>
              </w:rPr>
              <w:t>288 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5C" w14:textId="77777777" w:rsidR="0040300B" w:rsidRDefault="0040300B">
            <w:pPr>
              <w:jc w:val="right"/>
              <w:rPr>
                <w:rFonts w:ascii="宋体"/>
              </w:rPr>
            </w:pPr>
          </w:p>
        </w:tc>
      </w:tr>
      <w:tr w:rsidR="0040300B" w14:paraId="7B66EA62" w14:textId="77777777">
        <w:tc>
          <w:tcPr>
            <w:tcW w:w="0" w:type="auto"/>
            <w:gridSpan w:val="3"/>
            <w:shd w:val="clear" w:color="auto" w:fill="FFFFFF"/>
            <w:tcMar>
              <w:top w:w="40" w:type="dxa"/>
              <w:left w:w="20" w:type="dxa"/>
              <w:bottom w:w="40" w:type="dxa"/>
              <w:right w:w="20" w:type="dxa"/>
            </w:tcMar>
          </w:tcPr>
          <w:p w14:paraId="7B66EA5E" w14:textId="77777777" w:rsidR="0040300B" w:rsidRDefault="00BB2D44">
            <w:pPr>
              <w:textAlignment w:val="top"/>
            </w:pPr>
            <w:r>
              <w:rPr>
                <w:rFonts w:ascii="Times New Roman" w:eastAsia="宋体" w:hAnsi="Times New Roman"/>
                <w:color w:val="000000"/>
                <w:sz w:val="20"/>
                <w:szCs w:val="20"/>
              </w:rPr>
              <w:t>2022</w:t>
            </w:r>
          </w:p>
        </w:tc>
        <w:tc>
          <w:tcPr>
            <w:tcW w:w="0" w:type="auto"/>
            <w:shd w:val="clear" w:color="auto" w:fill="FFFFFF"/>
            <w:tcMar>
              <w:top w:w="40" w:type="dxa"/>
              <w:left w:w="20" w:type="dxa"/>
              <w:bottom w:w="40" w:type="dxa"/>
              <w:right w:w="0" w:type="dxa"/>
            </w:tcMar>
            <w:vAlign w:val="bottom"/>
          </w:tcPr>
          <w:p w14:paraId="7B66EA5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60" w14:textId="77777777" w:rsidR="0040300B" w:rsidRDefault="00BB2D44">
            <w:pPr>
              <w:jc w:val="right"/>
              <w:textAlignment w:val="bottom"/>
            </w:pPr>
            <w:r>
              <w:rPr>
                <w:rFonts w:ascii="Times New Roman" w:eastAsia="宋体" w:hAnsi="Times New Roman"/>
                <w:color w:val="000000"/>
                <w:sz w:val="20"/>
                <w:szCs w:val="20"/>
              </w:rPr>
              <w:t>986 </w:t>
            </w:r>
          </w:p>
        </w:tc>
        <w:tc>
          <w:tcPr>
            <w:tcW w:w="0" w:type="auto"/>
            <w:shd w:val="clear" w:color="auto" w:fill="FFFFFF"/>
            <w:tcMar>
              <w:top w:w="40" w:type="dxa"/>
              <w:left w:w="0" w:type="dxa"/>
              <w:bottom w:w="40" w:type="dxa"/>
              <w:right w:w="20" w:type="dxa"/>
            </w:tcMar>
            <w:vAlign w:val="bottom"/>
          </w:tcPr>
          <w:p w14:paraId="7B66EA61" w14:textId="77777777" w:rsidR="0040300B" w:rsidRDefault="0040300B">
            <w:pPr>
              <w:jc w:val="right"/>
              <w:rPr>
                <w:rFonts w:ascii="宋体"/>
              </w:rPr>
            </w:pPr>
          </w:p>
        </w:tc>
      </w:tr>
      <w:tr w:rsidR="0040300B" w14:paraId="7B66EA67" w14:textId="77777777">
        <w:tc>
          <w:tcPr>
            <w:tcW w:w="0" w:type="auto"/>
            <w:gridSpan w:val="3"/>
            <w:shd w:val="clear" w:color="auto" w:fill="CCEEFF"/>
            <w:tcMar>
              <w:top w:w="40" w:type="dxa"/>
              <w:left w:w="20" w:type="dxa"/>
              <w:bottom w:w="40" w:type="dxa"/>
              <w:right w:w="20" w:type="dxa"/>
            </w:tcMar>
          </w:tcPr>
          <w:p w14:paraId="7B66EA63" w14:textId="77777777" w:rsidR="0040300B" w:rsidRDefault="00BB2D44">
            <w:pPr>
              <w:textAlignment w:val="top"/>
            </w:pPr>
            <w:r>
              <w:rPr>
                <w:rFonts w:ascii="Times New Roman" w:eastAsia="宋体" w:hAnsi="Times New Roman"/>
                <w:color w:val="000000"/>
                <w:sz w:val="20"/>
                <w:szCs w:val="20"/>
              </w:rPr>
              <w:t>2023</w:t>
            </w:r>
          </w:p>
        </w:tc>
        <w:tc>
          <w:tcPr>
            <w:tcW w:w="0" w:type="auto"/>
            <w:shd w:val="clear" w:color="auto" w:fill="CCEEFF"/>
            <w:tcMar>
              <w:top w:w="40" w:type="dxa"/>
              <w:left w:w="20" w:type="dxa"/>
              <w:bottom w:w="40" w:type="dxa"/>
              <w:right w:w="0" w:type="dxa"/>
            </w:tcMar>
            <w:vAlign w:val="bottom"/>
          </w:tcPr>
          <w:p w14:paraId="7B66EA6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A65" w14:textId="77777777" w:rsidR="0040300B" w:rsidRDefault="00BB2D44">
            <w:pPr>
              <w:jc w:val="right"/>
              <w:textAlignment w:val="bottom"/>
            </w:pPr>
            <w:r>
              <w:rPr>
                <w:rFonts w:ascii="Times New Roman" w:eastAsia="宋体" w:hAnsi="Times New Roman"/>
                <w:color w:val="000000"/>
                <w:sz w:val="20"/>
                <w:szCs w:val="20"/>
              </w:rPr>
              <w:t>829 </w:t>
            </w:r>
          </w:p>
        </w:tc>
        <w:tc>
          <w:tcPr>
            <w:tcW w:w="0" w:type="auto"/>
            <w:shd w:val="clear" w:color="auto" w:fill="CCEEFF"/>
            <w:tcMar>
              <w:top w:w="40" w:type="dxa"/>
              <w:left w:w="0" w:type="dxa"/>
              <w:bottom w:w="40" w:type="dxa"/>
              <w:right w:w="20" w:type="dxa"/>
            </w:tcMar>
            <w:vAlign w:val="bottom"/>
          </w:tcPr>
          <w:p w14:paraId="7B66EA66" w14:textId="77777777" w:rsidR="0040300B" w:rsidRDefault="0040300B">
            <w:pPr>
              <w:jc w:val="right"/>
              <w:rPr>
                <w:rFonts w:ascii="宋体"/>
              </w:rPr>
            </w:pPr>
          </w:p>
        </w:tc>
      </w:tr>
      <w:tr w:rsidR="0040300B" w14:paraId="7B66EA6C" w14:textId="77777777">
        <w:tc>
          <w:tcPr>
            <w:tcW w:w="0" w:type="auto"/>
            <w:gridSpan w:val="3"/>
            <w:shd w:val="clear" w:color="auto" w:fill="FFFFFF"/>
            <w:tcMar>
              <w:top w:w="40" w:type="dxa"/>
              <w:left w:w="20" w:type="dxa"/>
              <w:bottom w:w="40" w:type="dxa"/>
              <w:right w:w="20" w:type="dxa"/>
            </w:tcMar>
          </w:tcPr>
          <w:p w14:paraId="7B66EA68" w14:textId="77777777" w:rsidR="0040300B" w:rsidRDefault="00BB2D44">
            <w:pPr>
              <w:textAlignment w:val="top"/>
            </w:pPr>
            <w:r>
              <w:rPr>
                <w:rFonts w:ascii="Times New Roman" w:eastAsia="宋体" w:hAnsi="Times New Roman"/>
                <w:color w:val="000000"/>
                <w:sz w:val="20"/>
                <w:szCs w:val="20"/>
              </w:rPr>
              <w:t>2024</w:t>
            </w:r>
          </w:p>
        </w:tc>
        <w:tc>
          <w:tcPr>
            <w:tcW w:w="0" w:type="auto"/>
            <w:shd w:val="clear" w:color="auto" w:fill="FFFFFF"/>
            <w:tcMar>
              <w:top w:w="40" w:type="dxa"/>
              <w:left w:w="20" w:type="dxa"/>
              <w:bottom w:w="40" w:type="dxa"/>
              <w:right w:w="0" w:type="dxa"/>
            </w:tcMar>
            <w:vAlign w:val="bottom"/>
          </w:tcPr>
          <w:p w14:paraId="7B66EA6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6A" w14:textId="77777777" w:rsidR="0040300B" w:rsidRDefault="00BB2D44">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bottom"/>
          </w:tcPr>
          <w:p w14:paraId="7B66EA6B" w14:textId="77777777" w:rsidR="0040300B" w:rsidRDefault="0040300B">
            <w:pPr>
              <w:jc w:val="right"/>
              <w:rPr>
                <w:rFonts w:ascii="宋体"/>
              </w:rPr>
            </w:pPr>
          </w:p>
        </w:tc>
      </w:tr>
      <w:tr w:rsidR="0040300B" w14:paraId="7B66EA71" w14:textId="77777777">
        <w:tc>
          <w:tcPr>
            <w:tcW w:w="0" w:type="auto"/>
            <w:gridSpan w:val="3"/>
            <w:shd w:val="clear" w:color="auto" w:fill="CCEEFF"/>
            <w:tcMar>
              <w:top w:w="40" w:type="dxa"/>
              <w:left w:w="20" w:type="dxa"/>
              <w:bottom w:w="40" w:type="dxa"/>
              <w:right w:w="20" w:type="dxa"/>
            </w:tcMar>
          </w:tcPr>
          <w:p w14:paraId="7B66EA6D" w14:textId="77777777" w:rsidR="0040300B" w:rsidRDefault="00BB2D44">
            <w:pPr>
              <w:textAlignment w:val="top"/>
            </w:pPr>
            <w:r>
              <w:rPr>
                <w:rFonts w:ascii="Times New Roman" w:eastAsia="宋体" w:hAnsi="Times New Roman"/>
                <w:color w:val="000000"/>
                <w:sz w:val="20"/>
                <w:szCs w:val="20"/>
              </w:rPr>
              <w:t>2025</w:t>
            </w:r>
          </w:p>
        </w:tc>
        <w:tc>
          <w:tcPr>
            <w:tcW w:w="0" w:type="auto"/>
            <w:shd w:val="clear" w:color="auto" w:fill="CCEEFF"/>
            <w:tcMar>
              <w:top w:w="40" w:type="dxa"/>
              <w:left w:w="20" w:type="dxa"/>
              <w:bottom w:w="40" w:type="dxa"/>
              <w:right w:w="0" w:type="dxa"/>
            </w:tcMar>
            <w:vAlign w:val="bottom"/>
          </w:tcPr>
          <w:p w14:paraId="7B66EA6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A6F" w14:textId="77777777" w:rsidR="0040300B" w:rsidRDefault="00BB2D44">
            <w:pPr>
              <w:jc w:val="right"/>
              <w:textAlignment w:val="bottom"/>
            </w:pPr>
            <w:r>
              <w:rPr>
                <w:rFonts w:ascii="Times New Roman" w:eastAsia="宋体" w:hAnsi="Times New Roman"/>
                <w:color w:val="000000"/>
                <w:sz w:val="20"/>
                <w:szCs w:val="20"/>
              </w:rPr>
              <w:t>355 </w:t>
            </w:r>
          </w:p>
        </w:tc>
        <w:tc>
          <w:tcPr>
            <w:tcW w:w="0" w:type="auto"/>
            <w:shd w:val="clear" w:color="auto" w:fill="CCEEFF"/>
            <w:tcMar>
              <w:top w:w="40" w:type="dxa"/>
              <w:left w:w="0" w:type="dxa"/>
              <w:bottom w:w="40" w:type="dxa"/>
              <w:right w:w="20" w:type="dxa"/>
            </w:tcMar>
            <w:vAlign w:val="bottom"/>
          </w:tcPr>
          <w:p w14:paraId="7B66EA70" w14:textId="77777777" w:rsidR="0040300B" w:rsidRDefault="0040300B">
            <w:pPr>
              <w:jc w:val="right"/>
              <w:rPr>
                <w:rFonts w:ascii="宋体"/>
              </w:rPr>
            </w:pPr>
          </w:p>
        </w:tc>
      </w:tr>
      <w:tr w:rsidR="0040300B" w14:paraId="7B66EA76" w14:textId="77777777">
        <w:tc>
          <w:tcPr>
            <w:tcW w:w="0" w:type="auto"/>
            <w:gridSpan w:val="3"/>
            <w:shd w:val="clear" w:color="auto" w:fill="FFFFFF"/>
            <w:tcMar>
              <w:top w:w="40" w:type="dxa"/>
              <w:left w:w="20" w:type="dxa"/>
              <w:bottom w:w="40" w:type="dxa"/>
              <w:right w:w="20" w:type="dxa"/>
            </w:tcMar>
          </w:tcPr>
          <w:p w14:paraId="7B66EA72" w14:textId="77777777" w:rsidR="0040300B" w:rsidRDefault="00BB2D44">
            <w:pPr>
              <w:textAlignment w:val="top"/>
            </w:pPr>
            <w:r>
              <w:rPr>
                <w:rFonts w:ascii="Times New Roman" w:eastAsia="宋体" w:hAnsi="Times New Roman"/>
                <w:color w:val="000000"/>
                <w:sz w:val="20"/>
                <w:szCs w:val="20"/>
              </w:rPr>
              <w:t>Thereafter</w:t>
            </w:r>
          </w:p>
        </w:tc>
        <w:tc>
          <w:tcPr>
            <w:tcW w:w="0" w:type="auto"/>
            <w:shd w:val="clear" w:color="auto" w:fill="FFFFFF"/>
            <w:tcMar>
              <w:top w:w="40" w:type="dxa"/>
              <w:left w:w="20" w:type="dxa"/>
              <w:bottom w:w="40" w:type="dxa"/>
              <w:right w:w="0" w:type="dxa"/>
            </w:tcMar>
            <w:vAlign w:val="bottom"/>
          </w:tcPr>
          <w:p w14:paraId="7B66EA7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A74" w14:textId="77777777" w:rsidR="0040300B" w:rsidRDefault="00BB2D44">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B66EA75" w14:textId="77777777" w:rsidR="0040300B" w:rsidRDefault="0040300B">
            <w:pPr>
              <w:jc w:val="right"/>
              <w:rPr>
                <w:rFonts w:ascii="宋体"/>
              </w:rPr>
            </w:pPr>
          </w:p>
        </w:tc>
      </w:tr>
    </w:tbl>
    <w:p w14:paraId="7B66EA77" w14:textId="77777777" w:rsidR="0040300B" w:rsidRDefault="0040300B"/>
    <w:p w14:paraId="7B66EA78" w14:textId="77777777" w:rsidR="0040300B" w:rsidRDefault="00BB2D44">
      <w:pPr>
        <w:ind w:hanging="360"/>
      </w:pPr>
      <w:r>
        <w:rPr>
          <w:rFonts w:ascii="Times New Roman" w:eastAsia="宋体" w:hAnsi="Times New Roman"/>
          <w:b/>
          <w:bCs/>
          <w:color w:val="000000"/>
          <w:sz w:val="20"/>
          <w:szCs w:val="20"/>
        </w:rPr>
        <w:t>6.Restructuring and Other Charges</w:t>
      </w:r>
    </w:p>
    <w:p w14:paraId="7B66EA79" w14:textId="77777777" w:rsidR="0040300B" w:rsidRDefault="00BB2D44">
      <w:pPr>
        <w:spacing w:before="120"/>
        <w:jc w:val="both"/>
      </w:pPr>
      <w:r>
        <w:rPr>
          <w:rFonts w:ascii="Times New Roman" w:eastAsia="宋体" w:hAnsi="Times New Roman"/>
          <w:color w:val="000000"/>
          <w:sz w:val="20"/>
          <w:szCs w:val="20"/>
        </w:rPr>
        <w:t xml:space="preserve">We initiated a </w:t>
      </w:r>
      <w:r>
        <w:rPr>
          <w:rFonts w:ascii="Times New Roman" w:eastAsia="宋体" w:hAnsi="Times New Roman"/>
          <w:color w:val="000000"/>
          <w:sz w:val="20"/>
          <w:szCs w:val="20"/>
        </w:rPr>
        <w:t>restructuring plan in the first quarter of fiscal 2021 (the “Fiscal 2021 Plan”), which includes a voluntary early retirement program, in order to realign the organization and enable further investment in key priority areas. The total pretax charges are est</w:t>
      </w:r>
      <w:r>
        <w:rPr>
          <w:rFonts w:ascii="Times New Roman" w:eastAsia="宋体" w:hAnsi="Times New Roman"/>
          <w:color w:val="000000"/>
          <w:sz w:val="20"/>
          <w:szCs w:val="20"/>
        </w:rPr>
        <w:t>imated to be approximately $900 million. In connection with the Fiscal 2021 Plan, we incurred charges of $35 million and $869 million for the third quarter and first nine months of fiscal 2021, respectively.</w:t>
      </w:r>
    </w:p>
    <w:p w14:paraId="7B66EA7A" w14:textId="77777777" w:rsidR="0040300B" w:rsidRDefault="00BB2D44">
      <w:pPr>
        <w:spacing w:before="120"/>
        <w:jc w:val="both"/>
      </w:pPr>
      <w:r>
        <w:rPr>
          <w:rFonts w:ascii="Times New Roman" w:eastAsia="宋体" w:hAnsi="Times New Roman"/>
          <w:color w:val="000000"/>
          <w:sz w:val="20"/>
          <w:szCs w:val="20"/>
        </w:rPr>
        <w:t>We initiated a restructuring plan in fiscal 2020</w:t>
      </w:r>
      <w:r>
        <w:rPr>
          <w:rFonts w:ascii="Times New Roman" w:eastAsia="宋体" w:hAnsi="Times New Roman"/>
          <w:color w:val="000000"/>
          <w:sz w:val="20"/>
          <w:szCs w:val="20"/>
        </w:rPr>
        <w:t xml:space="preserve"> (the “Fiscal 2020 Plan”) in order to realign the organization and enable further investment in key priority areas. The total pretax charges are estimated to be approximately $300 million. In connection with the Fiscal 2020 Plan, we have incurred cumulativ</w:t>
      </w:r>
      <w:r>
        <w:rPr>
          <w:rFonts w:ascii="Times New Roman" w:eastAsia="宋体" w:hAnsi="Times New Roman"/>
          <w:color w:val="000000"/>
          <w:sz w:val="20"/>
          <w:szCs w:val="20"/>
        </w:rPr>
        <w:t>e charges of $264 million.</w:t>
      </w:r>
    </w:p>
    <w:p w14:paraId="7B66EA7B" w14:textId="77777777" w:rsidR="0040300B" w:rsidRDefault="00BB2D44">
      <w:pPr>
        <w:spacing w:before="120"/>
        <w:jc w:val="both"/>
      </w:pPr>
      <w:r>
        <w:rPr>
          <w:rFonts w:ascii="Times New Roman" w:eastAsia="宋体" w:hAnsi="Times New Roman"/>
          <w:color w:val="000000"/>
          <w:sz w:val="20"/>
          <w:szCs w:val="20"/>
        </w:rPr>
        <w:t>The aggregate pretax charges related to these plans are primarily cash-based and consist of severance and other one-time termination benefits, and other costs. We expect to substantially complete both plans in fiscal 2021.</w:t>
      </w:r>
    </w:p>
    <w:p w14:paraId="7B66EA7C" w14:textId="77777777" w:rsidR="0040300B" w:rsidRDefault="00BB2D44">
      <w:pPr>
        <w:spacing w:before="120"/>
        <w:jc w:val="both"/>
      </w:pPr>
      <w:r>
        <w:rPr>
          <w:rFonts w:ascii="Times New Roman" w:eastAsia="宋体" w:hAnsi="Times New Roman"/>
          <w:color w:val="000000"/>
          <w:sz w:val="20"/>
          <w:szCs w:val="20"/>
        </w:rPr>
        <w:t>The fo</w:t>
      </w:r>
      <w:r>
        <w:rPr>
          <w:rFonts w:ascii="Times New Roman" w:eastAsia="宋体" w:hAnsi="Times New Roman"/>
          <w:color w:val="000000"/>
          <w:sz w:val="20"/>
          <w:szCs w:val="20"/>
        </w:rPr>
        <w:t>llowing tables summarize the activities related to the restructuring and other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21"/>
        <w:gridCol w:w="675"/>
        <w:gridCol w:w="37"/>
        <w:gridCol w:w="36"/>
        <w:gridCol w:w="36"/>
        <w:gridCol w:w="36"/>
        <w:gridCol w:w="120"/>
        <w:gridCol w:w="652"/>
        <w:gridCol w:w="36"/>
        <w:gridCol w:w="36"/>
        <w:gridCol w:w="36"/>
        <w:gridCol w:w="36"/>
        <w:gridCol w:w="121"/>
        <w:gridCol w:w="652"/>
        <w:gridCol w:w="37"/>
        <w:gridCol w:w="36"/>
        <w:gridCol w:w="36"/>
        <w:gridCol w:w="36"/>
        <w:gridCol w:w="120"/>
        <w:gridCol w:w="675"/>
        <w:gridCol w:w="36"/>
        <w:gridCol w:w="36"/>
        <w:gridCol w:w="36"/>
        <w:gridCol w:w="36"/>
        <w:gridCol w:w="121"/>
        <w:gridCol w:w="677"/>
        <w:gridCol w:w="36"/>
      </w:tblGrid>
      <w:tr w:rsidR="0040300B" w14:paraId="7B66EA9E" w14:textId="77777777">
        <w:tc>
          <w:tcPr>
            <w:tcW w:w="50" w:type="pct"/>
            <w:shd w:val="clear" w:color="auto" w:fill="auto"/>
          </w:tcPr>
          <w:p w14:paraId="7B66EA7D" w14:textId="77777777" w:rsidR="0040300B" w:rsidRDefault="0040300B">
            <w:pPr>
              <w:rPr>
                <w:rFonts w:ascii="宋体"/>
              </w:rPr>
            </w:pPr>
          </w:p>
        </w:tc>
        <w:tc>
          <w:tcPr>
            <w:tcW w:w="2192" w:type="pct"/>
            <w:shd w:val="clear" w:color="auto" w:fill="auto"/>
          </w:tcPr>
          <w:p w14:paraId="7B66EA7E" w14:textId="77777777" w:rsidR="0040300B" w:rsidRDefault="0040300B">
            <w:pPr>
              <w:rPr>
                <w:rFonts w:ascii="宋体"/>
              </w:rPr>
            </w:pPr>
          </w:p>
        </w:tc>
        <w:tc>
          <w:tcPr>
            <w:tcW w:w="5" w:type="pct"/>
            <w:shd w:val="clear" w:color="auto" w:fill="auto"/>
          </w:tcPr>
          <w:p w14:paraId="7B66EA7F" w14:textId="77777777" w:rsidR="0040300B" w:rsidRDefault="0040300B">
            <w:pPr>
              <w:rPr>
                <w:rFonts w:ascii="宋体"/>
              </w:rPr>
            </w:pPr>
          </w:p>
        </w:tc>
        <w:tc>
          <w:tcPr>
            <w:tcW w:w="5" w:type="pct"/>
            <w:shd w:val="clear" w:color="auto" w:fill="auto"/>
          </w:tcPr>
          <w:p w14:paraId="7B66EA80" w14:textId="77777777" w:rsidR="0040300B" w:rsidRDefault="0040300B">
            <w:pPr>
              <w:rPr>
                <w:rFonts w:ascii="宋体"/>
              </w:rPr>
            </w:pPr>
          </w:p>
        </w:tc>
        <w:tc>
          <w:tcPr>
            <w:tcW w:w="26" w:type="pct"/>
            <w:shd w:val="clear" w:color="auto" w:fill="auto"/>
          </w:tcPr>
          <w:p w14:paraId="7B66EA81" w14:textId="77777777" w:rsidR="0040300B" w:rsidRDefault="0040300B">
            <w:pPr>
              <w:rPr>
                <w:rFonts w:ascii="宋体"/>
              </w:rPr>
            </w:pPr>
          </w:p>
        </w:tc>
        <w:tc>
          <w:tcPr>
            <w:tcW w:w="5" w:type="pct"/>
            <w:shd w:val="clear" w:color="auto" w:fill="auto"/>
          </w:tcPr>
          <w:p w14:paraId="7B66EA82" w14:textId="77777777" w:rsidR="0040300B" w:rsidRDefault="0040300B">
            <w:pPr>
              <w:rPr>
                <w:rFonts w:ascii="宋体"/>
              </w:rPr>
            </w:pPr>
          </w:p>
        </w:tc>
        <w:tc>
          <w:tcPr>
            <w:tcW w:w="50" w:type="pct"/>
            <w:shd w:val="clear" w:color="auto" w:fill="auto"/>
          </w:tcPr>
          <w:p w14:paraId="7B66EA83" w14:textId="77777777" w:rsidR="0040300B" w:rsidRDefault="0040300B">
            <w:pPr>
              <w:rPr>
                <w:rFonts w:ascii="宋体"/>
              </w:rPr>
            </w:pPr>
          </w:p>
        </w:tc>
        <w:tc>
          <w:tcPr>
            <w:tcW w:w="464" w:type="pct"/>
            <w:shd w:val="clear" w:color="auto" w:fill="auto"/>
          </w:tcPr>
          <w:p w14:paraId="7B66EA84" w14:textId="77777777" w:rsidR="0040300B" w:rsidRDefault="0040300B">
            <w:pPr>
              <w:rPr>
                <w:rFonts w:ascii="宋体"/>
              </w:rPr>
            </w:pPr>
          </w:p>
        </w:tc>
        <w:tc>
          <w:tcPr>
            <w:tcW w:w="5" w:type="pct"/>
            <w:shd w:val="clear" w:color="auto" w:fill="auto"/>
          </w:tcPr>
          <w:p w14:paraId="7B66EA85" w14:textId="77777777" w:rsidR="0040300B" w:rsidRDefault="0040300B">
            <w:pPr>
              <w:rPr>
                <w:rFonts w:ascii="宋体"/>
              </w:rPr>
            </w:pPr>
          </w:p>
        </w:tc>
        <w:tc>
          <w:tcPr>
            <w:tcW w:w="5" w:type="pct"/>
            <w:shd w:val="clear" w:color="auto" w:fill="auto"/>
          </w:tcPr>
          <w:p w14:paraId="7B66EA86" w14:textId="77777777" w:rsidR="0040300B" w:rsidRDefault="0040300B">
            <w:pPr>
              <w:rPr>
                <w:rFonts w:ascii="宋体"/>
              </w:rPr>
            </w:pPr>
          </w:p>
        </w:tc>
        <w:tc>
          <w:tcPr>
            <w:tcW w:w="26" w:type="pct"/>
            <w:shd w:val="clear" w:color="auto" w:fill="auto"/>
          </w:tcPr>
          <w:p w14:paraId="7B66EA87" w14:textId="77777777" w:rsidR="0040300B" w:rsidRDefault="0040300B">
            <w:pPr>
              <w:rPr>
                <w:rFonts w:ascii="宋体"/>
              </w:rPr>
            </w:pPr>
          </w:p>
        </w:tc>
        <w:tc>
          <w:tcPr>
            <w:tcW w:w="5" w:type="pct"/>
            <w:shd w:val="clear" w:color="auto" w:fill="auto"/>
          </w:tcPr>
          <w:p w14:paraId="7B66EA88" w14:textId="77777777" w:rsidR="0040300B" w:rsidRDefault="0040300B">
            <w:pPr>
              <w:rPr>
                <w:rFonts w:ascii="宋体"/>
              </w:rPr>
            </w:pPr>
          </w:p>
        </w:tc>
        <w:tc>
          <w:tcPr>
            <w:tcW w:w="50" w:type="pct"/>
            <w:shd w:val="clear" w:color="auto" w:fill="auto"/>
          </w:tcPr>
          <w:p w14:paraId="7B66EA89" w14:textId="77777777" w:rsidR="0040300B" w:rsidRDefault="0040300B">
            <w:pPr>
              <w:rPr>
                <w:rFonts w:ascii="宋体"/>
              </w:rPr>
            </w:pPr>
          </w:p>
        </w:tc>
        <w:tc>
          <w:tcPr>
            <w:tcW w:w="450" w:type="pct"/>
            <w:shd w:val="clear" w:color="auto" w:fill="auto"/>
          </w:tcPr>
          <w:p w14:paraId="7B66EA8A" w14:textId="77777777" w:rsidR="0040300B" w:rsidRDefault="0040300B">
            <w:pPr>
              <w:rPr>
                <w:rFonts w:ascii="宋体"/>
              </w:rPr>
            </w:pPr>
          </w:p>
        </w:tc>
        <w:tc>
          <w:tcPr>
            <w:tcW w:w="5" w:type="pct"/>
            <w:shd w:val="clear" w:color="auto" w:fill="auto"/>
          </w:tcPr>
          <w:p w14:paraId="7B66EA8B" w14:textId="77777777" w:rsidR="0040300B" w:rsidRDefault="0040300B">
            <w:pPr>
              <w:rPr>
                <w:rFonts w:ascii="宋体"/>
              </w:rPr>
            </w:pPr>
          </w:p>
        </w:tc>
        <w:tc>
          <w:tcPr>
            <w:tcW w:w="5" w:type="pct"/>
            <w:shd w:val="clear" w:color="auto" w:fill="auto"/>
          </w:tcPr>
          <w:p w14:paraId="7B66EA8C" w14:textId="77777777" w:rsidR="0040300B" w:rsidRDefault="0040300B">
            <w:pPr>
              <w:rPr>
                <w:rFonts w:ascii="宋体"/>
              </w:rPr>
            </w:pPr>
          </w:p>
        </w:tc>
        <w:tc>
          <w:tcPr>
            <w:tcW w:w="26" w:type="pct"/>
            <w:shd w:val="clear" w:color="auto" w:fill="auto"/>
          </w:tcPr>
          <w:p w14:paraId="7B66EA8D" w14:textId="77777777" w:rsidR="0040300B" w:rsidRDefault="0040300B">
            <w:pPr>
              <w:rPr>
                <w:rFonts w:ascii="宋体"/>
              </w:rPr>
            </w:pPr>
          </w:p>
        </w:tc>
        <w:tc>
          <w:tcPr>
            <w:tcW w:w="5" w:type="pct"/>
            <w:shd w:val="clear" w:color="auto" w:fill="auto"/>
          </w:tcPr>
          <w:p w14:paraId="7B66EA8E" w14:textId="77777777" w:rsidR="0040300B" w:rsidRDefault="0040300B">
            <w:pPr>
              <w:rPr>
                <w:rFonts w:ascii="宋体"/>
              </w:rPr>
            </w:pPr>
          </w:p>
        </w:tc>
        <w:tc>
          <w:tcPr>
            <w:tcW w:w="50" w:type="pct"/>
            <w:shd w:val="clear" w:color="auto" w:fill="auto"/>
          </w:tcPr>
          <w:p w14:paraId="7B66EA8F" w14:textId="77777777" w:rsidR="0040300B" w:rsidRDefault="0040300B">
            <w:pPr>
              <w:rPr>
                <w:rFonts w:ascii="宋体"/>
              </w:rPr>
            </w:pPr>
          </w:p>
        </w:tc>
        <w:tc>
          <w:tcPr>
            <w:tcW w:w="450" w:type="pct"/>
            <w:shd w:val="clear" w:color="auto" w:fill="auto"/>
          </w:tcPr>
          <w:p w14:paraId="7B66EA90" w14:textId="77777777" w:rsidR="0040300B" w:rsidRDefault="0040300B">
            <w:pPr>
              <w:rPr>
                <w:rFonts w:ascii="宋体"/>
              </w:rPr>
            </w:pPr>
          </w:p>
        </w:tc>
        <w:tc>
          <w:tcPr>
            <w:tcW w:w="5" w:type="pct"/>
            <w:shd w:val="clear" w:color="auto" w:fill="auto"/>
          </w:tcPr>
          <w:p w14:paraId="7B66EA91" w14:textId="77777777" w:rsidR="0040300B" w:rsidRDefault="0040300B">
            <w:pPr>
              <w:rPr>
                <w:rFonts w:ascii="宋体"/>
              </w:rPr>
            </w:pPr>
          </w:p>
        </w:tc>
        <w:tc>
          <w:tcPr>
            <w:tcW w:w="5" w:type="pct"/>
            <w:shd w:val="clear" w:color="auto" w:fill="auto"/>
          </w:tcPr>
          <w:p w14:paraId="7B66EA92" w14:textId="77777777" w:rsidR="0040300B" w:rsidRDefault="0040300B">
            <w:pPr>
              <w:rPr>
                <w:rFonts w:ascii="宋体"/>
              </w:rPr>
            </w:pPr>
          </w:p>
        </w:tc>
        <w:tc>
          <w:tcPr>
            <w:tcW w:w="26" w:type="pct"/>
            <w:shd w:val="clear" w:color="auto" w:fill="auto"/>
          </w:tcPr>
          <w:p w14:paraId="7B66EA93" w14:textId="77777777" w:rsidR="0040300B" w:rsidRDefault="0040300B">
            <w:pPr>
              <w:rPr>
                <w:rFonts w:ascii="宋体"/>
              </w:rPr>
            </w:pPr>
          </w:p>
        </w:tc>
        <w:tc>
          <w:tcPr>
            <w:tcW w:w="5" w:type="pct"/>
            <w:shd w:val="clear" w:color="auto" w:fill="auto"/>
          </w:tcPr>
          <w:p w14:paraId="7B66EA94" w14:textId="77777777" w:rsidR="0040300B" w:rsidRDefault="0040300B">
            <w:pPr>
              <w:rPr>
                <w:rFonts w:ascii="宋体"/>
              </w:rPr>
            </w:pPr>
          </w:p>
        </w:tc>
        <w:tc>
          <w:tcPr>
            <w:tcW w:w="50" w:type="pct"/>
            <w:shd w:val="clear" w:color="auto" w:fill="auto"/>
          </w:tcPr>
          <w:p w14:paraId="7B66EA95" w14:textId="77777777" w:rsidR="0040300B" w:rsidRDefault="0040300B">
            <w:pPr>
              <w:rPr>
                <w:rFonts w:ascii="宋体"/>
              </w:rPr>
            </w:pPr>
          </w:p>
        </w:tc>
        <w:tc>
          <w:tcPr>
            <w:tcW w:w="464" w:type="pct"/>
            <w:shd w:val="clear" w:color="auto" w:fill="auto"/>
          </w:tcPr>
          <w:p w14:paraId="7B66EA96" w14:textId="77777777" w:rsidR="0040300B" w:rsidRDefault="0040300B">
            <w:pPr>
              <w:rPr>
                <w:rFonts w:ascii="宋体"/>
              </w:rPr>
            </w:pPr>
          </w:p>
        </w:tc>
        <w:tc>
          <w:tcPr>
            <w:tcW w:w="5" w:type="pct"/>
            <w:shd w:val="clear" w:color="auto" w:fill="auto"/>
          </w:tcPr>
          <w:p w14:paraId="7B66EA97" w14:textId="77777777" w:rsidR="0040300B" w:rsidRDefault="0040300B">
            <w:pPr>
              <w:rPr>
                <w:rFonts w:ascii="宋体"/>
              </w:rPr>
            </w:pPr>
          </w:p>
        </w:tc>
        <w:tc>
          <w:tcPr>
            <w:tcW w:w="5" w:type="pct"/>
            <w:shd w:val="clear" w:color="auto" w:fill="auto"/>
          </w:tcPr>
          <w:p w14:paraId="7B66EA98" w14:textId="77777777" w:rsidR="0040300B" w:rsidRDefault="0040300B">
            <w:pPr>
              <w:rPr>
                <w:rFonts w:ascii="宋体"/>
              </w:rPr>
            </w:pPr>
          </w:p>
        </w:tc>
        <w:tc>
          <w:tcPr>
            <w:tcW w:w="26" w:type="pct"/>
            <w:shd w:val="clear" w:color="auto" w:fill="auto"/>
          </w:tcPr>
          <w:p w14:paraId="7B66EA99" w14:textId="77777777" w:rsidR="0040300B" w:rsidRDefault="0040300B">
            <w:pPr>
              <w:rPr>
                <w:rFonts w:ascii="宋体"/>
              </w:rPr>
            </w:pPr>
          </w:p>
        </w:tc>
        <w:tc>
          <w:tcPr>
            <w:tcW w:w="5" w:type="pct"/>
            <w:shd w:val="clear" w:color="auto" w:fill="auto"/>
          </w:tcPr>
          <w:p w14:paraId="7B66EA9A" w14:textId="77777777" w:rsidR="0040300B" w:rsidRDefault="0040300B">
            <w:pPr>
              <w:rPr>
                <w:rFonts w:ascii="宋体"/>
              </w:rPr>
            </w:pPr>
          </w:p>
        </w:tc>
        <w:tc>
          <w:tcPr>
            <w:tcW w:w="50" w:type="pct"/>
            <w:shd w:val="clear" w:color="auto" w:fill="auto"/>
          </w:tcPr>
          <w:p w14:paraId="7B66EA9B" w14:textId="77777777" w:rsidR="0040300B" w:rsidRDefault="0040300B">
            <w:pPr>
              <w:rPr>
                <w:rFonts w:ascii="宋体"/>
              </w:rPr>
            </w:pPr>
          </w:p>
        </w:tc>
        <w:tc>
          <w:tcPr>
            <w:tcW w:w="464" w:type="pct"/>
            <w:shd w:val="clear" w:color="auto" w:fill="auto"/>
          </w:tcPr>
          <w:p w14:paraId="7B66EA9C" w14:textId="77777777" w:rsidR="0040300B" w:rsidRDefault="0040300B">
            <w:pPr>
              <w:rPr>
                <w:rFonts w:ascii="宋体"/>
              </w:rPr>
            </w:pPr>
          </w:p>
        </w:tc>
        <w:tc>
          <w:tcPr>
            <w:tcW w:w="5" w:type="pct"/>
            <w:shd w:val="clear" w:color="auto" w:fill="auto"/>
          </w:tcPr>
          <w:p w14:paraId="7B66EA9D" w14:textId="77777777" w:rsidR="0040300B" w:rsidRDefault="0040300B">
            <w:pPr>
              <w:rPr>
                <w:rFonts w:ascii="宋体"/>
              </w:rPr>
            </w:pPr>
          </w:p>
        </w:tc>
      </w:tr>
      <w:tr w:rsidR="0040300B" w14:paraId="7B66EAA6" w14:textId="77777777">
        <w:tc>
          <w:tcPr>
            <w:tcW w:w="0" w:type="auto"/>
            <w:gridSpan w:val="3"/>
            <w:shd w:val="clear" w:color="auto" w:fill="auto"/>
            <w:tcMar>
              <w:top w:w="0" w:type="dxa"/>
              <w:left w:w="20" w:type="dxa"/>
              <w:bottom w:w="0" w:type="dxa"/>
              <w:right w:w="20" w:type="dxa"/>
            </w:tcMar>
          </w:tcPr>
          <w:p w14:paraId="7B66EA9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AA0"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AA1" w14:textId="77777777" w:rsidR="0040300B" w:rsidRDefault="00BB2D44">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tcPr>
          <w:p w14:paraId="7B66EAA2"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AA3" w14:textId="77777777" w:rsidR="0040300B" w:rsidRDefault="00BB2D44">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tcPr>
          <w:p w14:paraId="7B66EAA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AA5" w14:textId="77777777" w:rsidR="0040300B" w:rsidRDefault="0040300B">
            <w:pPr>
              <w:rPr>
                <w:rFonts w:ascii="宋体"/>
              </w:rPr>
            </w:pPr>
          </w:p>
        </w:tc>
      </w:tr>
      <w:tr w:rsidR="0040300B" w14:paraId="7B66EAB2" w14:textId="77777777">
        <w:tc>
          <w:tcPr>
            <w:tcW w:w="0" w:type="auto"/>
            <w:gridSpan w:val="3"/>
            <w:shd w:val="clear" w:color="auto" w:fill="auto"/>
            <w:tcMar>
              <w:top w:w="0" w:type="dxa"/>
              <w:left w:w="20" w:type="dxa"/>
              <w:bottom w:w="0" w:type="dxa"/>
              <w:right w:w="20" w:type="dxa"/>
            </w:tcMar>
          </w:tcPr>
          <w:p w14:paraId="7B66EAA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AA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A9" w14:textId="77777777" w:rsidR="0040300B" w:rsidRDefault="00BB2D4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7B66EAA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AB" w14:textId="77777777" w:rsidR="0040300B" w:rsidRDefault="00BB2D4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7B66EAA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AD" w14:textId="77777777" w:rsidR="0040300B" w:rsidRDefault="00BB2D4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7B66EAA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AAF" w14:textId="77777777" w:rsidR="0040300B" w:rsidRDefault="00BB2D4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7B66EAB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AB1"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EAC8" w14:textId="77777777">
        <w:tc>
          <w:tcPr>
            <w:tcW w:w="0" w:type="auto"/>
            <w:gridSpan w:val="3"/>
            <w:shd w:val="clear" w:color="auto" w:fill="CCEEFF"/>
            <w:tcMar>
              <w:top w:w="40" w:type="dxa"/>
              <w:left w:w="20" w:type="dxa"/>
              <w:bottom w:w="40" w:type="dxa"/>
              <w:right w:w="20" w:type="dxa"/>
            </w:tcMar>
            <w:vAlign w:val="bottom"/>
          </w:tcPr>
          <w:p w14:paraId="7B66EAB3" w14:textId="77777777" w:rsidR="0040300B" w:rsidRDefault="00BB2D44">
            <w:pPr>
              <w:textAlignment w:val="bottom"/>
            </w:pPr>
            <w:r>
              <w:rPr>
                <w:rFonts w:ascii="Times New Roman" w:eastAsia="宋体" w:hAnsi="Times New Roman"/>
                <w:color w:val="000000"/>
                <w:sz w:val="20"/>
                <w:szCs w:val="20"/>
              </w:rPr>
              <w:t>Liability as of July 25, 2020</w:t>
            </w:r>
          </w:p>
        </w:tc>
        <w:tc>
          <w:tcPr>
            <w:tcW w:w="0" w:type="auto"/>
            <w:gridSpan w:val="3"/>
            <w:shd w:val="clear" w:color="auto" w:fill="CCEEFF"/>
            <w:tcMar>
              <w:top w:w="0" w:type="dxa"/>
              <w:left w:w="20" w:type="dxa"/>
              <w:bottom w:w="0" w:type="dxa"/>
              <w:right w:w="20" w:type="dxa"/>
            </w:tcMar>
          </w:tcPr>
          <w:p w14:paraId="7B66EAB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AB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B6" w14:textId="77777777" w:rsidR="0040300B" w:rsidRDefault="00BB2D44">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B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B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AB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BA" w14:textId="77777777" w:rsidR="0040300B" w:rsidRDefault="00BB2D44">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B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AB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BE"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C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AC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C2"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C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C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AC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AC6" w14:textId="77777777" w:rsidR="0040300B" w:rsidRDefault="00BB2D44">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AC7" w14:textId="77777777" w:rsidR="0040300B" w:rsidRDefault="0040300B">
            <w:pPr>
              <w:jc w:val="right"/>
              <w:rPr>
                <w:rFonts w:ascii="宋体"/>
              </w:rPr>
            </w:pPr>
          </w:p>
        </w:tc>
      </w:tr>
      <w:tr w:rsidR="0040300B" w14:paraId="7B66EAD9" w14:textId="77777777">
        <w:tc>
          <w:tcPr>
            <w:tcW w:w="0" w:type="auto"/>
            <w:gridSpan w:val="3"/>
            <w:shd w:val="clear" w:color="auto" w:fill="auto"/>
            <w:tcMar>
              <w:top w:w="40" w:type="dxa"/>
              <w:left w:w="20" w:type="dxa"/>
              <w:bottom w:w="40" w:type="dxa"/>
              <w:right w:w="20" w:type="dxa"/>
            </w:tcMar>
            <w:vAlign w:val="bottom"/>
          </w:tcPr>
          <w:p w14:paraId="7B66EAC9" w14:textId="77777777" w:rsidR="0040300B" w:rsidRDefault="00BB2D44">
            <w:pPr>
              <w:textAlignment w:val="bottom"/>
            </w:pPr>
            <w:r>
              <w:rPr>
                <w:rFonts w:ascii="Times New Roman" w:eastAsia="宋体" w:hAnsi="Times New Roman"/>
                <w:color w:val="000000"/>
                <w:sz w:val="20"/>
                <w:szCs w:val="20"/>
              </w:rPr>
              <w:t>Charges</w:t>
            </w:r>
          </w:p>
        </w:tc>
        <w:tc>
          <w:tcPr>
            <w:tcW w:w="0" w:type="auto"/>
            <w:gridSpan w:val="3"/>
            <w:shd w:val="clear" w:color="auto" w:fill="auto"/>
            <w:tcMar>
              <w:top w:w="0" w:type="dxa"/>
              <w:left w:w="20" w:type="dxa"/>
              <w:bottom w:w="0" w:type="dxa"/>
              <w:right w:w="20" w:type="dxa"/>
            </w:tcMar>
          </w:tcPr>
          <w:p w14:paraId="7B66EACA"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AC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B66EACC"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ACD"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ACE"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7B66EACF"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AD0"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AD1" w14:textId="77777777" w:rsidR="0040300B" w:rsidRDefault="00BB2D44">
            <w:pPr>
              <w:jc w:val="right"/>
              <w:textAlignment w:val="bottom"/>
            </w:pPr>
            <w:r>
              <w:rPr>
                <w:rFonts w:ascii="Times New Roman" w:eastAsia="宋体" w:hAnsi="Times New Roman"/>
                <w:color w:val="000000"/>
                <w:sz w:val="20"/>
                <w:szCs w:val="20"/>
              </w:rPr>
              <w:t>828 </w:t>
            </w:r>
          </w:p>
        </w:tc>
        <w:tc>
          <w:tcPr>
            <w:tcW w:w="0" w:type="auto"/>
            <w:shd w:val="clear" w:color="auto" w:fill="auto"/>
            <w:tcMar>
              <w:top w:w="40" w:type="dxa"/>
              <w:left w:w="0" w:type="dxa"/>
              <w:bottom w:w="40" w:type="dxa"/>
              <w:right w:w="20" w:type="dxa"/>
            </w:tcMar>
            <w:vAlign w:val="bottom"/>
          </w:tcPr>
          <w:p w14:paraId="7B66EAD2"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AD3"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AD4" w14:textId="77777777" w:rsidR="0040300B" w:rsidRDefault="00BB2D44">
            <w:pPr>
              <w:jc w:val="right"/>
              <w:textAlignment w:val="bottom"/>
            </w:pPr>
            <w:r>
              <w:rPr>
                <w:rFonts w:ascii="Times New Roman" w:eastAsia="宋体" w:hAnsi="Times New Roman"/>
                <w:color w:val="000000"/>
                <w:sz w:val="20"/>
                <w:szCs w:val="20"/>
              </w:rPr>
              <w:t>41 </w:t>
            </w:r>
          </w:p>
        </w:tc>
        <w:tc>
          <w:tcPr>
            <w:tcW w:w="0" w:type="auto"/>
            <w:shd w:val="clear" w:color="auto" w:fill="auto"/>
            <w:tcMar>
              <w:top w:w="40" w:type="dxa"/>
              <w:left w:w="0" w:type="dxa"/>
              <w:bottom w:w="40" w:type="dxa"/>
              <w:right w:w="20" w:type="dxa"/>
            </w:tcMar>
            <w:vAlign w:val="bottom"/>
          </w:tcPr>
          <w:p w14:paraId="7B66EAD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AD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AD7" w14:textId="77777777" w:rsidR="0040300B" w:rsidRDefault="00BB2D44">
            <w:pPr>
              <w:jc w:val="right"/>
              <w:textAlignment w:val="bottom"/>
            </w:pPr>
            <w:r>
              <w:rPr>
                <w:rFonts w:ascii="Times New Roman" w:eastAsia="宋体" w:hAnsi="Times New Roman"/>
                <w:color w:val="000000"/>
                <w:sz w:val="20"/>
                <w:szCs w:val="20"/>
              </w:rPr>
              <w:t>878 </w:t>
            </w:r>
          </w:p>
        </w:tc>
        <w:tc>
          <w:tcPr>
            <w:tcW w:w="0" w:type="auto"/>
            <w:shd w:val="clear" w:color="auto" w:fill="auto"/>
            <w:tcMar>
              <w:top w:w="40" w:type="dxa"/>
              <w:left w:w="0" w:type="dxa"/>
              <w:bottom w:w="40" w:type="dxa"/>
              <w:right w:w="20" w:type="dxa"/>
            </w:tcMar>
            <w:vAlign w:val="bottom"/>
          </w:tcPr>
          <w:p w14:paraId="7B66EAD8" w14:textId="77777777" w:rsidR="0040300B" w:rsidRDefault="0040300B">
            <w:pPr>
              <w:jc w:val="right"/>
              <w:rPr>
                <w:rFonts w:ascii="宋体"/>
              </w:rPr>
            </w:pPr>
          </w:p>
        </w:tc>
      </w:tr>
      <w:tr w:rsidR="0040300B" w14:paraId="7B66EAEA" w14:textId="77777777">
        <w:tc>
          <w:tcPr>
            <w:tcW w:w="0" w:type="auto"/>
            <w:gridSpan w:val="3"/>
            <w:shd w:val="clear" w:color="auto" w:fill="CCEEFF"/>
            <w:tcMar>
              <w:top w:w="40" w:type="dxa"/>
              <w:left w:w="20" w:type="dxa"/>
              <w:bottom w:w="40" w:type="dxa"/>
              <w:right w:w="20" w:type="dxa"/>
            </w:tcMar>
            <w:vAlign w:val="bottom"/>
          </w:tcPr>
          <w:p w14:paraId="7B66EADA" w14:textId="77777777" w:rsidR="0040300B" w:rsidRDefault="00BB2D44">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tcPr>
          <w:p w14:paraId="7B66EAD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DC" w14:textId="77777777" w:rsidR="0040300B" w:rsidRDefault="00BB2D44">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7B66EAD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D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DF" w14:textId="77777777" w:rsidR="0040300B" w:rsidRDefault="00BB2D4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B66EA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E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E2" w14:textId="77777777" w:rsidR="0040300B" w:rsidRDefault="00BB2D44">
            <w:pPr>
              <w:jc w:val="right"/>
              <w:textAlignment w:val="bottom"/>
            </w:pPr>
            <w:r>
              <w:rPr>
                <w:rFonts w:ascii="Times New Roman" w:eastAsia="宋体" w:hAnsi="Times New Roman"/>
                <w:color w:val="000000"/>
                <w:sz w:val="20"/>
                <w:szCs w:val="20"/>
              </w:rPr>
              <w:t>(801)</w:t>
            </w:r>
          </w:p>
        </w:tc>
        <w:tc>
          <w:tcPr>
            <w:tcW w:w="0" w:type="auto"/>
            <w:shd w:val="clear" w:color="auto" w:fill="CCEEFF"/>
            <w:tcMar>
              <w:top w:w="40" w:type="dxa"/>
              <w:left w:w="0" w:type="dxa"/>
              <w:bottom w:w="40" w:type="dxa"/>
              <w:right w:w="20" w:type="dxa"/>
            </w:tcMar>
            <w:vAlign w:val="bottom"/>
          </w:tcPr>
          <w:p w14:paraId="7B66EAE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E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E5" w14:textId="77777777" w:rsidR="0040300B" w:rsidRDefault="00BB2D44">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7B66EAE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AE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AE8" w14:textId="77777777" w:rsidR="0040300B" w:rsidRDefault="00BB2D44">
            <w:pPr>
              <w:jc w:val="right"/>
              <w:textAlignment w:val="bottom"/>
            </w:pPr>
            <w:r>
              <w:rPr>
                <w:rFonts w:ascii="Times New Roman" w:eastAsia="宋体" w:hAnsi="Times New Roman"/>
                <w:color w:val="000000"/>
                <w:sz w:val="20"/>
                <w:szCs w:val="20"/>
              </w:rPr>
              <w:t>(868)</w:t>
            </w:r>
          </w:p>
        </w:tc>
        <w:tc>
          <w:tcPr>
            <w:tcW w:w="0" w:type="auto"/>
            <w:shd w:val="clear" w:color="auto" w:fill="CCEEFF"/>
            <w:tcMar>
              <w:top w:w="40" w:type="dxa"/>
              <w:left w:w="0" w:type="dxa"/>
              <w:bottom w:w="40" w:type="dxa"/>
              <w:right w:w="20" w:type="dxa"/>
            </w:tcMar>
            <w:vAlign w:val="bottom"/>
          </w:tcPr>
          <w:p w14:paraId="7B66EAE9" w14:textId="77777777" w:rsidR="0040300B" w:rsidRDefault="0040300B">
            <w:pPr>
              <w:jc w:val="right"/>
              <w:rPr>
                <w:rFonts w:ascii="宋体"/>
              </w:rPr>
            </w:pPr>
          </w:p>
        </w:tc>
      </w:tr>
      <w:tr w:rsidR="0040300B" w14:paraId="7B66EAFB" w14:textId="77777777">
        <w:tc>
          <w:tcPr>
            <w:tcW w:w="0" w:type="auto"/>
            <w:gridSpan w:val="3"/>
            <w:shd w:val="clear" w:color="auto" w:fill="FFFFFF"/>
            <w:tcMar>
              <w:top w:w="40" w:type="dxa"/>
              <w:left w:w="20" w:type="dxa"/>
              <w:bottom w:w="40" w:type="dxa"/>
              <w:right w:w="20" w:type="dxa"/>
            </w:tcMar>
            <w:vAlign w:val="bottom"/>
          </w:tcPr>
          <w:p w14:paraId="7B66EAEB" w14:textId="77777777" w:rsidR="0040300B" w:rsidRDefault="00BB2D44">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tcPr>
          <w:p w14:paraId="7B66EAE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AED"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AE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E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AF0"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6EAF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F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AF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AF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F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AF6" w14:textId="77777777" w:rsidR="0040300B" w:rsidRDefault="00BB2D44">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7B66EAF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AF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AF9" w14:textId="77777777" w:rsidR="0040300B" w:rsidRDefault="00BB2D44">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7B66EAFA" w14:textId="77777777" w:rsidR="0040300B" w:rsidRDefault="0040300B">
            <w:pPr>
              <w:jc w:val="right"/>
              <w:rPr>
                <w:rFonts w:ascii="宋体"/>
              </w:rPr>
            </w:pPr>
          </w:p>
        </w:tc>
      </w:tr>
      <w:tr w:rsidR="0040300B" w14:paraId="7B66EB11" w14:textId="77777777">
        <w:tc>
          <w:tcPr>
            <w:tcW w:w="0" w:type="auto"/>
            <w:gridSpan w:val="3"/>
            <w:shd w:val="clear" w:color="auto" w:fill="CCEEFF"/>
            <w:tcMar>
              <w:top w:w="40" w:type="dxa"/>
              <w:left w:w="20" w:type="dxa"/>
              <w:bottom w:w="40" w:type="dxa"/>
              <w:right w:w="20" w:type="dxa"/>
            </w:tcMar>
            <w:vAlign w:val="bottom"/>
          </w:tcPr>
          <w:p w14:paraId="7B66EAFC" w14:textId="77777777" w:rsidR="0040300B" w:rsidRDefault="00BB2D44">
            <w:pPr>
              <w:textAlignment w:val="bottom"/>
            </w:pPr>
            <w:r>
              <w:rPr>
                <w:rFonts w:ascii="Times New Roman" w:eastAsia="宋体" w:hAnsi="Times New Roman"/>
                <w:color w:val="000000"/>
                <w:sz w:val="20"/>
                <w:szCs w:val="20"/>
              </w:rPr>
              <w:t>Liability as of May 1, 2021</w:t>
            </w:r>
          </w:p>
        </w:tc>
        <w:tc>
          <w:tcPr>
            <w:tcW w:w="0" w:type="auto"/>
            <w:gridSpan w:val="3"/>
            <w:shd w:val="clear" w:color="auto" w:fill="CCEEFF"/>
            <w:tcMar>
              <w:top w:w="0" w:type="dxa"/>
              <w:left w:w="20" w:type="dxa"/>
              <w:bottom w:w="0" w:type="dxa"/>
              <w:right w:w="20" w:type="dxa"/>
            </w:tcMar>
          </w:tcPr>
          <w:p w14:paraId="7B66EAF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AF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AFF"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0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0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0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03" w14:textId="77777777" w:rsidR="0040300B" w:rsidRDefault="00BB2D44">
            <w:pPr>
              <w:jc w:val="right"/>
              <w:textAlignment w:val="bottom"/>
            </w:pPr>
            <w:r>
              <w:rPr>
                <w:rFonts w:ascii="Times New Roman" w:eastAsia="宋体" w:hAnsi="Times New Roman"/>
                <w:color w:val="000000"/>
                <w:sz w:val="20"/>
                <w:szCs w:val="20"/>
              </w:rPr>
              <w:t>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0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0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0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07" w14:textId="77777777" w:rsidR="0040300B" w:rsidRDefault="00BB2D44">
            <w:pPr>
              <w:jc w:val="right"/>
              <w:textAlignment w:val="bottom"/>
            </w:pPr>
            <w:r>
              <w:rPr>
                <w:rFonts w:ascii="Times New Roman" w:eastAsia="宋体" w:hAnsi="Times New Roman"/>
                <w:color w:val="000000"/>
                <w:sz w:val="20"/>
                <w:szCs w:val="20"/>
              </w:rPr>
              <w:t>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0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0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0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0B" w14:textId="77777777" w:rsidR="0040300B" w:rsidRDefault="00BB2D44">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0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0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0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0F" w14:textId="77777777" w:rsidR="0040300B" w:rsidRDefault="00BB2D44">
            <w:pPr>
              <w:jc w:val="right"/>
              <w:textAlignment w:val="bottom"/>
            </w:pPr>
            <w:r>
              <w:rPr>
                <w:rFonts w:ascii="Times New Roman" w:eastAsia="宋体" w:hAnsi="Times New Roman"/>
                <w:color w:val="000000"/>
                <w:sz w:val="20"/>
                <w:szCs w:val="20"/>
              </w:rPr>
              <w:t>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10" w14:textId="77777777" w:rsidR="0040300B" w:rsidRDefault="0040300B">
            <w:pPr>
              <w:jc w:val="right"/>
              <w:rPr>
                <w:rFonts w:ascii="宋体"/>
              </w:rPr>
            </w:pPr>
          </w:p>
        </w:tc>
      </w:tr>
    </w:tbl>
    <w:p w14:paraId="7B66EB12" w14:textId="77777777" w:rsidR="0040300B" w:rsidRDefault="0040300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1"/>
        <w:gridCol w:w="37"/>
        <w:gridCol w:w="36"/>
        <w:gridCol w:w="36"/>
        <w:gridCol w:w="36"/>
        <w:gridCol w:w="121"/>
        <w:gridCol w:w="628"/>
        <w:gridCol w:w="37"/>
        <w:gridCol w:w="36"/>
        <w:gridCol w:w="36"/>
        <w:gridCol w:w="36"/>
        <w:gridCol w:w="120"/>
        <w:gridCol w:w="653"/>
        <w:gridCol w:w="36"/>
        <w:gridCol w:w="36"/>
        <w:gridCol w:w="36"/>
        <w:gridCol w:w="36"/>
        <w:gridCol w:w="121"/>
        <w:gridCol w:w="653"/>
        <w:gridCol w:w="37"/>
        <w:gridCol w:w="36"/>
        <w:gridCol w:w="36"/>
        <w:gridCol w:w="36"/>
        <w:gridCol w:w="120"/>
        <w:gridCol w:w="710"/>
        <w:gridCol w:w="36"/>
        <w:gridCol w:w="36"/>
        <w:gridCol w:w="36"/>
        <w:gridCol w:w="36"/>
        <w:gridCol w:w="121"/>
        <w:gridCol w:w="711"/>
        <w:gridCol w:w="36"/>
      </w:tblGrid>
      <w:tr w:rsidR="0040300B" w14:paraId="7B66EB34" w14:textId="77777777">
        <w:trPr>
          <w:jc w:val="center"/>
        </w:trPr>
        <w:tc>
          <w:tcPr>
            <w:tcW w:w="50" w:type="pct"/>
            <w:shd w:val="clear" w:color="auto" w:fill="auto"/>
          </w:tcPr>
          <w:p w14:paraId="7B66EB13" w14:textId="77777777" w:rsidR="0040300B" w:rsidRDefault="0040300B">
            <w:pPr>
              <w:rPr>
                <w:rFonts w:ascii="宋体"/>
              </w:rPr>
            </w:pPr>
          </w:p>
        </w:tc>
        <w:tc>
          <w:tcPr>
            <w:tcW w:w="2196" w:type="pct"/>
            <w:shd w:val="clear" w:color="auto" w:fill="auto"/>
          </w:tcPr>
          <w:p w14:paraId="7B66EB14" w14:textId="77777777" w:rsidR="0040300B" w:rsidRDefault="0040300B">
            <w:pPr>
              <w:rPr>
                <w:rFonts w:ascii="宋体"/>
              </w:rPr>
            </w:pPr>
          </w:p>
        </w:tc>
        <w:tc>
          <w:tcPr>
            <w:tcW w:w="5" w:type="pct"/>
            <w:shd w:val="clear" w:color="auto" w:fill="auto"/>
          </w:tcPr>
          <w:p w14:paraId="7B66EB15" w14:textId="77777777" w:rsidR="0040300B" w:rsidRDefault="0040300B">
            <w:pPr>
              <w:rPr>
                <w:rFonts w:ascii="宋体"/>
              </w:rPr>
            </w:pPr>
          </w:p>
        </w:tc>
        <w:tc>
          <w:tcPr>
            <w:tcW w:w="5" w:type="pct"/>
            <w:shd w:val="clear" w:color="auto" w:fill="auto"/>
          </w:tcPr>
          <w:p w14:paraId="7B66EB16" w14:textId="77777777" w:rsidR="0040300B" w:rsidRDefault="0040300B">
            <w:pPr>
              <w:rPr>
                <w:rFonts w:ascii="宋体"/>
              </w:rPr>
            </w:pPr>
          </w:p>
        </w:tc>
        <w:tc>
          <w:tcPr>
            <w:tcW w:w="26" w:type="pct"/>
            <w:shd w:val="clear" w:color="auto" w:fill="auto"/>
          </w:tcPr>
          <w:p w14:paraId="7B66EB17" w14:textId="77777777" w:rsidR="0040300B" w:rsidRDefault="0040300B">
            <w:pPr>
              <w:rPr>
                <w:rFonts w:ascii="宋体"/>
              </w:rPr>
            </w:pPr>
          </w:p>
        </w:tc>
        <w:tc>
          <w:tcPr>
            <w:tcW w:w="5" w:type="pct"/>
            <w:shd w:val="clear" w:color="auto" w:fill="auto"/>
          </w:tcPr>
          <w:p w14:paraId="7B66EB18" w14:textId="77777777" w:rsidR="0040300B" w:rsidRDefault="0040300B">
            <w:pPr>
              <w:rPr>
                <w:rFonts w:ascii="宋体"/>
              </w:rPr>
            </w:pPr>
          </w:p>
        </w:tc>
        <w:tc>
          <w:tcPr>
            <w:tcW w:w="50" w:type="pct"/>
            <w:shd w:val="clear" w:color="auto" w:fill="auto"/>
          </w:tcPr>
          <w:p w14:paraId="7B66EB19" w14:textId="77777777" w:rsidR="0040300B" w:rsidRDefault="0040300B">
            <w:pPr>
              <w:rPr>
                <w:rFonts w:ascii="宋体"/>
              </w:rPr>
            </w:pPr>
          </w:p>
        </w:tc>
        <w:tc>
          <w:tcPr>
            <w:tcW w:w="449" w:type="pct"/>
            <w:shd w:val="clear" w:color="auto" w:fill="auto"/>
          </w:tcPr>
          <w:p w14:paraId="7B66EB1A" w14:textId="77777777" w:rsidR="0040300B" w:rsidRDefault="0040300B">
            <w:pPr>
              <w:rPr>
                <w:rFonts w:ascii="宋体"/>
              </w:rPr>
            </w:pPr>
          </w:p>
        </w:tc>
        <w:tc>
          <w:tcPr>
            <w:tcW w:w="5" w:type="pct"/>
            <w:shd w:val="clear" w:color="auto" w:fill="auto"/>
          </w:tcPr>
          <w:p w14:paraId="7B66EB1B" w14:textId="77777777" w:rsidR="0040300B" w:rsidRDefault="0040300B">
            <w:pPr>
              <w:rPr>
                <w:rFonts w:ascii="宋体"/>
              </w:rPr>
            </w:pPr>
          </w:p>
        </w:tc>
        <w:tc>
          <w:tcPr>
            <w:tcW w:w="5" w:type="pct"/>
            <w:shd w:val="clear" w:color="auto" w:fill="auto"/>
          </w:tcPr>
          <w:p w14:paraId="7B66EB1C" w14:textId="77777777" w:rsidR="0040300B" w:rsidRDefault="0040300B">
            <w:pPr>
              <w:rPr>
                <w:rFonts w:ascii="宋体"/>
              </w:rPr>
            </w:pPr>
          </w:p>
        </w:tc>
        <w:tc>
          <w:tcPr>
            <w:tcW w:w="26" w:type="pct"/>
            <w:shd w:val="clear" w:color="auto" w:fill="auto"/>
          </w:tcPr>
          <w:p w14:paraId="7B66EB1D" w14:textId="77777777" w:rsidR="0040300B" w:rsidRDefault="0040300B">
            <w:pPr>
              <w:rPr>
                <w:rFonts w:ascii="宋体"/>
              </w:rPr>
            </w:pPr>
          </w:p>
        </w:tc>
        <w:tc>
          <w:tcPr>
            <w:tcW w:w="5" w:type="pct"/>
            <w:shd w:val="clear" w:color="auto" w:fill="auto"/>
          </w:tcPr>
          <w:p w14:paraId="7B66EB1E" w14:textId="77777777" w:rsidR="0040300B" w:rsidRDefault="0040300B">
            <w:pPr>
              <w:rPr>
                <w:rFonts w:ascii="宋体"/>
              </w:rPr>
            </w:pPr>
          </w:p>
        </w:tc>
        <w:tc>
          <w:tcPr>
            <w:tcW w:w="50" w:type="pct"/>
            <w:shd w:val="clear" w:color="auto" w:fill="auto"/>
          </w:tcPr>
          <w:p w14:paraId="7B66EB1F" w14:textId="77777777" w:rsidR="0040300B" w:rsidRDefault="0040300B">
            <w:pPr>
              <w:rPr>
                <w:rFonts w:ascii="宋体"/>
              </w:rPr>
            </w:pPr>
          </w:p>
        </w:tc>
        <w:tc>
          <w:tcPr>
            <w:tcW w:w="463" w:type="pct"/>
            <w:shd w:val="clear" w:color="auto" w:fill="auto"/>
          </w:tcPr>
          <w:p w14:paraId="7B66EB20" w14:textId="77777777" w:rsidR="0040300B" w:rsidRDefault="0040300B">
            <w:pPr>
              <w:rPr>
                <w:rFonts w:ascii="宋体"/>
              </w:rPr>
            </w:pPr>
          </w:p>
        </w:tc>
        <w:tc>
          <w:tcPr>
            <w:tcW w:w="5" w:type="pct"/>
            <w:shd w:val="clear" w:color="auto" w:fill="auto"/>
          </w:tcPr>
          <w:p w14:paraId="7B66EB21" w14:textId="77777777" w:rsidR="0040300B" w:rsidRDefault="0040300B">
            <w:pPr>
              <w:rPr>
                <w:rFonts w:ascii="宋体"/>
              </w:rPr>
            </w:pPr>
          </w:p>
        </w:tc>
        <w:tc>
          <w:tcPr>
            <w:tcW w:w="5" w:type="pct"/>
            <w:shd w:val="clear" w:color="auto" w:fill="auto"/>
          </w:tcPr>
          <w:p w14:paraId="7B66EB22" w14:textId="77777777" w:rsidR="0040300B" w:rsidRDefault="0040300B">
            <w:pPr>
              <w:rPr>
                <w:rFonts w:ascii="宋体"/>
              </w:rPr>
            </w:pPr>
          </w:p>
        </w:tc>
        <w:tc>
          <w:tcPr>
            <w:tcW w:w="26" w:type="pct"/>
            <w:shd w:val="clear" w:color="auto" w:fill="auto"/>
          </w:tcPr>
          <w:p w14:paraId="7B66EB23" w14:textId="77777777" w:rsidR="0040300B" w:rsidRDefault="0040300B">
            <w:pPr>
              <w:rPr>
                <w:rFonts w:ascii="宋体"/>
              </w:rPr>
            </w:pPr>
          </w:p>
        </w:tc>
        <w:tc>
          <w:tcPr>
            <w:tcW w:w="5" w:type="pct"/>
            <w:shd w:val="clear" w:color="auto" w:fill="auto"/>
          </w:tcPr>
          <w:p w14:paraId="7B66EB24" w14:textId="77777777" w:rsidR="0040300B" w:rsidRDefault="0040300B">
            <w:pPr>
              <w:rPr>
                <w:rFonts w:ascii="宋体"/>
              </w:rPr>
            </w:pPr>
          </w:p>
        </w:tc>
        <w:tc>
          <w:tcPr>
            <w:tcW w:w="50" w:type="pct"/>
            <w:shd w:val="clear" w:color="auto" w:fill="auto"/>
          </w:tcPr>
          <w:p w14:paraId="7B66EB25" w14:textId="77777777" w:rsidR="0040300B" w:rsidRDefault="0040300B">
            <w:pPr>
              <w:rPr>
                <w:rFonts w:ascii="宋体"/>
              </w:rPr>
            </w:pPr>
          </w:p>
        </w:tc>
        <w:tc>
          <w:tcPr>
            <w:tcW w:w="463" w:type="pct"/>
            <w:shd w:val="clear" w:color="auto" w:fill="auto"/>
          </w:tcPr>
          <w:p w14:paraId="7B66EB26" w14:textId="77777777" w:rsidR="0040300B" w:rsidRDefault="0040300B">
            <w:pPr>
              <w:rPr>
                <w:rFonts w:ascii="宋体"/>
              </w:rPr>
            </w:pPr>
          </w:p>
        </w:tc>
        <w:tc>
          <w:tcPr>
            <w:tcW w:w="5" w:type="pct"/>
            <w:shd w:val="clear" w:color="auto" w:fill="auto"/>
          </w:tcPr>
          <w:p w14:paraId="7B66EB27" w14:textId="77777777" w:rsidR="0040300B" w:rsidRDefault="0040300B">
            <w:pPr>
              <w:rPr>
                <w:rFonts w:ascii="宋体"/>
              </w:rPr>
            </w:pPr>
          </w:p>
        </w:tc>
        <w:tc>
          <w:tcPr>
            <w:tcW w:w="5" w:type="pct"/>
            <w:shd w:val="clear" w:color="auto" w:fill="auto"/>
          </w:tcPr>
          <w:p w14:paraId="7B66EB28" w14:textId="77777777" w:rsidR="0040300B" w:rsidRDefault="0040300B">
            <w:pPr>
              <w:rPr>
                <w:rFonts w:ascii="宋体"/>
              </w:rPr>
            </w:pPr>
          </w:p>
        </w:tc>
        <w:tc>
          <w:tcPr>
            <w:tcW w:w="19" w:type="pct"/>
            <w:shd w:val="clear" w:color="auto" w:fill="auto"/>
          </w:tcPr>
          <w:p w14:paraId="7B66EB29" w14:textId="77777777" w:rsidR="0040300B" w:rsidRDefault="0040300B">
            <w:pPr>
              <w:rPr>
                <w:rFonts w:ascii="宋体"/>
              </w:rPr>
            </w:pPr>
          </w:p>
        </w:tc>
        <w:tc>
          <w:tcPr>
            <w:tcW w:w="5" w:type="pct"/>
            <w:shd w:val="clear" w:color="auto" w:fill="auto"/>
          </w:tcPr>
          <w:p w14:paraId="7B66EB2A" w14:textId="77777777" w:rsidR="0040300B" w:rsidRDefault="0040300B">
            <w:pPr>
              <w:rPr>
                <w:rFonts w:ascii="宋体"/>
              </w:rPr>
            </w:pPr>
          </w:p>
        </w:tc>
        <w:tc>
          <w:tcPr>
            <w:tcW w:w="50" w:type="pct"/>
            <w:shd w:val="clear" w:color="auto" w:fill="auto"/>
          </w:tcPr>
          <w:p w14:paraId="7B66EB2B" w14:textId="77777777" w:rsidR="0040300B" w:rsidRDefault="0040300B">
            <w:pPr>
              <w:rPr>
                <w:rFonts w:ascii="宋体"/>
              </w:rPr>
            </w:pPr>
          </w:p>
        </w:tc>
        <w:tc>
          <w:tcPr>
            <w:tcW w:w="463" w:type="pct"/>
            <w:shd w:val="clear" w:color="auto" w:fill="auto"/>
          </w:tcPr>
          <w:p w14:paraId="7B66EB2C" w14:textId="77777777" w:rsidR="0040300B" w:rsidRDefault="0040300B">
            <w:pPr>
              <w:rPr>
                <w:rFonts w:ascii="宋体"/>
              </w:rPr>
            </w:pPr>
          </w:p>
        </w:tc>
        <w:tc>
          <w:tcPr>
            <w:tcW w:w="5" w:type="pct"/>
            <w:shd w:val="clear" w:color="auto" w:fill="auto"/>
          </w:tcPr>
          <w:p w14:paraId="7B66EB2D" w14:textId="77777777" w:rsidR="0040300B" w:rsidRDefault="0040300B">
            <w:pPr>
              <w:rPr>
                <w:rFonts w:ascii="宋体"/>
              </w:rPr>
            </w:pPr>
          </w:p>
        </w:tc>
        <w:tc>
          <w:tcPr>
            <w:tcW w:w="5" w:type="pct"/>
            <w:shd w:val="clear" w:color="auto" w:fill="auto"/>
          </w:tcPr>
          <w:p w14:paraId="7B66EB2E" w14:textId="77777777" w:rsidR="0040300B" w:rsidRDefault="0040300B">
            <w:pPr>
              <w:rPr>
                <w:rFonts w:ascii="宋体"/>
              </w:rPr>
            </w:pPr>
          </w:p>
        </w:tc>
        <w:tc>
          <w:tcPr>
            <w:tcW w:w="19" w:type="pct"/>
            <w:shd w:val="clear" w:color="auto" w:fill="auto"/>
          </w:tcPr>
          <w:p w14:paraId="7B66EB2F" w14:textId="77777777" w:rsidR="0040300B" w:rsidRDefault="0040300B">
            <w:pPr>
              <w:rPr>
                <w:rFonts w:ascii="宋体"/>
              </w:rPr>
            </w:pPr>
          </w:p>
        </w:tc>
        <w:tc>
          <w:tcPr>
            <w:tcW w:w="5" w:type="pct"/>
            <w:shd w:val="clear" w:color="auto" w:fill="auto"/>
          </w:tcPr>
          <w:p w14:paraId="7B66EB30" w14:textId="77777777" w:rsidR="0040300B" w:rsidRDefault="0040300B">
            <w:pPr>
              <w:rPr>
                <w:rFonts w:ascii="宋体"/>
              </w:rPr>
            </w:pPr>
          </w:p>
        </w:tc>
        <w:tc>
          <w:tcPr>
            <w:tcW w:w="50" w:type="pct"/>
            <w:shd w:val="clear" w:color="auto" w:fill="auto"/>
          </w:tcPr>
          <w:p w14:paraId="7B66EB31" w14:textId="77777777" w:rsidR="0040300B" w:rsidRDefault="0040300B">
            <w:pPr>
              <w:rPr>
                <w:rFonts w:ascii="宋体"/>
              </w:rPr>
            </w:pPr>
          </w:p>
        </w:tc>
        <w:tc>
          <w:tcPr>
            <w:tcW w:w="464" w:type="pct"/>
            <w:shd w:val="clear" w:color="auto" w:fill="auto"/>
          </w:tcPr>
          <w:p w14:paraId="7B66EB32" w14:textId="77777777" w:rsidR="0040300B" w:rsidRDefault="0040300B">
            <w:pPr>
              <w:rPr>
                <w:rFonts w:ascii="宋体"/>
              </w:rPr>
            </w:pPr>
          </w:p>
        </w:tc>
        <w:tc>
          <w:tcPr>
            <w:tcW w:w="5" w:type="pct"/>
            <w:shd w:val="clear" w:color="auto" w:fill="auto"/>
          </w:tcPr>
          <w:p w14:paraId="7B66EB33" w14:textId="77777777" w:rsidR="0040300B" w:rsidRDefault="0040300B">
            <w:pPr>
              <w:rPr>
                <w:rFonts w:ascii="宋体"/>
              </w:rPr>
            </w:pPr>
          </w:p>
        </w:tc>
      </w:tr>
      <w:tr w:rsidR="0040300B" w14:paraId="7B66EB3C" w14:textId="77777777">
        <w:trPr>
          <w:jc w:val="center"/>
        </w:trPr>
        <w:tc>
          <w:tcPr>
            <w:tcW w:w="0" w:type="auto"/>
            <w:gridSpan w:val="3"/>
            <w:shd w:val="clear" w:color="auto" w:fill="auto"/>
            <w:tcMar>
              <w:top w:w="0" w:type="dxa"/>
              <w:left w:w="20" w:type="dxa"/>
              <w:bottom w:w="0" w:type="dxa"/>
              <w:right w:w="20" w:type="dxa"/>
            </w:tcMar>
          </w:tcPr>
          <w:p w14:paraId="7B66EB3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B36"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B37" w14:textId="77777777" w:rsidR="0040300B" w:rsidRDefault="00BB2D44">
            <w:pPr>
              <w:jc w:val="center"/>
              <w:textAlignment w:val="bottom"/>
            </w:pPr>
            <w:r>
              <w:rPr>
                <w:rFonts w:ascii="Times New Roman" w:eastAsia="宋体" w:hAnsi="Times New Roman"/>
                <w:color w:val="000000"/>
                <w:sz w:val="18"/>
                <w:szCs w:val="18"/>
              </w:rPr>
              <w:t>FISCAL 2018 AND PRIOR PLANS</w:t>
            </w:r>
          </w:p>
        </w:tc>
        <w:tc>
          <w:tcPr>
            <w:tcW w:w="0" w:type="auto"/>
            <w:gridSpan w:val="3"/>
            <w:shd w:val="clear" w:color="auto" w:fill="auto"/>
            <w:tcMar>
              <w:top w:w="0" w:type="dxa"/>
              <w:left w:w="20" w:type="dxa"/>
              <w:bottom w:w="0" w:type="dxa"/>
              <w:right w:w="20" w:type="dxa"/>
            </w:tcMar>
          </w:tcPr>
          <w:p w14:paraId="7B66EB38"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B39" w14:textId="77777777" w:rsidR="0040300B" w:rsidRDefault="00BB2D44">
            <w:pPr>
              <w:jc w:val="center"/>
              <w:textAlignment w:val="bottom"/>
            </w:pPr>
            <w:r>
              <w:rPr>
                <w:rFonts w:ascii="Times New Roman" w:eastAsia="宋体" w:hAnsi="Times New Roman"/>
                <w:color w:val="000000"/>
                <w:sz w:val="18"/>
                <w:szCs w:val="18"/>
              </w:rPr>
              <w:t>FISCAL 2020 PLAN</w:t>
            </w:r>
          </w:p>
        </w:tc>
        <w:tc>
          <w:tcPr>
            <w:tcW w:w="0" w:type="auto"/>
            <w:gridSpan w:val="3"/>
            <w:shd w:val="clear" w:color="auto" w:fill="auto"/>
            <w:tcMar>
              <w:top w:w="0" w:type="dxa"/>
              <w:left w:w="20" w:type="dxa"/>
              <w:bottom w:w="0" w:type="dxa"/>
              <w:right w:w="20" w:type="dxa"/>
            </w:tcMar>
          </w:tcPr>
          <w:p w14:paraId="7B66EB3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B3B" w14:textId="77777777" w:rsidR="0040300B" w:rsidRDefault="0040300B">
            <w:pPr>
              <w:rPr>
                <w:rFonts w:ascii="宋体"/>
              </w:rPr>
            </w:pPr>
          </w:p>
        </w:tc>
      </w:tr>
      <w:tr w:rsidR="0040300B" w14:paraId="7B66EB48" w14:textId="77777777">
        <w:trPr>
          <w:jc w:val="center"/>
        </w:trPr>
        <w:tc>
          <w:tcPr>
            <w:tcW w:w="0" w:type="auto"/>
            <w:gridSpan w:val="3"/>
            <w:shd w:val="clear" w:color="auto" w:fill="auto"/>
            <w:tcMar>
              <w:top w:w="0" w:type="dxa"/>
              <w:left w:w="20" w:type="dxa"/>
              <w:bottom w:w="0" w:type="dxa"/>
              <w:right w:w="20" w:type="dxa"/>
            </w:tcMar>
          </w:tcPr>
          <w:p w14:paraId="7B66EB3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B3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B3F" w14:textId="77777777" w:rsidR="0040300B" w:rsidRDefault="00BB2D4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tcPr>
          <w:p w14:paraId="7B66EB4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B41" w14:textId="77777777" w:rsidR="0040300B" w:rsidRDefault="00BB2D4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7B66EB4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B43" w14:textId="77777777" w:rsidR="0040300B" w:rsidRDefault="00BB2D44">
            <w:pPr>
              <w:jc w:val="center"/>
              <w:textAlignment w:val="bottom"/>
            </w:pPr>
            <w:r>
              <w:rPr>
                <w:rFonts w:ascii="Times New Roman" w:eastAsia="宋体" w:hAnsi="Times New Roman"/>
                <w:color w:val="000000"/>
                <w:sz w:val="16"/>
                <w:szCs w:val="16"/>
              </w:rPr>
              <w:t>Employee Severance</w:t>
            </w:r>
          </w:p>
        </w:tc>
        <w:tc>
          <w:tcPr>
            <w:tcW w:w="0" w:type="auto"/>
            <w:gridSpan w:val="3"/>
            <w:tcBorders>
              <w:top w:val="single" w:sz="8" w:space="0" w:color="000000"/>
            </w:tcBorders>
            <w:shd w:val="clear" w:color="auto" w:fill="auto"/>
            <w:tcMar>
              <w:top w:w="0" w:type="dxa"/>
              <w:left w:w="20" w:type="dxa"/>
              <w:bottom w:w="0" w:type="dxa"/>
              <w:right w:w="20" w:type="dxa"/>
            </w:tcMar>
          </w:tcPr>
          <w:p w14:paraId="7B66EB4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B45" w14:textId="77777777" w:rsidR="0040300B" w:rsidRDefault="00BB2D4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tcPr>
          <w:p w14:paraId="7B66EB4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B47"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EB5E" w14:textId="77777777">
        <w:trPr>
          <w:jc w:val="center"/>
        </w:trPr>
        <w:tc>
          <w:tcPr>
            <w:tcW w:w="0" w:type="auto"/>
            <w:gridSpan w:val="3"/>
            <w:shd w:val="clear" w:color="auto" w:fill="CCEEFF"/>
            <w:tcMar>
              <w:top w:w="40" w:type="dxa"/>
              <w:left w:w="20" w:type="dxa"/>
              <w:bottom w:w="40" w:type="dxa"/>
              <w:right w:w="20" w:type="dxa"/>
            </w:tcMar>
            <w:vAlign w:val="bottom"/>
          </w:tcPr>
          <w:p w14:paraId="7B66EB49" w14:textId="77777777" w:rsidR="0040300B" w:rsidRDefault="00BB2D44">
            <w:pPr>
              <w:textAlignment w:val="bottom"/>
            </w:pPr>
            <w:r>
              <w:rPr>
                <w:rFonts w:ascii="Times New Roman" w:eastAsia="宋体" w:hAnsi="Times New Roman"/>
                <w:color w:val="000000"/>
                <w:sz w:val="20"/>
                <w:szCs w:val="20"/>
              </w:rPr>
              <w:t>Liability as of July 27, 2019</w:t>
            </w:r>
          </w:p>
        </w:tc>
        <w:tc>
          <w:tcPr>
            <w:tcW w:w="0" w:type="auto"/>
            <w:gridSpan w:val="3"/>
            <w:shd w:val="clear" w:color="auto" w:fill="CCEEFF"/>
            <w:tcMar>
              <w:top w:w="0" w:type="dxa"/>
              <w:left w:w="20" w:type="dxa"/>
              <w:bottom w:w="0" w:type="dxa"/>
              <w:right w:w="20" w:type="dxa"/>
            </w:tcMar>
          </w:tcPr>
          <w:p w14:paraId="7B66EB4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4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4C" w14:textId="77777777" w:rsidR="0040300B" w:rsidRDefault="00BB2D44">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4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4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4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50" w14:textId="77777777" w:rsidR="0040300B" w:rsidRDefault="00BB2D44">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5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5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5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54"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5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56"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5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58"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5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5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5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5C" w14:textId="77777777" w:rsidR="0040300B" w:rsidRDefault="00BB2D44">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5D" w14:textId="77777777" w:rsidR="0040300B" w:rsidRDefault="0040300B">
            <w:pPr>
              <w:jc w:val="right"/>
              <w:rPr>
                <w:rFonts w:ascii="宋体"/>
              </w:rPr>
            </w:pPr>
          </w:p>
        </w:tc>
      </w:tr>
      <w:tr w:rsidR="0040300B" w14:paraId="7B66EB6F" w14:textId="77777777">
        <w:trPr>
          <w:jc w:val="center"/>
        </w:trPr>
        <w:tc>
          <w:tcPr>
            <w:tcW w:w="0" w:type="auto"/>
            <w:gridSpan w:val="3"/>
            <w:shd w:val="clear" w:color="auto" w:fill="FFFFFF"/>
            <w:tcMar>
              <w:top w:w="40" w:type="dxa"/>
              <w:left w:w="20" w:type="dxa"/>
              <w:bottom w:w="40" w:type="dxa"/>
              <w:right w:w="20" w:type="dxa"/>
            </w:tcMar>
            <w:vAlign w:val="bottom"/>
          </w:tcPr>
          <w:p w14:paraId="7B66EB5F" w14:textId="77777777" w:rsidR="0040300B" w:rsidRDefault="00BB2D44">
            <w:pPr>
              <w:textAlignment w:val="bottom"/>
            </w:pPr>
            <w:r>
              <w:rPr>
                <w:rFonts w:ascii="Times New Roman" w:eastAsia="宋体" w:hAnsi="Times New Roman"/>
                <w:color w:val="000000"/>
                <w:sz w:val="20"/>
                <w:szCs w:val="20"/>
              </w:rPr>
              <w:t>Charges</w:t>
            </w:r>
          </w:p>
        </w:tc>
        <w:tc>
          <w:tcPr>
            <w:tcW w:w="0" w:type="auto"/>
            <w:gridSpan w:val="3"/>
            <w:shd w:val="clear" w:color="auto" w:fill="FFFFFF"/>
            <w:tcMar>
              <w:top w:w="0" w:type="dxa"/>
              <w:left w:w="20" w:type="dxa"/>
              <w:bottom w:w="0" w:type="dxa"/>
              <w:right w:w="20" w:type="dxa"/>
            </w:tcMar>
          </w:tcPr>
          <w:p w14:paraId="7B66EB6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61" w14:textId="77777777" w:rsidR="0040300B" w:rsidRDefault="00BB2D44">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7B66EB6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6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64" w14:textId="77777777" w:rsidR="0040300B" w:rsidRDefault="00BB2D44">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B66EB6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6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67" w14:textId="77777777" w:rsidR="0040300B" w:rsidRDefault="00BB2D44">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left w:w="0" w:type="dxa"/>
              <w:bottom w:w="40" w:type="dxa"/>
              <w:right w:w="20" w:type="dxa"/>
            </w:tcMar>
            <w:vAlign w:val="bottom"/>
          </w:tcPr>
          <w:p w14:paraId="7B66EB6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6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6A"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B66EB6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6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6D" w14:textId="77777777" w:rsidR="0040300B" w:rsidRDefault="00BB2D44">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7B66EB6E" w14:textId="77777777" w:rsidR="0040300B" w:rsidRDefault="0040300B">
            <w:pPr>
              <w:jc w:val="right"/>
              <w:rPr>
                <w:rFonts w:ascii="宋体"/>
              </w:rPr>
            </w:pPr>
          </w:p>
        </w:tc>
      </w:tr>
      <w:tr w:rsidR="0040300B" w14:paraId="7B66EB80" w14:textId="77777777">
        <w:trPr>
          <w:jc w:val="center"/>
        </w:trPr>
        <w:tc>
          <w:tcPr>
            <w:tcW w:w="0" w:type="auto"/>
            <w:gridSpan w:val="3"/>
            <w:shd w:val="clear" w:color="auto" w:fill="CCEEFF"/>
            <w:tcMar>
              <w:top w:w="40" w:type="dxa"/>
              <w:left w:w="20" w:type="dxa"/>
              <w:bottom w:w="40" w:type="dxa"/>
              <w:right w:w="20" w:type="dxa"/>
            </w:tcMar>
            <w:vAlign w:val="bottom"/>
          </w:tcPr>
          <w:p w14:paraId="7B66EB70" w14:textId="77777777" w:rsidR="0040300B" w:rsidRDefault="00BB2D44">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tcPr>
          <w:p w14:paraId="7B66EB7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72" w14:textId="77777777" w:rsidR="0040300B" w:rsidRDefault="00BB2D44">
            <w:pPr>
              <w:jc w:val="right"/>
              <w:textAlignment w:val="bottom"/>
            </w:pPr>
            <w:r>
              <w:rPr>
                <w:rFonts w:ascii="Times New Roman" w:eastAsia="宋体" w:hAnsi="Times New Roman"/>
                <w:color w:val="000000"/>
                <w:sz w:val="20"/>
                <w:szCs w:val="20"/>
              </w:rPr>
              <w:t>(217)</w:t>
            </w:r>
          </w:p>
        </w:tc>
        <w:tc>
          <w:tcPr>
            <w:tcW w:w="0" w:type="auto"/>
            <w:shd w:val="clear" w:color="auto" w:fill="CCEEFF"/>
            <w:tcMar>
              <w:top w:w="40" w:type="dxa"/>
              <w:left w:w="0" w:type="dxa"/>
              <w:bottom w:w="40" w:type="dxa"/>
              <w:right w:w="20" w:type="dxa"/>
            </w:tcMar>
            <w:vAlign w:val="bottom"/>
          </w:tcPr>
          <w:p w14:paraId="7B66EB7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7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75" w14:textId="77777777" w:rsidR="0040300B" w:rsidRDefault="00BB2D4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B66EB7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7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78" w14:textId="77777777" w:rsidR="0040300B" w:rsidRDefault="00BB2D44">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7B66EB7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7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7B"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B66EB7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7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7E" w14:textId="77777777" w:rsidR="0040300B" w:rsidRDefault="00BB2D44">
            <w:pPr>
              <w:jc w:val="right"/>
              <w:textAlignment w:val="bottom"/>
            </w:pPr>
            <w:r>
              <w:rPr>
                <w:rFonts w:ascii="Times New Roman" w:eastAsia="宋体" w:hAnsi="Times New Roman"/>
                <w:color w:val="000000"/>
                <w:sz w:val="20"/>
                <w:szCs w:val="20"/>
              </w:rPr>
              <w:t>(260)</w:t>
            </w:r>
          </w:p>
        </w:tc>
        <w:tc>
          <w:tcPr>
            <w:tcW w:w="0" w:type="auto"/>
            <w:shd w:val="clear" w:color="auto" w:fill="CCEEFF"/>
            <w:tcMar>
              <w:top w:w="40" w:type="dxa"/>
              <w:left w:w="0" w:type="dxa"/>
              <w:bottom w:w="40" w:type="dxa"/>
              <w:right w:w="20" w:type="dxa"/>
            </w:tcMar>
            <w:vAlign w:val="bottom"/>
          </w:tcPr>
          <w:p w14:paraId="7B66EB7F" w14:textId="77777777" w:rsidR="0040300B" w:rsidRDefault="0040300B">
            <w:pPr>
              <w:jc w:val="right"/>
              <w:rPr>
                <w:rFonts w:ascii="宋体"/>
              </w:rPr>
            </w:pPr>
          </w:p>
        </w:tc>
      </w:tr>
      <w:tr w:rsidR="0040300B" w14:paraId="7B66EB91" w14:textId="77777777">
        <w:trPr>
          <w:jc w:val="center"/>
        </w:trPr>
        <w:tc>
          <w:tcPr>
            <w:tcW w:w="0" w:type="auto"/>
            <w:gridSpan w:val="3"/>
            <w:shd w:val="clear" w:color="auto" w:fill="FFFFFF"/>
            <w:tcMar>
              <w:top w:w="40" w:type="dxa"/>
              <w:left w:w="20" w:type="dxa"/>
              <w:bottom w:w="40" w:type="dxa"/>
              <w:right w:w="20" w:type="dxa"/>
            </w:tcMar>
            <w:vAlign w:val="bottom"/>
          </w:tcPr>
          <w:p w14:paraId="7B66EB81" w14:textId="77777777" w:rsidR="0040300B" w:rsidRDefault="00BB2D44">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tcPr>
          <w:p w14:paraId="7B66EB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8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B8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8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86" w14:textId="77777777" w:rsidR="0040300B" w:rsidRDefault="00BB2D44">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7B66EB8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8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8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B8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8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8C"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B66EB8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B8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B8F" w14:textId="77777777" w:rsidR="0040300B" w:rsidRDefault="00BB2D44">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B66EB90" w14:textId="77777777" w:rsidR="0040300B" w:rsidRDefault="0040300B">
            <w:pPr>
              <w:jc w:val="right"/>
              <w:rPr>
                <w:rFonts w:ascii="宋体"/>
              </w:rPr>
            </w:pPr>
          </w:p>
        </w:tc>
      </w:tr>
      <w:tr w:rsidR="0040300B" w14:paraId="7B66EBA7" w14:textId="77777777">
        <w:trPr>
          <w:jc w:val="center"/>
        </w:trPr>
        <w:tc>
          <w:tcPr>
            <w:tcW w:w="0" w:type="auto"/>
            <w:gridSpan w:val="3"/>
            <w:shd w:val="clear" w:color="auto" w:fill="CCEEFF"/>
            <w:tcMar>
              <w:top w:w="40" w:type="dxa"/>
              <w:left w:w="20" w:type="dxa"/>
              <w:bottom w:w="40" w:type="dxa"/>
              <w:right w:w="20" w:type="dxa"/>
            </w:tcMar>
            <w:vAlign w:val="bottom"/>
          </w:tcPr>
          <w:p w14:paraId="7B66EB92" w14:textId="77777777" w:rsidR="0040300B" w:rsidRDefault="00BB2D44">
            <w:pPr>
              <w:textAlignment w:val="bottom"/>
            </w:pPr>
            <w:r>
              <w:rPr>
                <w:rFonts w:ascii="Times New Roman" w:eastAsia="宋体" w:hAnsi="Times New Roman"/>
                <w:color w:val="000000"/>
                <w:sz w:val="20"/>
                <w:szCs w:val="20"/>
              </w:rPr>
              <w:t>Liability as of April 25, 2020</w:t>
            </w:r>
          </w:p>
        </w:tc>
        <w:tc>
          <w:tcPr>
            <w:tcW w:w="0" w:type="auto"/>
            <w:gridSpan w:val="3"/>
            <w:shd w:val="clear" w:color="auto" w:fill="CCEEFF"/>
            <w:tcMar>
              <w:top w:w="0" w:type="dxa"/>
              <w:left w:w="20" w:type="dxa"/>
              <w:bottom w:w="0" w:type="dxa"/>
              <w:right w:w="20" w:type="dxa"/>
            </w:tcMar>
          </w:tcPr>
          <w:p w14:paraId="7B66EB9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9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95" w14:textId="77777777" w:rsidR="0040300B" w:rsidRDefault="00BB2D44">
            <w:pPr>
              <w:jc w:val="right"/>
              <w:textAlignment w:val="bottom"/>
            </w:pPr>
            <w:r>
              <w:rPr>
                <w:rFonts w:ascii="Times New Roman" w:eastAsia="宋体" w:hAnsi="Times New Roman"/>
                <w:color w:val="000000"/>
                <w:sz w:val="20"/>
                <w:szCs w:val="20"/>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9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9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9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99" w14:textId="77777777" w:rsidR="0040300B" w:rsidRDefault="00BB2D44">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9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9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9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9D" w14:textId="77777777" w:rsidR="0040300B" w:rsidRDefault="00BB2D44">
            <w:pPr>
              <w:jc w:val="right"/>
              <w:textAlignment w:val="bottom"/>
            </w:pPr>
            <w:r>
              <w:rPr>
                <w:rFonts w:ascii="Times New Roman" w:eastAsia="宋体" w:hAnsi="Times New Roman"/>
                <w:color w:val="000000"/>
                <w:sz w:val="20"/>
                <w:szCs w:val="20"/>
              </w:rPr>
              <w:t>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9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A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A1"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A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A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BA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BA5" w14:textId="77777777" w:rsidR="0040300B" w:rsidRDefault="00BB2D44">
            <w:pPr>
              <w:jc w:val="right"/>
              <w:textAlignment w:val="bottom"/>
            </w:pPr>
            <w:r>
              <w:rPr>
                <w:rFonts w:ascii="Times New Roman" w:eastAsia="宋体" w:hAnsi="Times New Roman"/>
                <w:color w:val="000000"/>
                <w:sz w:val="20"/>
                <w:szCs w:val="20"/>
              </w:rPr>
              <w:t>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BA6" w14:textId="77777777" w:rsidR="0040300B" w:rsidRDefault="0040300B">
            <w:pPr>
              <w:jc w:val="right"/>
              <w:rPr>
                <w:rFonts w:ascii="宋体"/>
              </w:rPr>
            </w:pPr>
          </w:p>
        </w:tc>
      </w:tr>
    </w:tbl>
    <w:p w14:paraId="7B66EBA8" w14:textId="77777777" w:rsidR="0040300B" w:rsidRDefault="0040300B">
      <w:pPr>
        <w:spacing w:before="120"/>
        <w:jc w:val="both"/>
      </w:pPr>
    </w:p>
    <w:p w14:paraId="7B66EBA9" w14:textId="77777777" w:rsidR="0040300B" w:rsidRDefault="0040300B">
      <w:pPr>
        <w:spacing w:before="120"/>
        <w:jc w:val="both"/>
      </w:pPr>
    </w:p>
    <w:p w14:paraId="7B66EBAA" w14:textId="77777777" w:rsidR="0040300B" w:rsidRDefault="0040300B">
      <w:pPr>
        <w:spacing w:before="120"/>
      </w:pPr>
    </w:p>
    <w:p w14:paraId="7B66EBAB" w14:textId="77777777" w:rsidR="0040300B" w:rsidRDefault="00BB2D44">
      <w:pPr>
        <w:jc w:val="center"/>
      </w:pPr>
      <w:r>
        <w:rPr>
          <w:rFonts w:ascii="Times New Roman" w:eastAsia="宋体" w:hAnsi="Times New Roman"/>
          <w:color w:val="000000"/>
          <w:sz w:val="20"/>
          <w:szCs w:val="20"/>
        </w:rPr>
        <w:t>15</w:t>
      </w:r>
    </w:p>
    <w:p w14:paraId="7B66EBAC" w14:textId="77777777" w:rsidR="0040300B" w:rsidRDefault="00BB2D44">
      <w:r>
        <w:pict w14:anchorId="7B671C1F">
          <v:rect id="_x0000_i1039" style="width:415.3pt;height:1.5pt" o:hralign="center" o:hrstd="t" o:hr="t" fillcolor="#a0a0a0" stroked="f"/>
        </w:pict>
      </w:r>
    </w:p>
    <w:p w14:paraId="7B66EBAD" w14:textId="77777777" w:rsidR="0040300B" w:rsidRDefault="00BB2D44">
      <w:hyperlink r:id="rId61" w:anchor="i52d5b40dbad7426a9806a2fd5167029f_7" w:history="1">
        <w:r>
          <w:rPr>
            <w:rStyle w:val="a5"/>
            <w:rFonts w:ascii="Times New Roman" w:eastAsia="宋体" w:hAnsi="Times New Roman"/>
            <w:sz w:val="18"/>
            <w:szCs w:val="18"/>
          </w:rPr>
          <w:t>Table of Contents</w:t>
        </w:r>
      </w:hyperlink>
    </w:p>
    <w:p w14:paraId="7B66EBAE" w14:textId="77777777" w:rsidR="0040300B" w:rsidRDefault="00BB2D44">
      <w:pPr>
        <w:jc w:val="center"/>
      </w:pPr>
      <w:r>
        <w:rPr>
          <w:rFonts w:ascii="Times New Roman" w:eastAsia="宋体" w:hAnsi="Times New Roman"/>
          <w:b/>
          <w:bCs/>
          <w:color w:val="000000"/>
          <w:sz w:val="18"/>
          <w:szCs w:val="18"/>
        </w:rPr>
        <w:t>CISCO SYSTEMS, INC.</w:t>
      </w:r>
    </w:p>
    <w:p w14:paraId="7B66EBAF" w14:textId="77777777" w:rsidR="0040300B" w:rsidRDefault="00BB2D44">
      <w:pPr>
        <w:jc w:val="center"/>
      </w:pPr>
      <w:r>
        <w:rPr>
          <w:rFonts w:ascii="Times New Roman" w:eastAsia="宋体" w:hAnsi="Times New Roman"/>
          <w:b/>
          <w:bCs/>
          <w:color w:val="000000"/>
          <w:sz w:val="18"/>
          <w:szCs w:val="18"/>
        </w:rPr>
        <w:t>NOTES TO CONSOLIDATED FINANCIAL STATEMENTS (Con</w:t>
      </w:r>
      <w:r>
        <w:rPr>
          <w:rFonts w:ascii="Times New Roman" w:eastAsia="宋体" w:hAnsi="Times New Roman"/>
          <w:b/>
          <w:bCs/>
          <w:color w:val="000000"/>
          <w:sz w:val="18"/>
          <w:szCs w:val="18"/>
        </w:rPr>
        <w:t>tinued)</w:t>
      </w:r>
    </w:p>
    <w:p w14:paraId="7B66EBB0" w14:textId="77777777" w:rsidR="0040300B" w:rsidRDefault="00BB2D44">
      <w:pPr>
        <w:jc w:val="center"/>
      </w:pPr>
      <w:r>
        <w:rPr>
          <w:rFonts w:ascii="Times New Roman" w:eastAsia="宋体" w:hAnsi="Times New Roman"/>
          <w:b/>
          <w:bCs/>
          <w:color w:val="000000"/>
          <w:sz w:val="18"/>
          <w:szCs w:val="18"/>
        </w:rPr>
        <w:t xml:space="preserve">(Unaudited) </w:t>
      </w:r>
    </w:p>
    <w:p w14:paraId="7B66EBB1" w14:textId="77777777" w:rsidR="0040300B" w:rsidRDefault="0040300B">
      <w:pPr>
        <w:jc w:val="center"/>
      </w:pPr>
    </w:p>
    <w:p w14:paraId="7B66EBB2" w14:textId="77777777" w:rsidR="0040300B" w:rsidRDefault="00BB2D44">
      <w:pPr>
        <w:ind w:hanging="360"/>
      </w:pPr>
      <w:r>
        <w:rPr>
          <w:rFonts w:ascii="Times New Roman" w:eastAsia="宋体" w:hAnsi="Times New Roman"/>
          <w:b/>
          <w:bCs/>
          <w:color w:val="000000"/>
          <w:sz w:val="20"/>
          <w:szCs w:val="20"/>
        </w:rPr>
        <w:t xml:space="preserve">7.Balance Sheet and Other Details </w:t>
      </w:r>
    </w:p>
    <w:p w14:paraId="7B66EBB3" w14:textId="77777777" w:rsidR="0040300B" w:rsidRDefault="00BB2D44">
      <w:pPr>
        <w:spacing w:before="120"/>
      </w:pPr>
      <w:r>
        <w:rPr>
          <w:rFonts w:ascii="Times New Roman" w:eastAsia="宋体" w:hAnsi="Times New Roman"/>
          <w:color w:val="000000"/>
          <w:sz w:val="20"/>
          <w:szCs w:val="20"/>
        </w:rPr>
        <w:t>The following tables provide details of selected balance sheet and other items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40300B" w14:paraId="7B66EBC3" w14:textId="77777777">
        <w:trPr>
          <w:jc w:val="center"/>
        </w:trPr>
        <w:tc>
          <w:tcPr>
            <w:tcW w:w="50" w:type="pct"/>
            <w:shd w:val="clear" w:color="auto" w:fill="auto"/>
          </w:tcPr>
          <w:p w14:paraId="7B66EBB4" w14:textId="77777777" w:rsidR="0040300B" w:rsidRDefault="0040300B">
            <w:pPr>
              <w:rPr>
                <w:rFonts w:ascii="宋体"/>
              </w:rPr>
            </w:pPr>
          </w:p>
        </w:tc>
        <w:tc>
          <w:tcPr>
            <w:tcW w:w="3405" w:type="pct"/>
            <w:shd w:val="clear" w:color="auto" w:fill="auto"/>
          </w:tcPr>
          <w:p w14:paraId="7B66EBB5" w14:textId="77777777" w:rsidR="0040300B" w:rsidRDefault="0040300B">
            <w:pPr>
              <w:rPr>
                <w:rFonts w:ascii="宋体"/>
              </w:rPr>
            </w:pPr>
          </w:p>
        </w:tc>
        <w:tc>
          <w:tcPr>
            <w:tcW w:w="5" w:type="pct"/>
            <w:shd w:val="clear" w:color="auto" w:fill="auto"/>
          </w:tcPr>
          <w:p w14:paraId="7B66EBB6" w14:textId="77777777" w:rsidR="0040300B" w:rsidRDefault="0040300B">
            <w:pPr>
              <w:rPr>
                <w:rFonts w:ascii="宋体"/>
              </w:rPr>
            </w:pPr>
          </w:p>
        </w:tc>
        <w:tc>
          <w:tcPr>
            <w:tcW w:w="5" w:type="pct"/>
            <w:shd w:val="clear" w:color="auto" w:fill="auto"/>
          </w:tcPr>
          <w:p w14:paraId="7B66EBB7" w14:textId="77777777" w:rsidR="0040300B" w:rsidRDefault="0040300B">
            <w:pPr>
              <w:rPr>
                <w:rFonts w:ascii="宋体"/>
              </w:rPr>
            </w:pPr>
          </w:p>
        </w:tc>
        <w:tc>
          <w:tcPr>
            <w:tcW w:w="26" w:type="pct"/>
            <w:shd w:val="clear" w:color="auto" w:fill="auto"/>
          </w:tcPr>
          <w:p w14:paraId="7B66EBB8" w14:textId="77777777" w:rsidR="0040300B" w:rsidRDefault="0040300B">
            <w:pPr>
              <w:rPr>
                <w:rFonts w:ascii="宋体"/>
              </w:rPr>
            </w:pPr>
          </w:p>
        </w:tc>
        <w:tc>
          <w:tcPr>
            <w:tcW w:w="5" w:type="pct"/>
            <w:shd w:val="clear" w:color="auto" w:fill="auto"/>
          </w:tcPr>
          <w:p w14:paraId="7B66EBB9" w14:textId="77777777" w:rsidR="0040300B" w:rsidRDefault="0040300B">
            <w:pPr>
              <w:rPr>
                <w:rFonts w:ascii="宋体"/>
              </w:rPr>
            </w:pPr>
          </w:p>
        </w:tc>
        <w:tc>
          <w:tcPr>
            <w:tcW w:w="50" w:type="pct"/>
            <w:shd w:val="clear" w:color="auto" w:fill="auto"/>
          </w:tcPr>
          <w:p w14:paraId="7B66EBBA" w14:textId="77777777" w:rsidR="0040300B" w:rsidRDefault="0040300B">
            <w:pPr>
              <w:rPr>
                <w:rFonts w:ascii="宋体"/>
              </w:rPr>
            </w:pPr>
          </w:p>
        </w:tc>
        <w:tc>
          <w:tcPr>
            <w:tcW w:w="678" w:type="pct"/>
            <w:shd w:val="clear" w:color="auto" w:fill="auto"/>
          </w:tcPr>
          <w:p w14:paraId="7B66EBBB" w14:textId="77777777" w:rsidR="0040300B" w:rsidRDefault="0040300B">
            <w:pPr>
              <w:rPr>
                <w:rFonts w:ascii="宋体"/>
              </w:rPr>
            </w:pPr>
          </w:p>
        </w:tc>
        <w:tc>
          <w:tcPr>
            <w:tcW w:w="5" w:type="pct"/>
            <w:shd w:val="clear" w:color="auto" w:fill="auto"/>
          </w:tcPr>
          <w:p w14:paraId="7B66EBBC" w14:textId="77777777" w:rsidR="0040300B" w:rsidRDefault="0040300B">
            <w:pPr>
              <w:rPr>
                <w:rFonts w:ascii="宋体"/>
              </w:rPr>
            </w:pPr>
          </w:p>
        </w:tc>
        <w:tc>
          <w:tcPr>
            <w:tcW w:w="5" w:type="pct"/>
            <w:shd w:val="clear" w:color="auto" w:fill="auto"/>
          </w:tcPr>
          <w:p w14:paraId="7B66EBBD" w14:textId="77777777" w:rsidR="0040300B" w:rsidRDefault="0040300B">
            <w:pPr>
              <w:rPr>
                <w:rFonts w:ascii="宋体"/>
              </w:rPr>
            </w:pPr>
          </w:p>
        </w:tc>
        <w:tc>
          <w:tcPr>
            <w:tcW w:w="26" w:type="pct"/>
            <w:shd w:val="clear" w:color="auto" w:fill="auto"/>
          </w:tcPr>
          <w:p w14:paraId="7B66EBBE" w14:textId="77777777" w:rsidR="0040300B" w:rsidRDefault="0040300B">
            <w:pPr>
              <w:rPr>
                <w:rFonts w:ascii="宋体"/>
              </w:rPr>
            </w:pPr>
          </w:p>
        </w:tc>
        <w:tc>
          <w:tcPr>
            <w:tcW w:w="5" w:type="pct"/>
            <w:shd w:val="clear" w:color="auto" w:fill="auto"/>
          </w:tcPr>
          <w:p w14:paraId="7B66EBBF" w14:textId="77777777" w:rsidR="0040300B" w:rsidRDefault="0040300B">
            <w:pPr>
              <w:rPr>
                <w:rFonts w:ascii="宋体"/>
              </w:rPr>
            </w:pPr>
          </w:p>
        </w:tc>
        <w:tc>
          <w:tcPr>
            <w:tcW w:w="50" w:type="pct"/>
            <w:shd w:val="clear" w:color="auto" w:fill="auto"/>
          </w:tcPr>
          <w:p w14:paraId="7B66EBC0" w14:textId="77777777" w:rsidR="0040300B" w:rsidRDefault="0040300B">
            <w:pPr>
              <w:rPr>
                <w:rFonts w:ascii="宋体"/>
              </w:rPr>
            </w:pPr>
          </w:p>
        </w:tc>
        <w:tc>
          <w:tcPr>
            <w:tcW w:w="678" w:type="pct"/>
            <w:shd w:val="clear" w:color="auto" w:fill="auto"/>
          </w:tcPr>
          <w:p w14:paraId="7B66EBC1" w14:textId="77777777" w:rsidR="0040300B" w:rsidRDefault="0040300B">
            <w:pPr>
              <w:rPr>
                <w:rFonts w:ascii="宋体"/>
              </w:rPr>
            </w:pPr>
          </w:p>
        </w:tc>
        <w:tc>
          <w:tcPr>
            <w:tcW w:w="5" w:type="pct"/>
            <w:shd w:val="clear" w:color="auto" w:fill="auto"/>
          </w:tcPr>
          <w:p w14:paraId="7B66EBC2" w14:textId="77777777" w:rsidR="0040300B" w:rsidRDefault="0040300B">
            <w:pPr>
              <w:rPr>
                <w:rFonts w:ascii="宋体"/>
              </w:rPr>
            </w:pPr>
          </w:p>
        </w:tc>
      </w:tr>
      <w:tr w:rsidR="0040300B" w14:paraId="7B66EBC9" w14:textId="77777777">
        <w:trPr>
          <w:jc w:val="center"/>
        </w:trPr>
        <w:tc>
          <w:tcPr>
            <w:tcW w:w="0" w:type="auto"/>
            <w:gridSpan w:val="3"/>
            <w:shd w:val="clear" w:color="auto" w:fill="auto"/>
            <w:tcMar>
              <w:top w:w="0" w:type="dxa"/>
              <w:left w:w="20" w:type="dxa"/>
              <w:bottom w:w="0" w:type="dxa"/>
              <w:right w:w="20" w:type="dxa"/>
            </w:tcMar>
          </w:tcPr>
          <w:p w14:paraId="7B66EBC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BC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BC6"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6EBC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BC8"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6EBD3" w14:textId="77777777">
        <w:trPr>
          <w:jc w:val="center"/>
        </w:trPr>
        <w:tc>
          <w:tcPr>
            <w:tcW w:w="0" w:type="auto"/>
            <w:gridSpan w:val="3"/>
            <w:shd w:val="clear" w:color="auto" w:fill="CCEEFF"/>
            <w:tcMar>
              <w:top w:w="40" w:type="dxa"/>
              <w:left w:w="20" w:type="dxa"/>
              <w:bottom w:w="40" w:type="dxa"/>
              <w:right w:w="20" w:type="dxa"/>
            </w:tcMar>
          </w:tcPr>
          <w:p w14:paraId="7B66EBCA" w14:textId="77777777" w:rsidR="0040300B" w:rsidRDefault="00BB2D44">
            <w:pPr>
              <w:textAlignment w:val="top"/>
            </w:pPr>
            <w:r>
              <w:rPr>
                <w:rFonts w:ascii="Times New Roman" w:eastAsia="宋体" w:hAnsi="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tcPr>
          <w:p w14:paraId="7B66EBC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C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CD" w14:textId="77777777" w:rsidR="0040300B" w:rsidRDefault="00BB2D44">
            <w:pPr>
              <w:jc w:val="right"/>
              <w:textAlignment w:val="bottom"/>
            </w:pPr>
            <w:r>
              <w:rPr>
                <w:rFonts w:ascii="Times New Roman" w:eastAsia="宋体" w:hAnsi="Times New Roman"/>
                <w:color w:val="000000"/>
                <w:sz w:val="20"/>
                <w:szCs w:val="20"/>
              </w:rPr>
              <w:t>7,350 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C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C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BD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BD1" w14:textId="77777777" w:rsidR="0040300B" w:rsidRDefault="00BB2D44">
            <w:pPr>
              <w:jc w:val="right"/>
              <w:textAlignment w:val="bottom"/>
            </w:pPr>
            <w:r>
              <w:rPr>
                <w:rFonts w:ascii="Times New Roman" w:eastAsia="宋体" w:hAnsi="Times New Roman"/>
                <w:color w:val="000000"/>
                <w:sz w:val="20"/>
                <w:szCs w:val="20"/>
              </w:rPr>
              <w:t>11,809 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BD2" w14:textId="77777777" w:rsidR="0040300B" w:rsidRDefault="0040300B">
            <w:pPr>
              <w:jc w:val="right"/>
              <w:rPr>
                <w:rFonts w:ascii="宋体"/>
              </w:rPr>
            </w:pPr>
          </w:p>
        </w:tc>
      </w:tr>
      <w:tr w:rsidR="0040300B" w14:paraId="7B66EBDB" w14:textId="77777777">
        <w:trPr>
          <w:jc w:val="center"/>
        </w:trPr>
        <w:tc>
          <w:tcPr>
            <w:tcW w:w="0" w:type="auto"/>
            <w:gridSpan w:val="3"/>
            <w:shd w:val="clear" w:color="auto" w:fill="auto"/>
            <w:tcMar>
              <w:top w:w="40" w:type="dxa"/>
              <w:left w:w="20" w:type="dxa"/>
              <w:bottom w:w="40" w:type="dxa"/>
              <w:right w:w="20" w:type="dxa"/>
            </w:tcMar>
          </w:tcPr>
          <w:p w14:paraId="7B66EBD4" w14:textId="77777777" w:rsidR="0040300B" w:rsidRDefault="00BB2D44">
            <w:pPr>
              <w:textAlignment w:val="top"/>
            </w:pPr>
            <w:r>
              <w:rPr>
                <w:rFonts w:ascii="Times New Roman" w:eastAsia="宋体" w:hAnsi="Times New Roman"/>
                <w:color w:val="000000"/>
                <w:sz w:val="20"/>
                <w:szCs w:val="20"/>
              </w:rPr>
              <w:t>Restricted cash included in other current assets</w:t>
            </w:r>
          </w:p>
        </w:tc>
        <w:tc>
          <w:tcPr>
            <w:tcW w:w="0" w:type="auto"/>
            <w:gridSpan w:val="3"/>
            <w:shd w:val="clear" w:color="auto" w:fill="auto"/>
            <w:tcMar>
              <w:top w:w="0" w:type="dxa"/>
              <w:left w:w="20" w:type="dxa"/>
              <w:bottom w:w="0" w:type="dxa"/>
              <w:right w:w="20" w:type="dxa"/>
            </w:tcMar>
          </w:tcPr>
          <w:p w14:paraId="7B66EBD5"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BD6"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7B66EBD7"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BD8"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BD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B66EBDA" w14:textId="77777777" w:rsidR="0040300B" w:rsidRDefault="0040300B">
            <w:pPr>
              <w:jc w:val="right"/>
              <w:rPr>
                <w:rFonts w:ascii="宋体"/>
              </w:rPr>
            </w:pPr>
          </w:p>
        </w:tc>
      </w:tr>
      <w:tr w:rsidR="0040300B" w14:paraId="7B66EBE3" w14:textId="77777777">
        <w:trPr>
          <w:jc w:val="center"/>
        </w:trPr>
        <w:tc>
          <w:tcPr>
            <w:tcW w:w="0" w:type="auto"/>
            <w:gridSpan w:val="3"/>
            <w:shd w:val="clear" w:color="auto" w:fill="CCEEFF"/>
            <w:tcMar>
              <w:top w:w="40" w:type="dxa"/>
              <w:left w:w="20" w:type="dxa"/>
              <w:bottom w:w="40" w:type="dxa"/>
              <w:right w:w="20" w:type="dxa"/>
            </w:tcMar>
          </w:tcPr>
          <w:p w14:paraId="7B66EBDC" w14:textId="77777777" w:rsidR="0040300B" w:rsidRDefault="00BB2D44">
            <w:pPr>
              <w:textAlignment w:val="top"/>
            </w:pPr>
            <w:r>
              <w:rPr>
                <w:rFonts w:ascii="Times New Roman" w:eastAsia="宋体" w:hAnsi="Times New Roman"/>
                <w:color w:val="000000"/>
                <w:sz w:val="20"/>
                <w:szCs w:val="20"/>
              </w:rPr>
              <w:t>Restricted cash included in other assets</w:t>
            </w:r>
          </w:p>
        </w:tc>
        <w:tc>
          <w:tcPr>
            <w:tcW w:w="0" w:type="auto"/>
            <w:gridSpan w:val="3"/>
            <w:shd w:val="clear" w:color="auto" w:fill="CCEEFF"/>
            <w:tcMar>
              <w:top w:w="0" w:type="dxa"/>
              <w:left w:w="20" w:type="dxa"/>
              <w:bottom w:w="0" w:type="dxa"/>
              <w:right w:w="20" w:type="dxa"/>
            </w:tcMar>
          </w:tcPr>
          <w:p w14:paraId="7B66EBD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DE"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EB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BE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BE1"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EBE2" w14:textId="77777777" w:rsidR="0040300B" w:rsidRDefault="0040300B">
            <w:pPr>
              <w:jc w:val="right"/>
              <w:rPr>
                <w:rFonts w:ascii="宋体"/>
              </w:rPr>
            </w:pPr>
          </w:p>
        </w:tc>
      </w:tr>
      <w:tr w:rsidR="0040300B" w14:paraId="7B66EBED" w14:textId="77777777">
        <w:trPr>
          <w:jc w:val="center"/>
        </w:trPr>
        <w:tc>
          <w:tcPr>
            <w:tcW w:w="0" w:type="auto"/>
            <w:gridSpan w:val="3"/>
            <w:shd w:val="clear" w:color="auto" w:fill="auto"/>
            <w:tcMar>
              <w:top w:w="40" w:type="dxa"/>
              <w:left w:w="1235" w:type="dxa"/>
              <w:bottom w:w="40" w:type="dxa"/>
              <w:right w:w="20" w:type="dxa"/>
            </w:tcMar>
          </w:tcPr>
          <w:p w14:paraId="7B66EBE4" w14:textId="77777777" w:rsidR="0040300B" w:rsidRDefault="00BB2D44">
            <w:pPr>
              <w:textAlignment w:val="top"/>
            </w:pPr>
            <w:r>
              <w:rPr>
                <w:rFonts w:ascii="Times New Roman" w:eastAsia="宋体" w:hAnsi="Times New Roman"/>
                <w:color w:val="000000"/>
                <w:sz w:val="20"/>
                <w:szCs w:val="20"/>
              </w:rPr>
              <w:t>Total cash, cash equivalents, and restricted cash</w:t>
            </w:r>
          </w:p>
        </w:tc>
        <w:tc>
          <w:tcPr>
            <w:tcW w:w="0" w:type="auto"/>
            <w:gridSpan w:val="3"/>
            <w:shd w:val="clear" w:color="auto" w:fill="auto"/>
            <w:tcMar>
              <w:top w:w="0" w:type="dxa"/>
              <w:left w:w="20" w:type="dxa"/>
              <w:bottom w:w="0" w:type="dxa"/>
              <w:right w:w="20" w:type="dxa"/>
            </w:tcMar>
          </w:tcPr>
          <w:p w14:paraId="7B66EBE5"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EBE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EBE7" w14:textId="77777777" w:rsidR="0040300B" w:rsidRDefault="00BB2D44">
            <w:pPr>
              <w:jc w:val="right"/>
              <w:textAlignment w:val="bottom"/>
            </w:pPr>
            <w:r>
              <w:rPr>
                <w:rFonts w:ascii="Times New Roman" w:eastAsia="宋体" w:hAnsi="Times New Roman"/>
                <w:color w:val="000000"/>
                <w:sz w:val="20"/>
                <w:szCs w:val="20"/>
              </w:rPr>
              <w:t>7,359 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EBE8"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BE9"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EBE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EBEB" w14:textId="77777777" w:rsidR="0040300B" w:rsidRDefault="00BB2D44">
            <w:pPr>
              <w:jc w:val="right"/>
              <w:textAlignment w:val="bottom"/>
            </w:pPr>
            <w:r>
              <w:rPr>
                <w:rFonts w:ascii="Times New Roman" w:eastAsia="宋体" w:hAnsi="Times New Roman"/>
                <w:color w:val="000000"/>
                <w:sz w:val="20"/>
                <w:szCs w:val="20"/>
              </w:rPr>
              <w:t>11,812 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EBEC" w14:textId="77777777" w:rsidR="0040300B" w:rsidRDefault="0040300B">
            <w:pPr>
              <w:jc w:val="right"/>
              <w:rPr>
                <w:rFonts w:ascii="宋体"/>
              </w:rPr>
            </w:pPr>
          </w:p>
        </w:tc>
      </w:tr>
    </w:tbl>
    <w:p w14:paraId="7B66EBEE" w14:textId="77777777" w:rsidR="0040300B" w:rsidRDefault="0040300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4"/>
        <w:gridCol w:w="38"/>
        <w:gridCol w:w="36"/>
        <w:gridCol w:w="36"/>
        <w:gridCol w:w="36"/>
        <w:gridCol w:w="120"/>
        <w:gridCol w:w="1045"/>
        <w:gridCol w:w="36"/>
        <w:gridCol w:w="36"/>
        <w:gridCol w:w="36"/>
        <w:gridCol w:w="36"/>
        <w:gridCol w:w="120"/>
        <w:gridCol w:w="1046"/>
        <w:gridCol w:w="36"/>
      </w:tblGrid>
      <w:tr w:rsidR="0040300B" w14:paraId="7B66EBFE" w14:textId="77777777">
        <w:trPr>
          <w:jc w:val="center"/>
        </w:trPr>
        <w:tc>
          <w:tcPr>
            <w:tcW w:w="50" w:type="pct"/>
            <w:shd w:val="clear" w:color="auto" w:fill="auto"/>
          </w:tcPr>
          <w:p w14:paraId="7B66EBEF" w14:textId="77777777" w:rsidR="0040300B" w:rsidRDefault="0040300B">
            <w:pPr>
              <w:rPr>
                <w:rFonts w:ascii="宋体"/>
              </w:rPr>
            </w:pPr>
          </w:p>
        </w:tc>
        <w:tc>
          <w:tcPr>
            <w:tcW w:w="3405" w:type="pct"/>
            <w:shd w:val="clear" w:color="auto" w:fill="auto"/>
          </w:tcPr>
          <w:p w14:paraId="7B66EBF0" w14:textId="77777777" w:rsidR="0040300B" w:rsidRDefault="0040300B">
            <w:pPr>
              <w:rPr>
                <w:rFonts w:ascii="宋体"/>
              </w:rPr>
            </w:pPr>
          </w:p>
        </w:tc>
        <w:tc>
          <w:tcPr>
            <w:tcW w:w="5" w:type="pct"/>
            <w:shd w:val="clear" w:color="auto" w:fill="auto"/>
          </w:tcPr>
          <w:p w14:paraId="7B66EBF1" w14:textId="77777777" w:rsidR="0040300B" w:rsidRDefault="0040300B">
            <w:pPr>
              <w:rPr>
                <w:rFonts w:ascii="宋体"/>
              </w:rPr>
            </w:pPr>
          </w:p>
        </w:tc>
        <w:tc>
          <w:tcPr>
            <w:tcW w:w="5" w:type="pct"/>
            <w:shd w:val="clear" w:color="auto" w:fill="auto"/>
          </w:tcPr>
          <w:p w14:paraId="7B66EBF2" w14:textId="77777777" w:rsidR="0040300B" w:rsidRDefault="0040300B">
            <w:pPr>
              <w:rPr>
                <w:rFonts w:ascii="宋体"/>
              </w:rPr>
            </w:pPr>
          </w:p>
        </w:tc>
        <w:tc>
          <w:tcPr>
            <w:tcW w:w="26" w:type="pct"/>
            <w:shd w:val="clear" w:color="auto" w:fill="auto"/>
          </w:tcPr>
          <w:p w14:paraId="7B66EBF3" w14:textId="77777777" w:rsidR="0040300B" w:rsidRDefault="0040300B">
            <w:pPr>
              <w:rPr>
                <w:rFonts w:ascii="宋体"/>
              </w:rPr>
            </w:pPr>
          </w:p>
        </w:tc>
        <w:tc>
          <w:tcPr>
            <w:tcW w:w="5" w:type="pct"/>
            <w:shd w:val="clear" w:color="auto" w:fill="auto"/>
          </w:tcPr>
          <w:p w14:paraId="7B66EBF4" w14:textId="77777777" w:rsidR="0040300B" w:rsidRDefault="0040300B">
            <w:pPr>
              <w:rPr>
                <w:rFonts w:ascii="宋体"/>
              </w:rPr>
            </w:pPr>
          </w:p>
        </w:tc>
        <w:tc>
          <w:tcPr>
            <w:tcW w:w="50" w:type="pct"/>
            <w:shd w:val="clear" w:color="auto" w:fill="auto"/>
          </w:tcPr>
          <w:p w14:paraId="7B66EBF5" w14:textId="77777777" w:rsidR="0040300B" w:rsidRDefault="0040300B">
            <w:pPr>
              <w:rPr>
                <w:rFonts w:ascii="宋体"/>
              </w:rPr>
            </w:pPr>
          </w:p>
        </w:tc>
        <w:tc>
          <w:tcPr>
            <w:tcW w:w="678" w:type="pct"/>
            <w:shd w:val="clear" w:color="auto" w:fill="auto"/>
          </w:tcPr>
          <w:p w14:paraId="7B66EBF6" w14:textId="77777777" w:rsidR="0040300B" w:rsidRDefault="0040300B">
            <w:pPr>
              <w:rPr>
                <w:rFonts w:ascii="宋体"/>
              </w:rPr>
            </w:pPr>
          </w:p>
        </w:tc>
        <w:tc>
          <w:tcPr>
            <w:tcW w:w="5" w:type="pct"/>
            <w:shd w:val="clear" w:color="auto" w:fill="auto"/>
          </w:tcPr>
          <w:p w14:paraId="7B66EBF7" w14:textId="77777777" w:rsidR="0040300B" w:rsidRDefault="0040300B">
            <w:pPr>
              <w:rPr>
                <w:rFonts w:ascii="宋体"/>
              </w:rPr>
            </w:pPr>
          </w:p>
        </w:tc>
        <w:tc>
          <w:tcPr>
            <w:tcW w:w="5" w:type="pct"/>
            <w:shd w:val="clear" w:color="auto" w:fill="auto"/>
          </w:tcPr>
          <w:p w14:paraId="7B66EBF8" w14:textId="77777777" w:rsidR="0040300B" w:rsidRDefault="0040300B">
            <w:pPr>
              <w:rPr>
                <w:rFonts w:ascii="宋体"/>
              </w:rPr>
            </w:pPr>
          </w:p>
        </w:tc>
        <w:tc>
          <w:tcPr>
            <w:tcW w:w="26" w:type="pct"/>
            <w:shd w:val="clear" w:color="auto" w:fill="auto"/>
          </w:tcPr>
          <w:p w14:paraId="7B66EBF9" w14:textId="77777777" w:rsidR="0040300B" w:rsidRDefault="0040300B">
            <w:pPr>
              <w:rPr>
                <w:rFonts w:ascii="宋体"/>
              </w:rPr>
            </w:pPr>
          </w:p>
        </w:tc>
        <w:tc>
          <w:tcPr>
            <w:tcW w:w="5" w:type="pct"/>
            <w:shd w:val="clear" w:color="auto" w:fill="auto"/>
          </w:tcPr>
          <w:p w14:paraId="7B66EBFA" w14:textId="77777777" w:rsidR="0040300B" w:rsidRDefault="0040300B">
            <w:pPr>
              <w:rPr>
                <w:rFonts w:ascii="宋体"/>
              </w:rPr>
            </w:pPr>
          </w:p>
        </w:tc>
        <w:tc>
          <w:tcPr>
            <w:tcW w:w="50" w:type="pct"/>
            <w:shd w:val="clear" w:color="auto" w:fill="auto"/>
          </w:tcPr>
          <w:p w14:paraId="7B66EBFB" w14:textId="77777777" w:rsidR="0040300B" w:rsidRDefault="0040300B">
            <w:pPr>
              <w:rPr>
                <w:rFonts w:ascii="宋体"/>
              </w:rPr>
            </w:pPr>
          </w:p>
        </w:tc>
        <w:tc>
          <w:tcPr>
            <w:tcW w:w="678" w:type="pct"/>
            <w:shd w:val="clear" w:color="auto" w:fill="auto"/>
          </w:tcPr>
          <w:p w14:paraId="7B66EBFC" w14:textId="77777777" w:rsidR="0040300B" w:rsidRDefault="0040300B">
            <w:pPr>
              <w:rPr>
                <w:rFonts w:ascii="宋体"/>
              </w:rPr>
            </w:pPr>
          </w:p>
        </w:tc>
        <w:tc>
          <w:tcPr>
            <w:tcW w:w="5" w:type="pct"/>
            <w:shd w:val="clear" w:color="auto" w:fill="auto"/>
          </w:tcPr>
          <w:p w14:paraId="7B66EBFD" w14:textId="77777777" w:rsidR="0040300B" w:rsidRDefault="0040300B">
            <w:pPr>
              <w:rPr>
                <w:rFonts w:ascii="宋体"/>
              </w:rPr>
            </w:pPr>
          </w:p>
        </w:tc>
      </w:tr>
      <w:tr w:rsidR="0040300B" w14:paraId="7B66EC04" w14:textId="77777777">
        <w:trPr>
          <w:jc w:val="center"/>
        </w:trPr>
        <w:tc>
          <w:tcPr>
            <w:tcW w:w="0" w:type="auto"/>
            <w:gridSpan w:val="3"/>
            <w:shd w:val="clear" w:color="auto" w:fill="CCEEFF"/>
            <w:tcMar>
              <w:top w:w="40" w:type="dxa"/>
              <w:left w:w="20" w:type="dxa"/>
              <w:bottom w:w="40" w:type="dxa"/>
              <w:right w:w="20" w:type="dxa"/>
            </w:tcMar>
          </w:tcPr>
          <w:p w14:paraId="7B66EBFF" w14:textId="77777777" w:rsidR="0040300B" w:rsidRDefault="00BB2D44">
            <w:pPr>
              <w:textAlignment w:val="top"/>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tcPr>
          <w:p w14:paraId="7B66EC0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0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0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03" w14:textId="77777777" w:rsidR="0040300B" w:rsidRDefault="0040300B">
            <w:pPr>
              <w:rPr>
                <w:rFonts w:ascii="宋体"/>
              </w:rPr>
            </w:pPr>
          </w:p>
        </w:tc>
      </w:tr>
      <w:tr w:rsidR="0040300B" w14:paraId="7B66EC0E" w14:textId="77777777">
        <w:trPr>
          <w:jc w:val="center"/>
        </w:trPr>
        <w:tc>
          <w:tcPr>
            <w:tcW w:w="0" w:type="auto"/>
            <w:gridSpan w:val="3"/>
            <w:shd w:val="clear" w:color="auto" w:fill="FFFFFF"/>
            <w:tcMar>
              <w:top w:w="40" w:type="dxa"/>
              <w:left w:w="380" w:type="dxa"/>
              <w:bottom w:w="40" w:type="dxa"/>
              <w:right w:w="20" w:type="dxa"/>
            </w:tcMar>
          </w:tcPr>
          <w:p w14:paraId="7B66EC05" w14:textId="77777777" w:rsidR="0040300B" w:rsidRDefault="00BB2D44">
            <w:pPr>
              <w:textAlignment w:val="top"/>
            </w:pPr>
            <w:r>
              <w:rPr>
                <w:rFonts w:ascii="Times New Roman" w:eastAsia="宋体" w:hAnsi="Times New Roman"/>
                <w:color w:val="000000"/>
                <w:sz w:val="20"/>
                <w:szCs w:val="20"/>
              </w:rPr>
              <w:t>Raw materials</w:t>
            </w:r>
          </w:p>
        </w:tc>
        <w:tc>
          <w:tcPr>
            <w:tcW w:w="0" w:type="auto"/>
            <w:gridSpan w:val="3"/>
            <w:shd w:val="clear" w:color="auto" w:fill="FFFFFF"/>
            <w:tcMar>
              <w:top w:w="0" w:type="dxa"/>
              <w:left w:w="20" w:type="dxa"/>
              <w:bottom w:w="0" w:type="dxa"/>
              <w:right w:w="20" w:type="dxa"/>
            </w:tcMar>
          </w:tcPr>
          <w:p w14:paraId="7B66EC0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0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08" w14:textId="77777777" w:rsidR="0040300B" w:rsidRDefault="00BB2D44">
            <w:pPr>
              <w:jc w:val="right"/>
              <w:textAlignment w:val="bottom"/>
            </w:pPr>
            <w:r>
              <w:rPr>
                <w:rFonts w:ascii="Times New Roman" w:eastAsia="宋体" w:hAnsi="Times New Roman"/>
                <w:color w:val="000000"/>
                <w:sz w:val="20"/>
                <w:szCs w:val="20"/>
              </w:rPr>
              <w:t>723 </w:t>
            </w:r>
          </w:p>
        </w:tc>
        <w:tc>
          <w:tcPr>
            <w:tcW w:w="0" w:type="auto"/>
            <w:shd w:val="clear" w:color="auto" w:fill="FFFFFF"/>
            <w:tcMar>
              <w:top w:w="40" w:type="dxa"/>
              <w:left w:w="0" w:type="dxa"/>
              <w:bottom w:w="40" w:type="dxa"/>
              <w:right w:w="20" w:type="dxa"/>
            </w:tcMar>
            <w:vAlign w:val="bottom"/>
          </w:tcPr>
          <w:p w14:paraId="7B66EC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0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0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0C" w14:textId="77777777" w:rsidR="0040300B" w:rsidRDefault="00BB2D44">
            <w:pPr>
              <w:jc w:val="right"/>
              <w:textAlignment w:val="bottom"/>
            </w:pPr>
            <w:r>
              <w:rPr>
                <w:rFonts w:ascii="Times New Roman" w:eastAsia="宋体" w:hAnsi="Times New Roman"/>
                <w:color w:val="000000"/>
                <w:sz w:val="20"/>
                <w:szCs w:val="20"/>
              </w:rPr>
              <w:t>456 </w:t>
            </w:r>
          </w:p>
        </w:tc>
        <w:tc>
          <w:tcPr>
            <w:tcW w:w="0" w:type="auto"/>
            <w:shd w:val="clear" w:color="auto" w:fill="FFFFFF"/>
            <w:tcMar>
              <w:top w:w="40" w:type="dxa"/>
              <w:left w:w="0" w:type="dxa"/>
              <w:bottom w:w="40" w:type="dxa"/>
              <w:right w:w="20" w:type="dxa"/>
            </w:tcMar>
            <w:vAlign w:val="bottom"/>
          </w:tcPr>
          <w:p w14:paraId="7B66EC0D" w14:textId="77777777" w:rsidR="0040300B" w:rsidRDefault="0040300B">
            <w:pPr>
              <w:jc w:val="right"/>
              <w:rPr>
                <w:rFonts w:ascii="宋体"/>
              </w:rPr>
            </w:pPr>
          </w:p>
        </w:tc>
      </w:tr>
      <w:tr w:rsidR="0040300B" w14:paraId="7B66EC16" w14:textId="77777777">
        <w:trPr>
          <w:jc w:val="center"/>
        </w:trPr>
        <w:tc>
          <w:tcPr>
            <w:tcW w:w="0" w:type="auto"/>
            <w:gridSpan w:val="3"/>
            <w:shd w:val="clear" w:color="auto" w:fill="CCEEFF"/>
            <w:tcMar>
              <w:top w:w="40" w:type="dxa"/>
              <w:left w:w="380" w:type="dxa"/>
              <w:bottom w:w="40" w:type="dxa"/>
              <w:right w:w="20" w:type="dxa"/>
            </w:tcMar>
          </w:tcPr>
          <w:p w14:paraId="7B66EC0F" w14:textId="77777777" w:rsidR="0040300B" w:rsidRDefault="00BB2D44">
            <w:pPr>
              <w:textAlignment w:val="top"/>
            </w:pPr>
            <w:r>
              <w:rPr>
                <w:rFonts w:ascii="Times New Roman" w:eastAsia="宋体" w:hAnsi="Times New Roman"/>
                <w:color w:val="000000"/>
                <w:sz w:val="20"/>
                <w:szCs w:val="20"/>
              </w:rPr>
              <w:t>Work in process</w:t>
            </w:r>
          </w:p>
        </w:tc>
        <w:tc>
          <w:tcPr>
            <w:tcW w:w="0" w:type="auto"/>
            <w:gridSpan w:val="3"/>
            <w:shd w:val="clear" w:color="auto" w:fill="CCEEFF"/>
            <w:tcMar>
              <w:top w:w="0" w:type="dxa"/>
              <w:left w:w="20" w:type="dxa"/>
              <w:bottom w:w="0" w:type="dxa"/>
              <w:right w:w="20" w:type="dxa"/>
            </w:tcMar>
          </w:tcPr>
          <w:p w14:paraId="7B66EC1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11" w14:textId="77777777" w:rsidR="0040300B" w:rsidRDefault="00BB2D44">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7B66EC1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1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14" w14:textId="77777777" w:rsidR="0040300B" w:rsidRDefault="00BB2D44">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7B66EC15" w14:textId="77777777" w:rsidR="0040300B" w:rsidRDefault="0040300B">
            <w:pPr>
              <w:jc w:val="right"/>
              <w:rPr>
                <w:rFonts w:ascii="宋体"/>
              </w:rPr>
            </w:pPr>
          </w:p>
        </w:tc>
      </w:tr>
      <w:tr w:rsidR="0040300B" w14:paraId="7B66EC1C" w14:textId="77777777">
        <w:trPr>
          <w:jc w:val="center"/>
        </w:trPr>
        <w:tc>
          <w:tcPr>
            <w:tcW w:w="0" w:type="auto"/>
            <w:gridSpan w:val="3"/>
            <w:shd w:val="clear" w:color="auto" w:fill="FFFFFF"/>
            <w:tcMar>
              <w:top w:w="40" w:type="dxa"/>
              <w:left w:w="380" w:type="dxa"/>
              <w:bottom w:w="40" w:type="dxa"/>
              <w:right w:w="20" w:type="dxa"/>
            </w:tcMar>
          </w:tcPr>
          <w:p w14:paraId="7B66EC17" w14:textId="77777777" w:rsidR="0040300B" w:rsidRDefault="00BB2D44">
            <w:pPr>
              <w:textAlignment w:val="top"/>
            </w:pPr>
            <w:r>
              <w:rPr>
                <w:rFonts w:ascii="Times New Roman" w:eastAsia="宋体" w:hAnsi="Times New Roman"/>
                <w:color w:val="000000"/>
                <w:sz w:val="20"/>
                <w:szCs w:val="20"/>
              </w:rPr>
              <w:t>Finished goods:</w:t>
            </w:r>
          </w:p>
        </w:tc>
        <w:tc>
          <w:tcPr>
            <w:tcW w:w="0" w:type="auto"/>
            <w:gridSpan w:val="3"/>
            <w:shd w:val="clear" w:color="auto" w:fill="FFFFFF"/>
            <w:tcMar>
              <w:top w:w="0" w:type="dxa"/>
              <w:left w:w="20" w:type="dxa"/>
              <w:bottom w:w="0" w:type="dxa"/>
              <w:right w:w="20" w:type="dxa"/>
            </w:tcMar>
          </w:tcPr>
          <w:p w14:paraId="7B66EC1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1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1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1B" w14:textId="77777777" w:rsidR="0040300B" w:rsidRDefault="0040300B">
            <w:pPr>
              <w:rPr>
                <w:rFonts w:ascii="宋体"/>
              </w:rPr>
            </w:pPr>
          </w:p>
        </w:tc>
      </w:tr>
      <w:tr w:rsidR="0040300B" w14:paraId="7B66EC24" w14:textId="77777777">
        <w:trPr>
          <w:jc w:val="center"/>
        </w:trPr>
        <w:tc>
          <w:tcPr>
            <w:tcW w:w="0" w:type="auto"/>
            <w:gridSpan w:val="3"/>
            <w:shd w:val="clear" w:color="auto" w:fill="CCEEFF"/>
            <w:tcMar>
              <w:top w:w="40" w:type="dxa"/>
              <w:left w:w="740" w:type="dxa"/>
              <w:bottom w:w="40" w:type="dxa"/>
              <w:right w:w="20" w:type="dxa"/>
            </w:tcMar>
          </w:tcPr>
          <w:p w14:paraId="7B66EC1D" w14:textId="77777777" w:rsidR="0040300B" w:rsidRDefault="00BB2D44">
            <w:pPr>
              <w:textAlignment w:val="top"/>
            </w:pPr>
            <w:r>
              <w:rPr>
                <w:rFonts w:ascii="Times New Roman" w:eastAsia="宋体" w:hAnsi="Times New Roman"/>
                <w:color w:val="000000"/>
                <w:sz w:val="20"/>
                <w:szCs w:val="20"/>
              </w:rPr>
              <w:t>Deferred cost of sales</w:t>
            </w:r>
          </w:p>
        </w:tc>
        <w:tc>
          <w:tcPr>
            <w:tcW w:w="0" w:type="auto"/>
            <w:gridSpan w:val="3"/>
            <w:shd w:val="clear" w:color="auto" w:fill="CCEEFF"/>
            <w:tcMar>
              <w:top w:w="0" w:type="dxa"/>
              <w:left w:w="20" w:type="dxa"/>
              <w:bottom w:w="0" w:type="dxa"/>
              <w:right w:w="20" w:type="dxa"/>
            </w:tcMar>
          </w:tcPr>
          <w:p w14:paraId="7B66EC1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1F" w14:textId="77777777" w:rsidR="0040300B" w:rsidRDefault="00BB2D44">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7B66EC2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2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22" w14:textId="77777777" w:rsidR="0040300B" w:rsidRDefault="00BB2D44">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7B66EC23" w14:textId="77777777" w:rsidR="0040300B" w:rsidRDefault="0040300B">
            <w:pPr>
              <w:jc w:val="right"/>
              <w:rPr>
                <w:rFonts w:ascii="宋体"/>
              </w:rPr>
            </w:pPr>
          </w:p>
        </w:tc>
      </w:tr>
      <w:tr w:rsidR="0040300B" w14:paraId="7B66EC2C" w14:textId="77777777">
        <w:trPr>
          <w:jc w:val="center"/>
        </w:trPr>
        <w:tc>
          <w:tcPr>
            <w:tcW w:w="0" w:type="auto"/>
            <w:gridSpan w:val="3"/>
            <w:shd w:val="clear" w:color="auto" w:fill="FFFFFF"/>
            <w:tcMar>
              <w:top w:w="40" w:type="dxa"/>
              <w:left w:w="740" w:type="dxa"/>
              <w:bottom w:w="40" w:type="dxa"/>
              <w:right w:w="20" w:type="dxa"/>
            </w:tcMar>
          </w:tcPr>
          <w:p w14:paraId="7B66EC25" w14:textId="77777777" w:rsidR="0040300B" w:rsidRDefault="00BB2D44">
            <w:pPr>
              <w:textAlignment w:val="top"/>
            </w:pPr>
            <w:r>
              <w:rPr>
                <w:rFonts w:ascii="Times New Roman" w:eastAsia="宋体" w:hAnsi="Times New Roman"/>
                <w:color w:val="000000"/>
                <w:sz w:val="20"/>
                <w:szCs w:val="20"/>
              </w:rPr>
              <w:t>Manufactured finished goods</w:t>
            </w:r>
          </w:p>
        </w:tc>
        <w:tc>
          <w:tcPr>
            <w:tcW w:w="0" w:type="auto"/>
            <w:gridSpan w:val="3"/>
            <w:shd w:val="clear" w:color="auto" w:fill="FFFFFF"/>
            <w:tcMar>
              <w:top w:w="0" w:type="dxa"/>
              <w:left w:w="20" w:type="dxa"/>
              <w:bottom w:w="0" w:type="dxa"/>
              <w:right w:w="20" w:type="dxa"/>
            </w:tcMar>
          </w:tcPr>
          <w:p w14:paraId="7B66EC2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27" w14:textId="77777777" w:rsidR="0040300B" w:rsidRDefault="00BB2D44">
            <w:pPr>
              <w:jc w:val="right"/>
              <w:textAlignment w:val="bottom"/>
            </w:pPr>
            <w:r>
              <w:rPr>
                <w:rFonts w:ascii="Times New Roman" w:eastAsia="宋体" w:hAnsi="Times New Roman"/>
                <w:color w:val="000000"/>
                <w:sz w:val="20"/>
                <w:szCs w:val="20"/>
              </w:rPr>
              <w:t>546 </w:t>
            </w:r>
          </w:p>
        </w:tc>
        <w:tc>
          <w:tcPr>
            <w:tcW w:w="0" w:type="auto"/>
            <w:shd w:val="clear" w:color="auto" w:fill="FFFFFF"/>
            <w:tcMar>
              <w:top w:w="40" w:type="dxa"/>
              <w:left w:w="0" w:type="dxa"/>
              <w:bottom w:w="40" w:type="dxa"/>
              <w:right w:w="20" w:type="dxa"/>
            </w:tcMar>
            <w:vAlign w:val="bottom"/>
          </w:tcPr>
          <w:p w14:paraId="7B66EC2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2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2A" w14:textId="77777777" w:rsidR="0040300B" w:rsidRDefault="00BB2D44">
            <w:pPr>
              <w:jc w:val="right"/>
              <w:textAlignment w:val="bottom"/>
            </w:pPr>
            <w:r>
              <w:rPr>
                <w:rFonts w:ascii="Times New Roman" w:eastAsia="宋体" w:hAnsi="Times New Roman"/>
                <w:color w:val="000000"/>
                <w:sz w:val="20"/>
                <w:szCs w:val="20"/>
              </w:rPr>
              <w:t>542 </w:t>
            </w:r>
          </w:p>
        </w:tc>
        <w:tc>
          <w:tcPr>
            <w:tcW w:w="0" w:type="auto"/>
            <w:shd w:val="clear" w:color="auto" w:fill="FFFFFF"/>
            <w:tcMar>
              <w:top w:w="40" w:type="dxa"/>
              <w:left w:w="0" w:type="dxa"/>
              <w:bottom w:w="40" w:type="dxa"/>
              <w:right w:w="20" w:type="dxa"/>
            </w:tcMar>
            <w:vAlign w:val="bottom"/>
          </w:tcPr>
          <w:p w14:paraId="7B66EC2B" w14:textId="77777777" w:rsidR="0040300B" w:rsidRDefault="0040300B">
            <w:pPr>
              <w:jc w:val="right"/>
              <w:rPr>
                <w:rFonts w:ascii="宋体"/>
              </w:rPr>
            </w:pPr>
          </w:p>
        </w:tc>
      </w:tr>
      <w:tr w:rsidR="0040300B" w14:paraId="7B66EC34" w14:textId="77777777">
        <w:trPr>
          <w:jc w:val="center"/>
        </w:trPr>
        <w:tc>
          <w:tcPr>
            <w:tcW w:w="0" w:type="auto"/>
            <w:gridSpan w:val="3"/>
            <w:shd w:val="clear" w:color="auto" w:fill="CCEEFF"/>
            <w:tcMar>
              <w:top w:w="40" w:type="dxa"/>
              <w:left w:w="740" w:type="dxa"/>
              <w:bottom w:w="40" w:type="dxa"/>
              <w:right w:w="20" w:type="dxa"/>
            </w:tcMar>
          </w:tcPr>
          <w:p w14:paraId="7B66EC2D" w14:textId="77777777" w:rsidR="0040300B" w:rsidRDefault="00BB2D44">
            <w:pPr>
              <w:textAlignment w:val="top"/>
            </w:pPr>
            <w:r>
              <w:rPr>
                <w:rFonts w:ascii="Times New Roman" w:eastAsia="宋体" w:hAnsi="Times New Roman"/>
                <w:color w:val="000000"/>
                <w:sz w:val="20"/>
                <w:szCs w:val="20"/>
              </w:rPr>
              <w:t>Total finished goods</w:t>
            </w:r>
          </w:p>
        </w:tc>
        <w:tc>
          <w:tcPr>
            <w:tcW w:w="0" w:type="auto"/>
            <w:gridSpan w:val="3"/>
            <w:shd w:val="clear" w:color="auto" w:fill="CCEEFF"/>
            <w:tcMar>
              <w:top w:w="0" w:type="dxa"/>
              <w:left w:w="20" w:type="dxa"/>
              <w:bottom w:w="0" w:type="dxa"/>
              <w:right w:w="20" w:type="dxa"/>
            </w:tcMar>
          </w:tcPr>
          <w:p w14:paraId="7B66EC2E"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C2F" w14:textId="77777777" w:rsidR="0040300B" w:rsidRDefault="00BB2D44">
            <w:pPr>
              <w:jc w:val="right"/>
              <w:textAlignment w:val="bottom"/>
            </w:pPr>
            <w:r>
              <w:rPr>
                <w:rFonts w:ascii="Times New Roman" w:eastAsia="宋体" w:hAnsi="Times New Roman"/>
                <w:color w:val="000000"/>
                <w:sz w:val="20"/>
                <w:szCs w:val="20"/>
              </w:rPr>
              <w:t>619 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C3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3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C32" w14:textId="77777777" w:rsidR="0040300B" w:rsidRDefault="00BB2D44">
            <w:pPr>
              <w:jc w:val="right"/>
              <w:textAlignment w:val="bottom"/>
            </w:pPr>
            <w:r>
              <w:rPr>
                <w:rFonts w:ascii="Times New Roman" w:eastAsia="宋体" w:hAnsi="Times New Roman"/>
                <w:color w:val="000000"/>
                <w:sz w:val="20"/>
                <w:szCs w:val="20"/>
              </w:rPr>
              <w:t>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C33" w14:textId="77777777" w:rsidR="0040300B" w:rsidRDefault="0040300B">
            <w:pPr>
              <w:jc w:val="right"/>
              <w:rPr>
                <w:rFonts w:ascii="宋体"/>
              </w:rPr>
            </w:pPr>
          </w:p>
        </w:tc>
      </w:tr>
      <w:tr w:rsidR="0040300B" w14:paraId="7B66EC3C" w14:textId="77777777">
        <w:trPr>
          <w:jc w:val="center"/>
        </w:trPr>
        <w:tc>
          <w:tcPr>
            <w:tcW w:w="0" w:type="auto"/>
            <w:gridSpan w:val="3"/>
            <w:shd w:val="clear" w:color="auto" w:fill="FFFFFF"/>
            <w:tcMar>
              <w:top w:w="40" w:type="dxa"/>
              <w:left w:w="380" w:type="dxa"/>
              <w:bottom w:w="40" w:type="dxa"/>
              <w:right w:w="20" w:type="dxa"/>
            </w:tcMar>
          </w:tcPr>
          <w:p w14:paraId="7B66EC35" w14:textId="77777777" w:rsidR="0040300B" w:rsidRDefault="00BB2D44">
            <w:pPr>
              <w:textAlignment w:val="top"/>
            </w:pPr>
            <w:r>
              <w:rPr>
                <w:rFonts w:ascii="Times New Roman" w:eastAsia="宋体" w:hAnsi="Times New Roman"/>
                <w:color w:val="000000"/>
                <w:sz w:val="20"/>
                <w:szCs w:val="20"/>
              </w:rPr>
              <w:t>Service-related spares</w:t>
            </w:r>
          </w:p>
        </w:tc>
        <w:tc>
          <w:tcPr>
            <w:tcW w:w="0" w:type="auto"/>
            <w:gridSpan w:val="3"/>
            <w:shd w:val="clear" w:color="auto" w:fill="FFFFFF"/>
            <w:tcMar>
              <w:top w:w="0" w:type="dxa"/>
              <w:left w:w="20" w:type="dxa"/>
              <w:bottom w:w="0" w:type="dxa"/>
              <w:right w:w="20" w:type="dxa"/>
            </w:tcMar>
          </w:tcPr>
          <w:p w14:paraId="7B66EC36"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C37" w14:textId="77777777" w:rsidR="0040300B" w:rsidRDefault="00BB2D44">
            <w:pPr>
              <w:jc w:val="right"/>
              <w:textAlignment w:val="bottom"/>
            </w:pPr>
            <w:r>
              <w:rPr>
                <w:rFonts w:ascii="Times New Roman" w:eastAsia="宋体" w:hAnsi="Times New Roman"/>
                <w:color w:val="000000"/>
                <w:sz w:val="20"/>
                <w:szCs w:val="20"/>
              </w:rPr>
              <w:t>188 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3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39"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C3A" w14:textId="77777777" w:rsidR="0040300B" w:rsidRDefault="00BB2D44">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3B" w14:textId="77777777" w:rsidR="0040300B" w:rsidRDefault="0040300B">
            <w:pPr>
              <w:jc w:val="right"/>
              <w:rPr>
                <w:rFonts w:ascii="宋体"/>
              </w:rPr>
            </w:pPr>
          </w:p>
        </w:tc>
      </w:tr>
      <w:tr w:rsidR="0040300B" w14:paraId="7B66EC44" w14:textId="77777777">
        <w:trPr>
          <w:jc w:val="center"/>
        </w:trPr>
        <w:tc>
          <w:tcPr>
            <w:tcW w:w="0" w:type="auto"/>
            <w:gridSpan w:val="3"/>
            <w:shd w:val="clear" w:color="auto" w:fill="CCEEFF"/>
            <w:tcMar>
              <w:top w:w="40" w:type="dxa"/>
              <w:left w:w="380" w:type="dxa"/>
              <w:bottom w:w="40" w:type="dxa"/>
              <w:right w:w="20" w:type="dxa"/>
            </w:tcMar>
          </w:tcPr>
          <w:p w14:paraId="7B66EC3D" w14:textId="77777777" w:rsidR="0040300B" w:rsidRDefault="00BB2D44">
            <w:pPr>
              <w:textAlignment w:val="top"/>
            </w:pPr>
            <w:r>
              <w:rPr>
                <w:rFonts w:ascii="Times New Roman" w:eastAsia="宋体" w:hAnsi="Times New Roman"/>
                <w:color w:val="000000"/>
                <w:sz w:val="20"/>
                <w:szCs w:val="20"/>
              </w:rPr>
              <w:t>Demonstration systems</w:t>
            </w:r>
          </w:p>
        </w:tc>
        <w:tc>
          <w:tcPr>
            <w:tcW w:w="0" w:type="auto"/>
            <w:gridSpan w:val="3"/>
            <w:shd w:val="clear" w:color="auto" w:fill="CCEEFF"/>
            <w:tcMar>
              <w:top w:w="0" w:type="dxa"/>
              <w:left w:w="20" w:type="dxa"/>
              <w:bottom w:w="0" w:type="dxa"/>
              <w:right w:w="20" w:type="dxa"/>
            </w:tcMar>
          </w:tcPr>
          <w:p w14:paraId="7B66EC3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3F"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7B66EC4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4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42"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B66EC43" w14:textId="77777777" w:rsidR="0040300B" w:rsidRDefault="0040300B">
            <w:pPr>
              <w:jc w:val="right"/>
              <w:rPr>
                <w:rFonts w:ascii="宋体"/>
              </w:rPr>
            </w:pPr>
          </w:p>
        </w:tc>
      </w:tr>
      <w:tr w:rsidR="0040300B" w14:paraId="7B66EC4E" w14:textId="77777777">
        <w:trPr>
          <w:jc w:val="center"/>
        </w:trPr>
        <w:tc>
          <w:tcPr>
            <w:tcW w:w="0" w:type="auto"/>
            <w:gridSpan w:val="3"/>
            <w:shd w:val="clear" w:color="auto" w:fill="FFFFFF"/>
            <w:tcMar>
              <w:top w:w="40" w:type="dxa"/>
              <w:left w:w="1235" w:type="dxa"/>
              <w:bottom w:w="40" w:type="dxa"/>
              <w:right w:w="20" w:type="dxa"/>
            </w:tcMar>
          </w:tcPr>
          <w:p w14:paraId="7B66EC45"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EC4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C4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C48" w14:textId="77777777" w:rsidR="0040300B" w:rsidRDefault="00BB2D44">
            <w:pPr>
              <w:jc w:val="right"/>
              <w:textAlignment w:val="bottom"/>
            </w:pPr>
            <w:r>
              <w:rPr>
                <w:rFonts w:ascii="Times New Roman" w:eastAsia="宋体" w:hAnsi="Times New Roman"/>
                <w:color w:val="000000"/>
                <w:sz w:val="20"/>
                <w:szCs w:val="20"/>
              </w:rPr>
              <w:t>1,579 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C4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4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C4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C4C" w14:textId="77777777" w:rsidR="0040300B" w:rsidRDefault="00BB2D44">
            <w:pPr>
              <w:jc w:val="right"/>
              <w:textAlignment w:val="bottom"/>
            </w:pPr>
            <w:r>
              <w:rPr>
                <w:rFonts w:ascii="Times New Roman" w:eastAsia="宋体" w:hAnsi="Times New Roman"/>
                <w:color w:val="000000"/>
                <w:sz w:val="20"/>
                <w:szCs w:val="20"/>
              </w:rPr>
              <w:t>1,282 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C4D" w14:textId="77777777" w:rsidR="0040300B" w:rsidRDefault="0040300B">
            <w:pPr>
              <w:jc w:val="right"/>
              <w:rPr>
                <w:rFonts w:ascii="宋体"/>
              </w:rPr>
            </w:pPr>
          </w:p>
        </w:tc>
      </w:tr>
    </w:tbl>
    <w:p w14:paraId="7B66EC4F" w14:textId="77777777" w:rsidR="0040300B" w:rsidRDefault="00BB2D44">
      <w:pPr>
        <w:spacing w:before="100"/>
        <w:jc w:val="both"/>
      </w:pPr>
      <w:r>
        <w:rPr>
          <w:rFonts w:ascii="Times New Roman" w:eastAsia="宋体" w:hAnsi="Times New Roman"/>
          <w:color w:val="000000"/>
          <w:sz w:val="20"/>
          <w:szCs w:val="20"/>
        </w:rPr>
        <w:t>Our provis</w:t>
      </w:r>
      <w:r>
        <w:rPr>
          <w:rFonts w:ascii="Times New Roman" w:eastAsia="宋体" w:hAnsi="Times New Roman"/>
          <w:color w:val="000000"/>
          <w:sz w:val="20"/>
          <w:szCs w:val="20"/>
        </w:rPr>
        <w:t>ion for inventory was $91 million and $49 million for the first nine months of fiscal 2021 and 2020, respectively.</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40300B" w14:paraId="7B66EC5F" w14:textId="77777777">
        <w:trPr>
          <w:jc w:val="center"/>
        </w:trPr>
        <w:tc>
          <w:tcPr>
            <w:tcW w:w="50" w:type="pct"/>
            <w:shd w:val="clear" w:color="auto" w:fill="auto"/>
          </w:tcPr>
          <w:p w14:paraId="7B66EC50" w14:textId="77777777" w:rsidR="0040300B" w:rsidRDefault="0040300B">
            <w:pPr>
              <w:rPr>
                <w:rFonts w:ascii="宋体"/>
              </w:rPr>
            </w:pPr>
          </w:p>
        </w:tc>
        <w:tc>
          <w:tcPr>
            <w:tcW w:w="3405" w:type="pct"/>
            <w:shd w:val="clear" w:color="auto" w:fill="auto"/>
          </w:tcPr>
          <w:p w14:paraId="7B66EC51" w14:textId="77777777" w:rsidR="0040300B" w:rsidRDefault="0040300B">
            <w:pPr>
              <w:rPr>
                <w:rFonts w:ascii="宋体"/>
              </w:rPr>
            </w:pPr>
          </w:p>
        </w:tc>
        <w:tc>
          <w:tcPr>
            <w:tcW w:w="5" w:type="pct"/>
            <w:shd w:val="clear" w:color="auto" w:fill="auto"/>
          </w:tcPr>
          <w:p w14:paraId="7B66EC52" w14:textId="77777777" w:rsidR="0040300B" w:rsidRDefault="0040300B">
            <w:pPr>
              <w:rPr>
                <w:rFonts w:ascii="宋体"/>
              </w:rPr>
            </w:pPr>
          </w:p>
        </w:tc>
        <w:tc>
          <w:tcPr>
            <w:tcW w:w="5" w:type="pct"/>
            <w:shd w:val="clear" w:color="auto" w:fill="auto"/>
          </w:tcPr>
          <w:p w14:paraId="7B66EC53" w14:textId="77777777" w:rsidR="0040300B" w:rsidRDefault="0040300B">
            <w:pPr>
              <w:rPr>
                <w:rFonts w:ascii="宋体"/>
              </w:rPr>
            </w:pPr>
          </w:p>
        </w:tc>
        <w:tc>
          <w:tcPr>
            <w:tcW w:w="26" w:type="pct"/>
            <w:shd w:val="clear" w:color="auto" w:fill="auto"/>
          </w:tcPr>
          <w:p w14:paraId="7B66EC54" w14:textId="77777777" w:rsidR="0040300B" w:rsidRDefault="0040300B">
            <w:pPr>
              <w:rPr>
                <w:rFonts w:ascii="宋体"/>
              </w:rPr>
            </w:pPr>
          </w:p>
        </w:tc>
        <w:tc>
          <w:tcPr>
            <w:tcW w:w="5" w:type="pct"/>
            <w:shd w:val="clear" w:color="auto" w:fill="auto"/>
          </w:tcPr>
          <w:p w14:paraId="7B66EC55" w14:textId="77777777" w:rsidR="0040300B" w:rsidRDefault="0040300B">
            <w:pPr>
              <w:rPr>
                <w:rFonts w:ascii="宋体"/>
              </w:rPr>
            </w:pPr>
          </w:p>
        </w:tc>
        <w:tc>
          <w:tcPr>
            <w:tcW w:w="50" w:type="pct"/>
            <w:shd w:val="clear" w:color="auto" w:fill="auto"/>
          </w:tcPr>
          <w:p w14:paraId="7B66EC56" w14:textId="77777777" w:rsidR="0040300B" w:rsidRDefault="0040300B">
            <w:pPr>
              <w:rPr>
                <w:rFonts w:ascii="宋体"/>
              </w:rPr>
            </w:pPr>
          </w:p>
        </w:tc>
        <w:tc>
          <w:tcPr>
            <w:tcW w:w="678" w:type="pct"/>
            <w:shd w:val="clear" w:color="auto" w:fill="auto"/>
          </w:tcPr>
          <w:p w14:paraId="7B66EC57" w14:textId="77777777" w:rsidR="0040300B" w:rsidRDefault="0040300B">
            <w:pPr>
              <w:rPr>
                <w:rFonts w:ascii="宋体"/>
              </w:rPr>
            </w:pPr>
          </w:p>
        </w:tc>
        <w:tc>
          <w:tcPr>
            <w:tcW w:w="5" w:type="pct"/>
            <w:shd w:val="clear" w:color="auto" w:fill="auto"/>
          </w:tcPr>
          <w:p w14:paraId="7B66EC58" w14:textId="77777777" w:rsidR="0040300B" w:rsidRDefault="0040300B">
            <w:pPr>
              <w:rPr>
                <w:rFonts w:ascii="宋体"/>
              </w:rPr>
            </w:pPr>
          </w:p>
        </w:tc>
        <w:tc>
          <w:tcPr>
            <w:tcW w:w="5" w:type="pct"/>
            <w:shd w:val="clear" w:color="auto" w:fill="auto"/>
          </w:tcPr>
          <w:p w14:paraId="7B66EC59" w14:textId="77777777" w:rsidR="0040300B" w:rsidRDefault="0040300B">
            <w:pPr>
              <w:rPr>
                <w:rFonts w:ascii="宋体"/>
              </w:rPr>
            </w:pPr>
          </w:p>
        </w:tc>
        <w:tc>
          <w:tcPr>
            <w:tcW w:w="26" w:type="pct"/>
            <w:shd w:val="clear" w:color="auto" w:fill="auto"/>
          </w:tcPr>
          <w:p w14:paraId="7B66EC5A" w14:textId="77777777" w:rsidR="0040300B" w:rsidRDefault="0040300B">
            <w:pPr>
              <w:rPr>
                <w:rFonts w:ascii="宋体"/>
              </w:rPr>
            </w:pPr>
          </w:p>
        </w:tc>
        <w:tc>
          <w:tcPr>
            <w:tcW w:w="5" w:type="pct"/>
            <w:shd w:val="clear" w:color="auto" w:fill="auto"/>
          </w:tcPr>
          <w:p w14:paraId="7B66EC5B" w14:textId="77777777" w:rsidR="0040300B" w:rsidRDefault="0040300B">
            <w:pPr>
              <w:rPr>
                <w:rFonts w:ascii="宋体"/>
              </w:rPr>
            </w:pPr>
          </w:p>
        </w:tc>
        <w:tc>
          <w:tcPr>
            <w:tcW w:w="50" w:type="pct"/>
            <w:shd w:val="clear" w:color="auto" w:fill="auto"/>
          </w:tcPr>
          <w:p w14:paraId="7B66EC5C" w14:textId="77777777" w:rsidR="0040300B" w:rsidRDefault="0040300B">
            <w:pPr>
              <w:rPr>
                <w:rFonts w:ascii="宋体"/>
              </w:rPr>
            </w:pPr>
          </w:p>
        </w:tc>
        <w:tc>
          <w:tcPr>
            <w:tcW w:w="678" w:type="pct"/>
            <w:shd w:val="clear" w:color="auto" w:fill="auto"/>
          </w:tcPr>
          <w:p w14:paraId="7B66EC5D" w14:textId="77777777" w:rsidR="0040300B" w:rsidRDefault="0040300B">
            <w:pPr>
              <w:rPr>
                <w:rFonts w:ascii="宋体"/>
              </w:rPr>
            </w:pPr>
          </w:p>
        </w:tc>
        <w:tc>
          <w:tcPr>
            <w:tcW w:w="5" w:type="pct"/>
            <w:shd w:val="clear" w:color="auto" w:fill="auto"/>
          </w:tcPr>
          <w:p w14:paraId="7B66EC5E" w14:textId="77777777" w:rsidR="0040300B" w:rsidRDefault="0040300B">
            <w:pPr>
              <w:rPr>
                <w:rFonts w:ascii="宋体"/>
              </w:rPr>
            </w:pPr>
          </w:p>
        </w:tc>
      </w:tr>
      <w:tr w:rsidR="0040300B" w14:paraId="7B66EC65" w14:textId="77777777">
        <w:trPr>
          <w:jc w:val="center"/>
        </w:trPr>
        <w:tc>
          <w:tcPr>
            <w:tcW w:w="0" w:type="auto"/>
            <w:gridSpan w:val="3"/>
            <w:shd w:val="clear" w:color="auto" w:fill="CCEEFF"/>
            <w:tcMar>
              <w:top w:w="40" w:type="dxa"/>
              <w:left w:w="20" w:type="dxa"/>
              <w:bottom w:w="40" w:type="dxa"/>
              <w:right w:w="20" w:type="dxa"/>
            </w:tcMar>
          </w:tcPr>
          <w:p w14:paraId="7B66EC60" w14:textId="77777777" w:rsidR="0040300B" w:rsidRDefault="00BB2D44">
            <w:pPr>
              <w:textAlignment w:val="top"/>
            </w:pPr>
            <w:r>
              <w:rPr>
                <w:rFonts w:ascii="Times New Roman" w:eastAsia="宋体" w:hAnsi="Times New Roman"/>
                <w:color w:val="000000"/>
                <w:sz w:val="20"/>
                <w:szCs w:val="20"/>
              </w:rPr>
              <w:t>Property and equipment, net:</w:t>
            </w:r>
          </w:p>
        </w:tc>
        <w:tc>
          <w:tcPr>
            <w:tcW w:w="0" w:type="auto"/>
            <w:gridSpan w:val="3"/>
            <w:shd w:val="clear" w:color="auto" w:fill="CCEEFF"/>
            <w:tcMar>
              <w:top w:w="0" w:type="dxa"/>
              <w:left w:w="20" w:type="dxa"/>
              <w:bottom w:w="0" w:type="dxa"/>
              <w:right w:w="20" w:type="dxa"/>
            </w:tcMar>
          </w:tcPr>
          <w:p w14:paraId="7B66EC6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6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6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64" w14:textId="77777777" w:rsidR="0040300B" w:rsidRDefault="0040300B">
            <w:pPr>
              <w:rPr>
                <w:rFonts w:ascii="宋体"/>
              </w:rPr>
            </w:pPr>
          </w:p>
        </w:tc>
      </w:tr>
      <w:tr w:rsidR="0040300B" w14:paraId="7B66EC6B" w14:textId="77777777">
        <w:trPr>
          <w:jc w:val="center"/>
        </w:trPr>
        <w:tc>
          <w:tcPr>
            <w:tcW w:w="0" w:type="auto"/>
            <w:gridSpan w:val="3"/>
            <w:shd w:val="clear" w:color="auto" w:fill="FFFFFF"/>
            <w:tcMar>
              <w:top w:w="40" w:type="dxa"/>
              <w:left w:w="380" w:type="dxa"/>
              <w:bottom w:w="40" w:type="dxa"/>
              <w:right w:w="20" w:type="dxa"/>
            </w:tcMar>
          </w:tcPr>
          <w:p w14:paraId="7B66EC66" w14:textId="77777777" w:rsidR="0040300B" w:rsidRDefault="00BB2D44">
            <w:pPr>
              <w:textAlignment w:val="top"/>
            </w:pPr>
            <w:r>
              <w:rPr>
                <w:rFonts w:ascii="Times New Roman" w:eastAsia="宋体" w:hAnsi="Times New Roman"/>
                <w:color w:val="000000"/>
                <w:sz w:val="20"/>
                <w:szCs w:val="20"/>
              </w:rPr>
              <w:t>Gross property and equipment:</w:t>
            </w:r>
          </w:p>
        </w:tc>
        <w:tc>
          <w:tcPr>
            <w:tcW w:w="0" w:type="auto"/>
            <w:gridSpan w:val="3"/>
            <w:shd w:val="clear" w:color="auto" w:fill="FFFFFF"/>
            <w:tcMar>
              <w:top w:w="0" w:type="dxa"/>
              <w:left w:w="20" w:type="dxa"/>
              <w:bottom w:w="0" w:type="dxa"/>
              <w:right w:w="20" w:type="dxa"/>
            </w:tcMar>
          </w:tcPr>
          <w:p w14:paraId="7B66EC6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6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6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C6A" w14:textId="77777777" w:rsidR="0040300B" w:rsidRDefault="0040300B">
            <w:pPr>
              <w:rPr>
                <w:rFonts w:ascii="宋体"/>
              </w:rPr>
            </w:pPr>
          </w:p>
        </w:tc>
      </w:tr>
      <w:tr w:rsidR="0040300B" w14:paraId="7B66EC75" w14:textId="77777777">
        <w:trPr>
          <w:jc w:val="center"/>
        </w:trPr>
        <w:tc>
          <w:tcPr>
            <w:tcW w:w="0" w:type="auto"/>
            <w:gridSpan w:val="3"/>
            <w:shd w:val="clear" w:color="auto" w:fill="CCEEFF"/>
            <w:tcMar>
              <w:top w:w="40" w:type="dxa"/>
              <w:left w:w="740" w:type="dxa"/>
              <w:bottom w:w="40" w:type="dxa"/>
              <w:right w:w="20" w:type="dxa"/>
            </w:tcMar>
          </w:tcPr>
          <w:p w14:paraId="7B66EC6C" w14:textId="77777777" w:rsidR="0040300B" w:rsidRDefault="00BB2D44">
            <w:pPr>
              <w:textAlignment w:val="top"/>
            </w:pPr>
            <w:r>
              <w:rPr>
                <w:rFonts w:ascii="Times New Roman" w:eastAsia="宋体" w:hAnsi="Times New Roman"/>
                <w:color w:val="000000"/>
                <w:sz w:val="20"/>
                <w:szCs w:val="20"/>
              </w:rPr>
              <w:t xml:space="preserve">Land, buildings, and building and leasehold </w:t>
            </w:r>
            <w:r>
              <w:rPr>
                <w:rFonts w:ascii="Times New Roman" w:eastAsia="宋体" w:hAnsi="Times New Roman"/>
                <w:color w:val="000000"/>
                <w:sz w:val="20"/>
                <w:szCs w:val="20"/>
              </w:rPr>
              <w:t>improvements</w:t>
            </w:r>
          </w:p>
        </w:tc>
        <w:tc>
          <w:tcPr>
            <w:tcW w:w="0" w:type="auto"/>
            <w:gridSpan w:val="3"/>
            <w:shd w:val="clear" w:color="auto" w:fill="CCEEFF"/>
            <w:tcMar>
              <w:top w:w="0" w:type="dxa"/>
              <w:left w:w="20" w:type="dxa"/>
              <w:bottom w:w="0" w:type="dxa"/>
              <w:right w:w="20" w:type="dxa"/>
            </w:tcMar>
          </w:tcPr>
          <w:p w14:paraId="7B66EC6D"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C6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C6F" w14:textId="77777777" w:rsidR="0040300B" w:rsidRDefault="00BB2D44">
            <w:pPr>
              <w:jc w:val="right"/>
              <w:textAlignment w:val="bottom"/>
            </w:pPr>
            <w:r>
              <w:rPr>
                <w:rFonts w:ascii="Times New Roman" w:eastAsia="宋体" w:hAnsi="Times New Roman"/>
                <w:color w:val="000000"/>
                <w:sz w:val="20"/>
                <w:szCs w:val="20"/>
              </w:rPr>
              <w:t>4,309 </w:t>
            </w:r>
          </w:p>
        </w:tc>
        <w:tc>
          <w:tcPr>
            <w:tcW w:w="0" w:type="auto"/>
            <w:shd w:val="clear" w:color="auto" w:fill="CCEEFF"/>
            <w:tcMar>
              <w:top w:w="40" w:type="dxa"/>
              <w:left w:w="0" w:type="dxa"/>
              <w:bottom w:w="40" w:type="dxa"/>
              <w:right w:w="20" w:type="dxa"/>
            </w:tcMar>
            <w:vAlign w:val="bottom"/>
          </w:tcPr>
          <w:p w14:paraId="7B66EC7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71"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C7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C73" w14:textId="77777777" w:rsidR="0040300B" w:rsidRDefault="00BB2D44">
            <w:pPr>
              <w:jc w:val="right"/>
              <w:textAlignment w:val="bottom"/>
            </w:pPr>
            <w:r>
              <w:rPr>
                <w:rFonts w:ascii="Times New Roman" w:eastAsia="宋体" w:hAnsi="Times New Roman"/>
                <w:color w:val="000000"/>
                <w:sz w:val="20"/>
                <w:szCs w:val="20"/>
              </w:rPr>
              <w:t>4,252 </w:t>
            </w:r>
          </w:p>
        </w:tc>
        <w:tc>
          <w:tcPr>
            <w:tcW w:w="0" w:type="auto"/>
            <w:shd w:val="clear" w:color="auto" w:fill="CCEEFF"/>
            <w:tcMar>
              <w:top w:w="40" w:type="dxa"/>
              <w:left w:w="0" w:type="dxa"/>
              <w:bottom w:w="40" w:type="dxa"/>
              <w:right w:w="20" w:type="dxa"/>
            </w:tcMar>
            <w:vAlign w:val="bottom"/>
          </w:tcPr>
          <w:p w14:paraId="7B66EC74" w14:textId="77777777" w:rsidR="0040300B" w:rsidRDefault="0040300B">
            <w:pPr>
              <w:jc w:val="right"/>
              <w:rPr>
                <w:rFonts w:ascii="宋体"/>
              </w:rPr>
            </w:pPr>
          </w:p>
        </w:tc>
      </w:tr>
      <w:tr w:rsidR="0040300B" w14:paraId="7B66EC7D" w14:textId="77777777">
        <w:trPr>
          <w:jc w:val="center"/>
        </w:trPr>
        <w:tc>
          <w:tcPr>
            <w:tcW w:w="0" w:type="auto"/>
            <w:gridSpan w:val="3"/>
            <w:shd w:val="clear" w:color="auto" w:fill="FFFFFF"/>
            <w:tcMar>
              <w:top w:w="40" w:type="dxa"/>
              <w:left w:w="740" w:type="dxa"/>
              <w:bottom w:w="40" w:type="dxa"/>
              <w:right w:w="20" w:type="dxa"/>
            </w:tcMar>
          </w:tcPr>
          <w:p w14:paraId="7B66EC76" w14:textId="77777777" w:rsidR="0040300B" w:rsidRDefault="00BB2D44">
            <w:pPr>
              <w:textAlignment w:val="top"/>
            </w:pPr>
            <w:r>
              <w:rPr>
                <w:rFonts w:ascii="Times New Roman" w:eastAsia="宋体" w:hAnsi="Times New Roman"/>
                <w:color w:val="000000"/>
                <w:sz w:val="20"/>
                <w:szCs w:val="20"/>
              </w:rPr>
              <w:t>Computer equipment and related software</w:t>
            </w:r>
          </w:p>
        </w:tc>
        <w:tc>
          <w:tcPr>
            <w:tcW w:w="0" w:type="auto"/>
            <w:gridSpan w:val="3"/>
            <w:shd w:val="clear" w:color="auto" w:fill="FFFFFF"/>
            <w:tcMar>
              <w:top w:w="0" w:type="dxa"/>
              <w:left w:w="20" w:type="dxa"/>
              <w:bottom w:w="0" w:type="dxa"/>
              <w:right w:w="20" w:type="dxa"/>
            </w:tcMar>
          </w:tcPr>
          <w:p w14:paraId="7B66EC7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78" w14:textId="77777777" w:rsidR="0040300B" w:rsidRDefault="00BB2D44">
            <w:pPr>
              <w:jc w:val="right"/>
              <w:textAlignment w:val="bottom"/>
            </w:pPr>
            <w:r>
              <w:rPr>
                <w:rFonts w:ascii="Times New Roman" w:eastAsia="宋体" w:hAnsi="Times New Roman"/>
                <w:color w:val="000000"/>
                <w:sz w:val="20"/>
                <w:szCs w:val="20"/>
              </w:rPr>
              <w:t>867 </w:t>
            </w:r>
          </w:p>
        </w:tc>
        <w:tc>
          <w:tcPr>
            <w:tcW w:w="0" w:type="auto"/>
            <w:shd w:val="clear" w:color="auto" w:fill="FFFFFF"/>
            <w:tcMar>
              <w:top w:w="40" w:type="dxa"/>
              <w:left w:w="0" w:type="dxa"/>
              <w:bottom w:w="40" w:type="dxa"/>
              <w:right w:w="20" w:type="dxa"/>
            </w:tcMar>
            <w:vAlign w:val="bottom"/>
          </w:tcPr>
          <w:p w14:paraId="7B66EC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7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7B" w14:textId="77777777" w:rsidR="0040300B" w:rsidRDefault="00BB2D44">
            <w:pPr>
              <w:jc w:val="right"/>
              <w:textAlignment w:val="bottom"/>
            </w:pPr>
            <w:r>
              <w:rPr>
                <w:rFonts w:ascii="Times New Roman" w:eastAsia="宋体" w:hAnsi="Times New Roman"/>
                <w:color w:val="000000"/>
                <w:sz w:val="20"/>
                <w:szCs w:val="20"/>
              </w:rPr>
              <w:t>875 </w:t>
            </w:r>
          </w:p>
        </w:tc>
        <w:tc>
          <w:tcPr>
            <w:tcW w:w="0" w:type="auto"/>
            <w:shd w:val="clear" w:color="auto" w:fill="FFFFFF"/>
            <w:tcMar>
              <w:top w:w="40" w:type="dxa"/>
              <w:left w:w="0" w:type="dxa"/>
              <w:bottom w:w="40" w:type="dxa"/>
              <w:right w:w="20" w:type="dxa"/>
            </w:tcMar>
            <w:vAlign w:val="bottom"/>
          </w:tcPr>
          <w:p w14:paraId="7B66EC7C" w14:textId="77777777" w:rsidR="0040300B" w:rsidRDefault="0040300B">
            <w:pPr>
              <w:jc w:val="right"/>
              <w:rPr>
                <w:rFonts w:ascii="宋体"/>
              </w:rPr>
            </w:pPr>
          </w:p>
        </w:tc>
      </w:tr>
      <w:tr w:rsidR="0040300B" w14:paraId="7B66EC85" w14:textId="77777777">
        <w:trPr>
          <w:jc w:val="center"/>
        </w:trPr>
        <w:tc>
          <w:tcPr>
            <w:tcW w:w="0" w:type="auto"/>
            <w:gridSpan w:val="3"/>
            <w:shd w:val="clear" w:color="auto" w:fill="CCEEFF"/>
            <w:tcMar>
              <w:top w:w="40" w:type="dxa"/>
              <w:left w:w="740" w:type="dxa"/>
              <w:bottom w:w="40" w:type="dxa"/>
              <w:right w:w="20" w:type="dxa"/>
            </w:tcMar>
          </w:tcPr>
          <w:p w14:paraId="7B66EC7E" w14:textId="77777777" w:rsidR="0040300B" w:rsidRDefault="00BB2D44">
            <w:pPr>
              <w:textAlignment w:val="top"/>
            </w:pPr>
            <w:r>
              <w:rPr>
                <w:rFonts w:ascii="Times New Roman" w:eastAsia="宋体" w:hAnsi="Times New Roman"/>
                <w:color w:val="000000"/>
                <w:sz w:val="20"/>
                <w:szCs w:val="20"/>
              </w:rPr>
              <w:t>Production, engineering, and other equipment</w:t>
            </w:r>
          </w:p>
        </w:tc>
        <w:tc>
          <w:tcPr>
            <w:tcW w:w="0" w:type="auto"/>
            <w:gridSpan w:val="3"/>
            <w:shd w:val="clear" w:color="auto" w:fill="CCEEFF"/>
            <w:tcMar>
              <w:top w:w="0" w:type="dxa"/>
              <w:left w:w="20" w:type="dxa"/>
              <w:bottom w:w="0" w:type="dxa"/>
              <w:right w:w="20" w:type="dxa"/>
            </w:tcMar>
          </w:tcPr>
          <w:p w14:paraId="7B66EC7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80" w14:textId="77777777" w:rsidR="0040300B" w:rsidRDefault="00BB2D44">
            <w:pPr>
              <w:jc w:val="right"/>
              <w:textAlignment w:val="bottom"/>
            </w:pPr>
            <w:r>
              <w:rPr>
                <w:rFonts w:ascii="Times New Roman" w:eastAsia="宋体" w:hAnsi="Times New Roman"/>
                <w:color w:val="000000"/>
                <w:sz w:val="20"/>
                <w:szCs w:val="20"/>
              </w:rPr>
              <w:t>5,146 </w:t>
            </w:r>
          </w:p>
        </w:tc>
        <w:tc>
          <w:tcPr>
            <w:tcW w:w="0" w:type="auto"/>
            <w:shd w:val="clear" w:color="auto" w:fill="CCEEFF"/>
            <w:tcMar>
              <w:top w:w="40" w:type="dxa"/>
              <w:left w:w="0" w:type="dxa"/>
              <w:bottom w:w="40" w:type="dxa"/>
              <w:right w:w="20" w:type="dxa"/>
            </w:tcMar>
            <w:vAlign w:val="bottom"/>
          </w:tcPr>
          <w:p w14:paraId="7B66EC8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8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83" w14:textId="77777777" w:rsidR="0040300B" w:rsidRDefault="00BB2D44">
            <w:pPr>
              <w:jc w:val="right"/>
              <w:textAlignment w:val="bottom"/>
            </w:pPr>
            <w:r>
              <w:rPr>
                <w:rFonts w:ascii="Times New Roman" w:eastAsia="宋体" w:hAnsi="Times New Roman"/>
                <w:color w:val="000000"/>
                <w:sz w:val="20"/>
                <w:szCs w:val="20"/>
              </w:rPr>
              <w:t>5,163 </w:t>
            </w:r>
          </w:p>
        </w:tc>
        <w:tc>
          <w:tcPr>
            <w:tcW w:w="0" w:type="auto"/>
            <w:shd w:val="clear" w:color="auto" w:fill="CCEEFF"/>
            <w:tcMar>
              <w:top w:w="40" w:type="dxa"/>
              <w:left w:w="0" w:type="dxa"/>
              <w:bottom w:w="40" w:type="dxa"/>
              <w:right w:w="20" w:type="dxa"/>
            </w:tcMar>
            <w:vAlign w:val="bottom"/>
          </w:tcPr>
          <w:p w14:paraId="7B66EC84" w14:textId="77777777" w:rsidR="0040300B" w:rsidRDefault="0040300B">
            <w:pPr>
              <w:jc w:val="right"/>
              <w:rPr>
                <w:rFonts w:ascii="宋体"/>
              </w:rPr>
            </w:pPr>
          </w:p>
        </w:tc>
      </w:tr>
      <w:tr w:rsidR="0040300B" w14:paraId="7B66EC8D" w14:textId="77777777">
        <w:trPr>
          <w:jc w:val="center"/>
        </w:trPr>
        <w:tc>
          <w:tcPr>
            <w:tcW w:w="0" w:type="auto"/>
            <w:gridSpan w:val="3"/>
            <w:shd w:val="clear" w:color="auto" w:fill="FFFFFF"/>
            <w:tcMar>
              <w:top w:w="40" w:type="dxa"/>
              <w:left w:w="740" w:type="dxa"/>
              <w:bottom w:w="40" w:type="dxa"/>
              <w:right w:w="20" w:type="dxa"/>
            </w:tcMar>
            <w:vAlign w:val="center"/>
          </w:tcPr>
          <w:p w14:paraId="7B66EC86" w14:textId="77777777" w:rsidR="0040300B" w:rsidRDefault="00BB2D44">
            <w:pPr>
              <w:textAlignment w:val="center"/>
            </w:pPr>
            <w:r>
              <w:rPr>
                <w:rFonts w:ascii="Times New Roman" w:eastAsia="宋体" w:hAnsi="Times New Roman"/>
                <w:color w:val="000000"/>
                <w:sz w:val="20"/>
                <w:szCs w:val="20"/>
              </w:rPr>
              <w:t>Operating lease assets</w:t>
            </w:r>
          </w:p>
        </w:tc>
        <w:tc>
          <w:tcPr>
            <w:tcW w:w="0" w:type="auto"/>
            <w:gridSpan w:val="3"/>
            <w:shd w:val="clear" w:color="auto" w:fill="FFFFFF"/>
            <w:tcMar>
              <w:top w:w="0" w:type="dxa"/>
              <w:left w:w="20" w:type="dxa"/>
              <w:bottom w:w="0" w:type="dxa"/>
              <w:right w:w="20" w:type="dxa"/>
            </w:tcMar>
          </w:tcPr>
          <w:p w14:paraId="7B66EC8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88" w14:textId="77777777" w:rsidR="0040300B" w:rsidRDefault="00BB2D44">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bottom"/>
          </w:tcPr>
          <w:p w14:paraId="7B66EC8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8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C8B" w14:textId="77777777" w:rsidR="0040300B" w:rsidRDefault="00BB2D44">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left w:w="0" w:type="dxa"/>
              <w:bottom w:w="40" w:type="dxa"/>
              <w:right w:w="20" w:type="dxa"/>
            </w:tcMar>
            <w:vAlign w:val="bottom"/>
          </w:tcPr>
          <w:p w14:paraId="7B66EC8C" w14:textId="77777777" w:rsidR="0040300B" w:rsidRDefault="0040300B">
            <w:pPr>
              <w:jc w:val="right"/>
              <w:rPr>
                <w:rFonts w:ascii="宋体"/>
              </w:rPr>
            </w:pPr>
          </w:p>
        </w:tc>
      </w:tr>
      <w:tr w:rsidR="0040300B" w14:paraId="7B66EC95" w14:textId="77777777">
        <w:trPr>
          <w:jc w:val="center"/>
        </w:trPr>
        <w:tc>
          <w:tcPr>
            <w:tcW w:w="0" w:type="auto"/>
            <w:gridSpan w:val="3"/>
            <w:shd w:val="clear" w:color="auto" w:fill="CCEEFF"/>
            <w:tcMar>
              <w:top w:w="40" w:type="dxa"/>
              <w:left w:w="740" w:type="dxa"/>
              <w:bottom w:w="40" w:type="dxa"/>
              <w:right w:w="20" w:type="dxa"/>
            </w:tcMar>
          </w:tcPr>
          <w:p w14:paraId="7B66EC8E" w14:textId="77777777" w:rsidR="0040300B" w:rsidRDefault="00BB2D44">
            <w:pPr>
              <w:textAlignment w:val="top"/>
            </w:pPr>
            <w:r>
              <w:rPr>
                <w:rFonts w:ascii="Times New Roman" w:eastAsia="宋体" w:hAnsi="Times New Roman"/>
                <w:color w:val="000000"/>
                <w:sz w:val="20"/>
                <w:szCs w:val="20"/>
              </w:rPr>
              <w:t>Furniture, fixtures and other</w:t>
            </w:r>
          </w:p>
        </w:tc>
        <w:tc>
          <w:tcPr>
            <w:tcW w:w="0" w:type="auto"/>
            <w:gridSpan w:val="3"/>
            <w:shd w:val="clear" w:color="auto" w:fill="CCEEFF"/>
            <w:tcMar>
              <w:top w:w="0" w:type="dxa"/>
              <w:left w:w="20" w:type="dxa"/>
              <w:bottom w:w="0" w:type="dxa"/>
              <w:right w:w="20" w:type="dxa"/>
            </w:tcMar>
          </w:tcPr>
          <w:p w14:paraId="7B66EC8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90" w14:textId="77777777" w:rsidR="0040300B" w:rsidRDefault="00BB2D44">
            <w:pPr>
              <w:jc w:val="right"/>
              <w:textAlignment w:val="bottom"/>
            </w:pPr>
            <w:r>
              <w:rPr>
                <w:rFonts w:ascii="Times New Roman" w:eastAsia="宋体" w:hAnsi="Times New Roman"/>
                <w:color w:val="000000"/>
                <w:sz w:val="20"/>
                <w:szCs w:val="20"/>
              </w:rPr>
              <w:t>376 </w:t>
            </w:r>
          </w:p>
        </w:tc>
        <w:tc>
          <w:tcPr>
            <w:tcW w:w="0" w:type="auto"/>
            <w:shd w:val="clear" w:color="auto" w:fill="CCEEFF"/>
            <w:tcMar>
              <w:top w:w="40" w:type="dxa"/>
              <w:left w:w="0" w:type="dxa"/>
              <w:bottom w:w="40" w:type="dxa"/>
              <w:right w:w="20" w:type="dxa"/>
            </w:tcMar>
            <w:vAlign w:val="bottom"/>
          </w:tcPr>
          <w:p w14:paraId="7B66EC9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9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93" w14:textId="77777777" w:rsidR="0040300B" w:rsidRDefault="00BB2D44">
            <w:pPr>
              <w:jc w:val="right"/>
              <w:textAlignment w:val="bottom"/>
            </w:pPr>
            <w:r>
              <w:rPr>
                <w:rFonts w:ascii="Times New Roman" w:eastAsia="宋体" w:hAnsi="Times New Roman"/>
                <w:color w:val="000000"/>
                <w:sz w:val="20"/>
                <w:szCs w:val="20"/>
              </w:rPr>
              <w:t>387 </w:t>
            </w:r>
          </w:p>
        </w:tc>
        <w:tc>
          <w:tcPr>
            <w:tcW w:w="0" w:type="auto"/>
            <w:shd w:val="clear" w:color="auto" w:fill="CCEEFF"/>
            <w:tcMar>
              <w:top w:w="40" w:type="dxa"/>
              <w:left w:w="0" w:type="dxa"/>
              <w:bottom w:w="40" w:type="dxa"/>
              <w:right w:w="20" w:type="dxa"/>
            </w:tcMar>
            <w:vAlign w:val="bottom"/>
          </w:tcPr>
          <w:p w14:paraId="7B66EC94" w14:textId="77777777" w:rsidR="0040300B" w:rsidRDefault="0040300B">
            <w:pPr>
              <w:jc w:val="right"/>
              <w:rPr>
                <w:rFonts w:ascii="宋体"/>
              </w:rPr>
            </w:pPr>
          </w:p>
        </w:tc>
      </w:tr>
      <w:tr w:rsidR="0040300B" w14:paraId="7B66EC9D" w14:textId="77777777">
        <w:trPr>
          <w:jc w:val="center"/>
        </w:trPr>
        <w:tc>
          <w:tcPr>
            <w:tcW w:w="0" w:type="auto"/>
            <w:gridSpan w:val="3"/>
            <w:shd w:val="clear" w:color="auto" w:fill="FFFFFF"/>
            <w:tcMar>
              <w:top w:w="40" w:type="dxa"/>
              <w:left w:w="740" w:type="dxa"/>
              <w:bottom w:w="40" w:type="dxa"/>
              <w:right w:w="20" w:type="dxa"/>
            </w:tcMar>
          </w:tcPr>
          <w:p w14:paraId="7B66EC96" w14:textId="77777777" w:rsidR="0040300B" w:rsidRDefault="00BB2D44">
            <w:pPr>
              <w:textAlignment w:val="top"/>
            </w:pPr>
            <w:r>
              <w:rPr>
                <w:rFonts w:ascii="Times New Roman" w:eastAsia="宋体" w:hAnsi="Times New Roman"/>
                <w:color w:val="000000"/>
                <w:sz w:val="20"/>
                <w:szCs w:val="20"/>
              </w:rPr>
              <w:t xml:space="preserve">Total gross </w:t>
            </w:r>
            <w:r>
              <w:rPr>
                <w:rFonts w:ascii="Times New Roman" w:eastAsia="宋体" w:hAnsi="Times New Roman"/>
                <w:color w:val="000000"/>
                <w:sz w:val="20"/>
                <w:szCs w:val="20"/>
              </w:rPr>
              <w:t>property and equipment</w:t>
            </w:r>
          </w:p>
        </w:tc>
        <w:tc>
          <w:tcPr>
            <w:tcW w:w="0" w:type="auto"/>
            <w:gridSpan w:val="3"/>
            <w:shd w:val="clear" w:color="auto" w:fill="FFFFFF"/>
            <w:tcMar>
              <w:top w:w="0" w:type="dxa"/>
              <w:left w:w="20" w:type="dxa"/>
              <w:bottom w:w="0" w:type="dxa"/>
              <w:right w:w="20" w:type="dxa"/>
            </w:tcMar>
          </w:tcPr>
          <w:p w14:paraId="7B66EC97"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C98" w14:textId="77777777" w:rsidR="0040300B" w:rsidRDefault="00BB2D44">
            <w:pPr>
              <w:jc w:val="right"/>
              <w:textAlignment w:val="bottom"/>
            </w:pPr>
            <w:r>
              <w:rPr>
                <w:rFonts w:ascii="Times New Roman" w:eastAsia="宋体" w:hAnsi="Times New Roman"/>
                <w:color w:val="000000"/>
                <w:sz w:val="20"/>
                <w:szCs w:val="20"/>
              </w:rPr>
              <w:t>11,009 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9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9A"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EC9B" w14:textId="77777777" w:rsidR="0040300B" w:rsidRDefault="00BB2D44">
            <w:pPr>
              <w:jc w:val="right"/>
              <w:textAlignment w:val="bottom"/>
            </w:pPr>
            <w:r>
              <w:rPr>
                <w:rFonts w:ascii="Times New Roman" w:eastAsia="宋体" w:hAnsi="Times New Roman"/>
                <w:color w:val="000000"/>
                <w:sz w:val="20"/>
                <w:szCs w:val="20"/>
              </w:rPr>
              <w:t>11,014 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9C" w14:textId="77777777" w:rsidR="0040300B" w:rsidRDefault="0040300B">
            <w:pPr>
              <w:jc w:val="right"/>
              <w:rPr>
                <w:rFonts w:ascii="宋体"/>
              </w:rPr>
            </w:pPr>
          </w:p>
        </w:tc>
      </w:tr>
      <w:tr w:rsidR="0040300B" w14:paraId="7B66ECA5" w14:textId="77777777">
        <w:trPr>
          <w:jc w:val="center"/>
        </w:trPr>
        <w:tc>
          <w:tcPr>
            <w:tcW w:w="0" w:type="auto"/>
            <w:gridSpan w:val="3"/>
            <w:shd w:val="clear" w:color="auto" w:fill="CCEEFF"/>
            <w:tcMar>
              <w:top w:w="40" w:type="dxa"/>
              <w:left w:w="20" w:type="dxa"/>
              <w:bottom w:w="40" w:type="dxa"/>
              <w:right w:w="20" w:type="dxa"/>
            </w:tcMar>
            <w:vAlign w:val="bottom"/>
          </w:tcPr>
          <w:p w14:paraId="7B66EC9E" w14:textId="77777777" w:rsidR="0040300B" w:rsidRDefault="00BB2D44">
            <w:pPr>
              <w:ind w:firstLine="405"/>
              <w:textAlignment w:val="bottom"/>
            </w:pPr>
            <w:r>
              <w:rPr>
                <w:rFonts w:ascii="Times New Roman" w:eastAsia="宋体" w:hAnsi="Times New Roman"/>
                <w:color w:val="000000"/>
                <w:sz w:val="20"/>
                <w:szCs w:val="20"/>
              </w:rPr>
              <w:t>Less: accumulated depreciation and amortization</w:t>
            </w:r>
          </w:p>
        </w:tc>
        <w:tc>
          <w:tcPr>
            <w:tcW w:w="0" w:type="auto"/>
            <w:gridSpan w:val="3"/>
            <w:shd w:val="clear" w:color="auto" w:fill="CCEEFF"/>
            <w:tcMar>
              <w:top w:w="0" w:type="dxa"/>
              <w:left w:w="20" w:type="dxa"/>
              <w:bottom w:w="0" w:type="dxa"/>
              <w:right w:w="20" w:type="dxa"/>
            </w:tcMar>
          </w:tcPr>
          <w:p w14:paraId="7B66EC9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A0" w14:textId="77777777" w:rsidR="0040300B" w:rsidRDefault="00BB2D44">
            <w:pPr>
              <w:jc w:val="right"/>
              <w:textAlignment w:val="bottom"/>
            </w:pPr>
            <w:r>
              <w:rPr>
                <w:rFonts w:ascii="Times New Roman" w:eastAsia="宋体" w:hAnsi="Times New Roman"/>
                <w:color w:val="000000"/>
                <w:sz w:val="20"/>
                <w:szCs w:val="20"/>
              </w:rPr>
              <w:t>(8,642)</w:t>
            </w:r>
          </w:p>
        </w:tc>
        <w:tc>
          <w:tcPr>
            <w:tcW w:w="0" w:type="auto"/>
            <w:shd w:val="clear" w:color="auto" w:fill="CCEEFF"/>
            <w:tcMar>
              <w:top w:w="40" w:type="dxa"/>
              <w:left w:w="0" w:type="dxa"/>
              <w:bottom w:w="40" w:type="dxa"/>
              <w:right w:w="20" w:type="dxa"/>
            </w:tcMar>
            <w:vAlign w:val="bottom"/>
          </w:tcPr>
          <w:p w14:paraId="7B66EC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A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A3" w14:textId="77777777" w:rsidR="0040300B" w:rsidRDefault="00BB2D44">
            <w:pPr>
              <w:jc w:val="right"/>
              <w:textAlignment w:val="bottom"/>
            </w:pPr>
            <w:r>
              <w:rPr>
                <w:rFonts w:ascii="Times New Roman" w:eastAsia="宋体" w:hAnsi="Times New Roman"/>
                <w:color w:val="000000"/>
                <w:sz w:val="20"/>
                <w:szCs w:val="20"/>
              </w:rPr>
              <w:t>(8,561)</w:t>
            </w:r>
          </w:p>
        </w:tc>
        <w:tc>
          <w:tcPr>
            <w:tcW w:w="0" w:type="auto"/>
            <w:shd w:val="clear" w:color="auto" w:fill="CCEEFF"/>
            <w:tcMar>
              <w:top w:w="40" w:type="dxa"/>
              <w:left w:w="0" w:type="dxa"/>
              <w:bottom w:w="40" w:type="dxa"/>
              <w:right w:w="20" w:type="dxa"/>
            </w:tcMar>
            <w:vAlign w:val="bottom"/>
          </w:tcPr>
          <w:p w14:paraId="7B66ECA4" w14:textId="77777777" w:rsidR="0040300B" w:rsidRDefault="0040300B">
            <w:pPr>
              <w:jc w:val="right"/>
              <w:rPr>
                <w:rFonts w:ascii="宋体"/>
              </w:rPr>
            </w:pPr>
          </w:p>
        </w:tc>
      </w:tr>
      <w:tr w:rsidR="0040300B" w14:paraId="7B66ECAF" w14:textId="77777777">
        <w:trPr>
          <w:jc w:val="center"/>
        </w:trPr>
        <w:tc>
          <w:tcPr>
            <w:tcW w:w="0" w:type="auto"/>
            <w:gridSpan w:val="3"/>
            <w:shd w:val="clear" w:color="auto" w:fill="FFFFFF"/>
            <w:tcMar>
              <w:top w:w="40" w:type="dxa"/>
              <w:left w:w="1235" w:type="dxa"/>
              <w:bottom w:w="40" w:type="dxa"/>
              <w:right w:w="20" w:type="dxa"/>
            </w:tcMar>
          </w:tcPr>
          <w:p w14:paraId="7B66ECA6"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ECA7"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CA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CA9" w14:textId="77777777" w:rsidR="0040300B" w:rsidRDefault="00BB2D44">
            <w:pPr>
              <w:jc w:val="right"/>
              <w:textAlignment w:val="bottom"/>
            </w:pPr>
            <w:r>
              <w:rPr>
                <w:rFonts w:ascii="Times New Roman" w:eastAsia="宋体" w:hAnsi="Times New Roman"/>
                <w:color w:val="000000"/>
                <w:sz w:val="20"/>
                <w:szCs w:val="20"/>
              </w:rPr>
              <w:t>2,367 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CA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A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CA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CAD" w14:textId="77777777" w:rsidR="0040300B" w:rsidRDefault="00BB2D44">
            <w:pPr>
              <w:jc w:val="right"/>
              <w:textAlignment w:val="bottom"/>
            </w:pPr>
            <w:r>
              <w:rPr>
                <w:rFonts w:ascii="Times New Roman" w:eastAsia="宋体" w:hAnsi="Times New Roman"/>
                <w:color w:val="000000"/>
                <w:sz w:val="20"/>
                <w:szCs w:val="20"/>
              </w:rPr>
              <w:t>2,453 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CAE" w14:textId="77777777" w:rsidR="0040300B" w:rsidRDefault="0040300B">
            <w:pPr>
              <w:jc w:val="right"/>
              <w:rPr>
                <w:rFonts w:ascii="宋体"/>
              </w:rPr>
            </w:pPr>
          </w:p>
        </w:tc>
      </w:tr>
    </w:tbl>
    <w:p w14:paraId="7B66ECB0" w14:textId="77777777" w:rsidR="0040300B" w:rsidRDefault="0040300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7"/>
        <w:gridCol w:w="36"/>
        <w:gridCol w:w="36"/>
        <w:gridCol w:w="36"/>
        <w:gridCol w:w="120"/>
        <w:gridCol w:w="1046"/>
        <w:gridCol w:w="36"/>
        <w:gridCol w:w="36"/>
        <w:gridCol w:w="36"/>
        <w:gridCol w:w="36"/>
        <w:gridCol w:w="120"/>
        <w:gridCol w:w="1046"/>
        <w:gridCol w:w="36"/>
      </w:tblGrid>
      <w:tr w:rsidR="0040300B" w14:paraId="7B66ECC0" w14:textId="77777777">
        <w:trPr>
          <w:jc w:val="center"/>
        </w:trPr>
        <w:tc>
          <w:tcPr>
            <w:tcW w:w="50" w:type="pct"/>
            <w:shd w:val="clear" w:color="auto" w:fill="auto"/>
          </w:tcPr>
          <w:p w14:paraId="7B66ECB1" w14:textId="77777777" w:rsidR="0040300B" w:rsidRDefault="0040300B">
            <w:pPr>
              <w:rPr>
                <w:rFonts w:ascii="宋体"/>
              </w:rPr>
            </w:pPr>
          </w:p>
        </w:tc>
        <w:tc>
          <w:tcPr>
            <w:tcW w:w="3405" w:type="pct"/>
            <w:shd w:val="clear" w:color="auto" w:fill="auto"/>
          </w:tcPr>
          <w:p w14:paraId="7B66ECB2" w14:textId="77777777" w:rsidR="0040300B" w:rsidRDefault="0040300B">
            <w:pPr>
              <w:rPr>
                <w:rFonts w:ascii="宋体"/>
              </w:rPr>
            </w:pPr>
          </w:p>
        </w:tc>
        <w:tc>
          <w:tcPr>
            <w:tcW w:w="5" w:type="pct"/>
            <w:shd w:val="clear" w:color="auto" w:fill="auto"/>
          </w:tcPr>
          <w:p w14:paraId="7B66ECB3" w14:textId="77777777" w:rsidR="0040300B" w:rsidRDefault="0040300B">
            <w:pPr>
              <w:rPr>
                <w:rFonts w:ascii="宋体"/>
              </w:rPr>
            </w:pPr>
          </w:p>
        </w:tc>
        <w:tc>
          <w:tcPr>
            <w:tcW w:w="5" w:type="pct"/>
            <w:shd w:val="clear" w:color="auto" w:fill="auto"/>
          </w:tcPr>
          <w:p w14:paraId="7B66ECB4" w14:textId="77777777" w:rsidR="0040300B" w:rsidRDefault="0040300B">
            <w:pPr>
              <w:rPr>
                <w:rFonts w:ascii="宋体"/>
              </w:rPr>
            </w:pPr>
          </w:p>
        </w:tc>
        <w:tc>
          <w:tcPr>
            <w:tcW w:w="26" w:type="pct"/>
            <w:shd w:val="clear" w:color="auto" w:fill="auto"/>
          </w:tcPr>
          <w:p w14:paraId="7B66ECB5" w14:textId="77777777" w:rsidR="0040300B" w:rsidRDefault="0040300B">
            <w:pPr>
              <w:rPr>
                <w:rFonts w:ascii="宋体"/>
              </w:rPr>
            </w:pPr>
          </w:p>
        </w:tc>
        <w:tc>
          <w:tcPr>
            <w:tcW w:w="5" w:type="pct"/>
            <w:shd w:val="clear" w:color="auto" w:fill="auto"/>
          </w:tcPr>
          <w:p w14:paraId="7B66ECB6" w14:textId="77777777" w:rsidR="0040300B" w:rsidRDefault="0040300B">
            <w:pPr>
              <w:rPr>
                <w:rFonts w:ascii="宋体"/>
              </w:rPr>
            </w:pPr>
          </w:p>
        </w:tc>
        <w:tc>
          <w:tcPr>
            <w:tcW w:w="50" w:type="pct"/>
            <w:shd w:val="clear" w:color="auto" w:fill="auto"/>
          </w:tcPr>
          <w:p w14:paraId="7B66ECB7" w14:textId="77777777" w:rsidR="0040300B" w:rsidRDefault="0040300B">
            <w:pPr>
              <w:rPr>
                <w:rFonts w:ascii="宋体"/>
              </w:rPr>
            </w:pPr>
          </w:p>
        </w:tc>
        <w:tc>
          <w:tcPr>
            <w:tcW w:w="678" w:type="pct"/>
            <w:shd w:val="clear" w:color="auto" w:fill="auto"/>
          </w:tcPr>
          <w:p w14:paraId="7B66ECB8" w14:textId="77777777" w:rsidR="0040300B" w:rsidRDefault="0040300B">
            <w:pPr>
              <w:rPr>
                <w:rFonts w:ascii="宋体"/>
              </w:rPr>
            </w:pPr>
          </w:p>
        </w:tc>
        <w:tc>
          <w:tcPr>
            <w:tcW w:w="5" w:type="pct"/>
            <w:shd w:val="clear" w:color="auto" w:fill="auto"/>
          </w:tcPr>
          <w:p w14:paraId="7B66ECB9" w14:textId="77777777" w:rsidR="0040300B" w:rsidRDefault="0040300B">
            <w:pPr>
              <w:rPr>
                <w:rFonts w:ascii="宋体"/>
              </w:rPr>
            </w:pPr>
          </w:p>
        </w:tc>
        <w:tc>
          <w:tcPr>
            <w:tcW w:w="5" w:type="pct"/>
            <w:shd w:val="clear" w:color="auto" w:fill="auto"/>
          </w:tcPr>
          <w:p w14:paraId="7B66ECBA" w14:textId="77777777" w:rsidR="0040300B" w:rsidRDefault="0040300B">
            <w:pPr>
              <w:rPr>
                <w:rFonts w:ascii="宋体"/>
              </w:rPr>
            </w:pPr>
          </w:p>
        </w:tc>
        <w:tc>
          <w:tcPr>
            <w:tcW w:w="26" w:type="pct"/>
            <w:shd w:val="clear" w:color="auto" w:fill="auto"/>
          </w:tcPr>
          <w:p w14:paraId="7B66ECBB" w14:textId="77777777" w:rsidR="0040300B" w:rsidRDefault="0040300B">
            <w:pPr>
              <w:rPr>
                <w:rFonts w:ascii="宋体"/>
              </w:rPr>
            </w:pPr>
          </w:p>
        </w:tc>
        <w:tc>
          <w:tcPr>
            <w:tcW w:w="5" w:type="pct"/>
            <w:shd w:val="clear" w:color="auto" w:fill="auto"/>
          </w:tcPr>
          <w:p w14:paraId="7B66ECBC" w14:textId="77777777" w:rsidR="0040300B" w:rsidRDefault="0040300B">
            <w:pPr>
              <w:rPr>
                <w:rFonts w:ascii="宋体"/>
              </w:rPr>
            </w:pPr>
          </w:p>
        </w:tc>
        <w:tc>
          <w:tcPr>
            <w:tcW w:w="50" w:type="pct"/>
            <w:shd w:val="clear" w:color="auto" w:fill="auto"/>
          </w:tcPr>
          <w:p w14:paraId="7B66ECBD" w14:textId="77777777" w:rsidR="0040300B" w:rsidRDefault="0040300B">
            <w:pPr>
              <w:rPr>
                <w:rFonts w:ascii="宋体"/>
              </w:rPr>
            </w:pPr>
          </w:p>
        </w:tc>
        <w:tc>
          <w:tcPr>
            <w:tcW w:w="678" w:type="pct"/>
            <w:shd w:val="clear" w:color="auto" w:fill="auto"/>
          </w:tcPr>
          <w:p w14:paraId="7B66ECBE" w14:textId="77777777" w:rsidR="0040300B" w:rsidRDefault="0040300B">
            <w:pPr>
              <w:rPr>
                <w:rFonts w:ascii="宋体"/>
              </w:rPr>
            </w:pPr>
          </w:p>
        </w:tc>
        <w:tc>
          <w:tcPr>
            <w:tcW w:w="5" w:type="pct"/>
            <w:shd w:val="clear" w:color="auto" w:fill="auto"/>
          </w:tcPr>
          <w:p w14:paraId="7B66ECBF" w14:textId="77777777" w:rsidR="0040300B" w:rsidRDefault="0040300B">
            <w:pPr>
              <w:rPr>
                <w:rFonts w:ascii="宋体"/>
              </w:rPr>
            </w:pPr>
          </w:p>
        </w:tc>
      </w:tr>
      <w:tr w:rsidR="0040300B" w14:paraId="7B66ECC6" w14:textId="77777777">
        <w:trPr>
          <w:jc w:val="center"/>
        </w:trPr>
        <w:tc>
          <w:tcPr>
            <w:tcW w:w="0" w:type="auto"/>
            <w:gridSpan w:val="3"/>
            <w:shd w:val="clear" w:color="auto" w:fill="CCEEFF"/>
            <w:tcMar>
              <w:top w:w="40" w:type="dxa"/>
              <w:left w:w="20" w:type="dxa"/>
              <w:bottom w:w="40" w:type="dxa"/>
              <w:right w:w="20" w:type="dxa"/>
            </w:tcMar>
          </w:tcPr>
          <w:p w14:paraId="7B66ECC1" w14:textId="77777777" w:rsidR="0040300B" w:rsidRDefault="00BB2D44">
            <w:pPr>
              <w:textAlignment w:val="top"/>
            </w:pPr>
            <w:r>
              <w:rPr>
                <w:rFonts w:ascii="Times New Roman" w:eastAsia="宋体" w:hAnsi="Times New Roman"/>
                <w:color w:val="000000"/>
                <w:sz w:val="20"/>
                <w:szCs w:val="20"/>
              </w:rPr>
              <w:t>Deferred revenue:</w:t>
            </w:r>
          </w:p>
        </w:tc>
        <w:tc>
          <w:tcPr>
            <w:tcW w:w="0" w:type="auto"/>
            <w:gridSpan w:val="3"/>
            <w:shd w:val="clear" w:color="auto" w:fill="CCEEFF"/>
            <w:tcMar>
              <w:top w:w="0" w:type="dxa"/>
              <w:left w:w="20" w:type="dxa"/>
              <w:bottom w:w="0" w:type="dxa"/>
              <w:right w:w="20" w:type="dxa"/>
            </w:tcMar>
          </w:tcPr>
          <w:p w14:paraId="7B66ECC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C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C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C5" w14:textId="77777777" w:rsidR="0040300B" w:rsidRDefault="0040300B">
            <w:pPr>
              <w:rPr>
                <w:rFonts w:ascii="宋体"/>
              </w:rPr>
            </w:pPr>
          </w:p>
        </w:tc>
      </w:tr>
      <w:tr w:rsidR="0040300B" w14:paraId="7B66ECD0" w14:textId="77777777">
        <w:trPr>
          <w:jc w:val="center"/>
        </w:trPr>
        <w:tc>
          <w:tcPr>
            <w:tcW w:w="0" w:type="auto"/>
            <w:gridSpan w:val="3"/>
            <w:shd w:val="clear" w:color="auto" w:fill="FFFFFF"/>
            <w:tcMar>
              <w:top w:w="40" w:type="dxa"/>
              <w:left w:w="380" w:type="dxa"/>
              <w:bottom w:w="40" w:type="dxa"/>
              <w:right w:w="20" w:type="dxa"/>
            </w:tcMar>
          </w:tcPr>
          <w:p w14:paraId="7B66ECC7" w14:textId="77777777" w:rsidR="0040300B" w:rsidRDefault="00BB2D44">
            <w:pPr>
              <w:textAlignment w:val="top"/>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7B66ECC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C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CA" w14:textId="77777777" w:rsidR="0040300B" w:rsidRDefault="00BB2D44">
            <w:pPr>
              <w:jc w:val="right"/>
              <w:textAlignment w:val="bottom"/>
            </w:pPr>
            <w:r>
              <w:rPr>
                <w:rFonts w:ascii="Times New Roman" w:eastAsia="宋体" w:hAnsi="Times New Roman"/>
                <w:color w:val="000000"/>
                <w:sz w:val="20"/>
                <w:szCs w:val="20"/>
              </w:rPr>
              <w:t>8,698 </w:t>
            </w:r>
          </w:p>
        </w:tc>
        <w:tc>
          <w:tcPr>
            <w:tcW w:w="0" w:type="auto"/>
            <w:shd w:val="clear" w:color="auto" w:fill="FFFFFF"/>
            <w:tcMar>
              <w:top w:w="40" w:type="dxa"/>
              <w:left w:w="0" w:type="dxa"/>
              <w:bottom w:w="40" w:type="dxa"/>
              <w:right w:w="20" w:type="dxa"/>
            </w:tcMar>
            <w:vAlign w:val="bottom"/>
          </w:tcPr>
          <w:p w14:paraId="7B66ECC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C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C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CE" w14:textId="77777777" w:rsidR="0040300B" w:rsidRDefault="00BB2D44">
            <w:pPr>
              <w:jc w:val="right"/>
              <w:textAlignment w:val="bottom"/>
            </w:pPr>
            <w:r>
              <w:rPr>
                <w:rFonts w:ascii="Times New Roman" w:eastAsia="宋体" w:hAnsi="Times New Roman"/>
                <w:color w:val="000000"/>
                <w:sz w:val="20"/>
                <w:szCs w:val="20"/>
              </w:rPr>
              <w:t>7,895 </w:t>
            </w:r>
          </w:p>
        </w:tc>
        <w:tc>
          <w:tcPr>
            <w:tcW w:w="0" w:type="auto"/>
            <w:shd w:val="clear" w:color="auto" w:fill="FFFFFF"/>
            <w:tcMar>
              <w:top w:w="40" w:type="dxa"/>
              <w:left w:w="0" w:type="dxa"/>
              <w:bottom w:w="40" w:type="dxa"/>
              <w:right w:w="20" w:type="dxa"/>
            </w:tcMar>
            <w:vAlign w:val="bottom"/>
          </w:tcPr>
          <w:p w14:paraId="7B66ECCF" w14:textId="77777777" w:rsidR="0040300B" w:rsidRDefault="0040300B">
            <w:pPr>
              <w:jc w:val="right"/>
              <w:rPr>
                <w:rFonts w:ascii="宋体"/>
              </w:rPr>
            </w:pPr>
          </w:p>
        </w:tc>
      </w:tr>
      <w:tr w:rsidR="0040300B" w14:paraId="7B66ECD8" w14:textId="77777777">
        <w:trPr>
          <w:jc w:val="center"/>
        </w:trPr>
        <w:tc>
          <w:tcPr>
            <w:tcW w:w="0" w:type="auto"/>
            <w:gridSpan w:val="3"/>
            <w:shd w:val="clear" w:color="auto" w:fill="CCEEFF"/>
            <w:tcMar>
              <w:top w:w="40" w:type="dxa"/>
              <w:left w:w="395" w:type="dxa"/>
              <w:bottom w:w="40" w:type="dxa"/>
              <w:right w:w="20" w:type="dxa"/>
            </w:tcMar>
          </w:tcPr>
          <w:p w14:paraId="7B66ECD1" w14:textId="77777777" w:rsidR="0040300B" w:rsidRDefault="00BB2D44">
            <w:pPr>
              <w:textAlignment w:val="top"/>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7B66ECD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D3" w14:textId="77777777" w:rsidR="0040300B" w:rsidRDefault="00BB2D44">
            <w:pPr>
              <w:jc w:val="right"/>
              <w:textAlignment w:val="bottom"/>
            </w:pPr>
            <w:r>
              <w:rPr>
                <w:rFonts w:ascii="Times New Roman" w:eastAsia="宋体" w:hAnsi="Times New Roman"/>
                <w:color w:val="000000"/>
                <w:sz w:val="20"/>
                <w:szCs w:val="20"/>
              </w:rPr>
              <w:t>12,191 </w:t>
            </w:r>
          </w:p>
        </w:tc>
        <w:tc>
          <w:tcPr>
            <w:tcW w:w="0" w:type="auto"/>
            <w:shd w:val="clear" w:color="auto" w:fill="CCEEFF"/>
            <w:tcMar>
              <w:top w:w="40" w:type="dxa"/>
              <w:left w:w="0" w:type="dxa"/>
              <w:bottom w:w="40" w:type="dxa"/>
              <w:right w:w="20" w:type="dxa"/>
            </w:tcMar>
            <w:vAlign w:val="bottom"/>
          </w:tcPr>
          <w:p w14:paraId="7B66ECD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D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D6" w14:textId="77777777" w:rsidR="0040300B" w:rsidRDefault="00BB2D44">
            <w:pPr>
              <w:jc w:val="right"/>
              <w:textAlignment w:val="bottom"/>
            </w:pPr>
            <w:r>
              <w:rPr>
                <w:rFonts w:ascii="Times New Roman" w:eastAsia="宋体" w:hAnsi="Times New Roman"/>
                <w:color w:val="000000"/>
                <w:sz w:val="20"/>
                <w:szCs w:val="20"/>
              </w:rPr>
              <w:t>12,551 </w:t>
            </w:r>
          </w:p>
        </w:tc>
        <w:tc>
          <w:tcPr>
            <w:tcW w:w="0" w:type="auto"/>
            <w:shd w:val="clear" w:color="auto" w:fill="CCEEFF"/>
            <w:tcMar>
              <w:top w:w="40" w:type="dxa"/>
              <w:left w:w="0" w:type="dxa"/>
              <w:bottom w:w="40" w:type="dxa"/>
              <w:right w:w="20" w:type="dxa"/>
            </w:tcMar>
            <w:vAlign w:val="bottom"/>
          </w:tcPr>
          <w:p w14:paraId="7B66ECD7" w14:textId="77777777" w:rsidR="0040300B" w:rsidRDefault="0040300B">
            <w:pPr>
              <w:jc w:val="right"/>
              <w:rPr>
                <w:rFonts w:ascii="宋体"/>
              </w:rPr>
            </w:pPr>
          </w:p>
        </w:tc>
      </w:tr>
      <w:tr w:rsidR="0040300B" w14:paraId="7B66ECE2" w14:textId="77777777">
        <w:trPr>
          <w:jc w:val="center"/>
        </w:trPr>
        <w:tc>
          <w:tcPr>
            <w:tcW w:w="0" w:type="auto"/>
            <w:gridSpan w:val="3"/>
            <w:shd w:val="clear" w:color="auto" w:fill="FFFFFF"/>
            <w:tcMar>
              <w:top w:w="40" w:type="dxa"/>
              <w:left w:w="1235" w:type="dxa"/>
              <w:bottom w:w="40" w:type="dxa"/>
              <w:right w:w="20" w:type="dxa"/>
            </w:tcMar>
          </w:tcPr>
          <w:p w14:paraId="7B66ECD9"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ECDA"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CD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CDC" w14:textId="77777777" w:rsidR="0040300B" w:rsidRDefault="00BB2D44">
            <w:pPr>
              <w:jc w:val="right"/>
              <w:textAlignment w:val="bottom"/>
            </w:pPr>
            <w:r>
              <w:rPr>
                <w:rFonts w:ascii="Times New Roman" w:eastAsia="宋体" w:hAnsi="Times New Roman"/>
                <w:color w:val="000000"/>
                <w:sz w:val="20"/>
                <w:szCs w:val="20"/>
              </w:rPr>
              <w:t>20,889 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D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DE"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ECD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ECE0" w14:textId="77777777" w:rsidR="0040300B" w:rsidRDefault="00BB2D44">
            <w:pPr>
              <w:jc w:val="right"/>
              <w:textAlignment w:val="bottom"/>
            </w:pPr>
            <w:r>
              <w:rPr>
                <w:rFonts w:ascii="Times New Roman" w:eastAsia="宋体" w:hAnsi="Times New Roman"/>
                <w:color w:val="000000"/>
                <w:sz w:val="20"/>
                <w:szCs w:val="20"/>
              </w:rPr>
              <w:t>20,446 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ECE1" w14:textId="77777777" w:rsidR="0040300B" w:rsidRDefault="0040300B">
            <w:pPr>
              <w:jc w:val="right"/>
              <w:rPr>
                <w:rFonts w:ascii="宋体"/>
              </w:rPr>
            </w:pPr>
          </w:p>
        </w:tc>
      </w:tr>
      <w:tr w:rsidR="0040300B" w14:paraId="7B66ECE8" w14:textId="77777777">
        <w:trPr>
          <w:jc w:val="center"/>
        </w:trPr>
        <w:tc>
          <w:tcPr>
            <w:tcW w:w="0" w:type="auto"/>
            <w:gridSpan w:val="3"/>
            <w:shd w:val="clear" w:color="auto" w:fill="CCEEFF"/>
            <w:tcMar>
              <w:top w:w="40" w:type="dxa"/>
              <w:left w:w="20" w:type="dxa"/>
              <w:bottom w:w="40" w:type="dxa"/>
              <w:right w:w="20" w:type="dxa"/>
            </w:tcMar>
          </w:tcPr>
          <w:p w14:paraId="7B66ECE3" w14:textId="77777777" w:rsidR="0040300B" w:rsidRDefault="00BB2D44">
            <w:pPr>
              <w:textAlignment w:val="top"/>
            </w:pPr>
            <w:r>
              <w:rPr>
                <w:rFonts w:ascii="Times New Roman" w:eastAsia="宋体" w:hAnsi="Times New Roman"/>
                <w:color w:val="000000"/>
                <w:sz w:val="20"/>
                <w:szCs w:val="20"/>
              </w:rPr>
              <w:t>Reported as:</w:t>
            </w:r>
          </w:p>
        </w:tc>
        <w:tc>
          <w:tcPr>
            <w:tcW w:w="0" w:type="auto"/>
            <w:gridSpan w:val="3"/>
            <w:shd w:val="clear" w:color="auto" w:fill="CCEEFF"/>
            <w:tcMar>
              <w:top w:w="0" w:type="dxa"/>
              <w:left w:w="20" w:type="dxa"/>
              <w:bottom w:w="0" w:type="dxa"/>
              <w:right w:w="20" w:type="dxa"/>
            </w:tcMar>
          </w:tcPr>
          <w:p w14:paraId="7B66ECE4"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CE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CE6"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ECE7" w14:textId="77777777" w:rsidR="0040300B" w:rsidRDefault="0040300B">
            <w:pPr>
              <w:rPr>
                <w:rFonts w:ascii="宋体"/>
              </w:rPr>
            </w:pPr>
          </w:p>
        </w:tc>
      </w:tr>
      <w:tr w:rsidR="0040300B" w14:paraId="7B66ECF2" w14:textId="77777777">
        <w:trPr>
          <w:jc w:val="center"/>
        </w:trPr>
        <w:tc>
          <w:tcPr>
            <w:tcW w:w="0" w:type="auto"/>
            <w:gridSpan w:val="3"/>
            <w:shd w:val="clear" w:color="auto" w:fill="FFFFFF"/>
            <w:tcMar>
              <w:top w:w="40" w:type="dxa"/>
              <w:left w:w="380" w:type="dxa"/>
              <w:bottom w:w="40" w:type="dxa"/>
              <w:right w:w="20" w:type="dxa"/>
            </w:tcMar>
          </w:tcPr>
          <w:p w14:paraId="7B66ECE9" w14:textId="77777777" w:rsidR="0040300B" w:rsidRDefault="00BB2D44">
            <w:pPr>
              <w:textAlignment w:val="top"/>
            </w:pPr>
            <w:r>
              <w:rPr>
                <w:rFonts w:ascii="Times New Roman" w:eastAsia="宋体" w:hAnsi="Times New Roman"/>
                <w:color w:val="000000"/>
                <w:sz w:val="20"/>
                <w:szCs w:val="20"/>
              </w:rPr>
              <w:t>Current</w:t>
            </w:r>
          </w:p>
        </w:tc>
        <w:tc>
          <w:tcPr>
            <w:tcW w:w="0" w:type="auto"/>
            <w:gridSpan w:val="3"/>
            <w:shd w:val="clear" w:color="auto" w:fill="FFFFFF"/>
            <w:tcMar>
              <w:top w:w="0" w:type="dxa"/>
              <w:left w:w="20" w:type="dxa"/>
              <w:bottom w:w="0" w:type="dxa"/>
              <w:right w:w="20" w:type="dxa"/>
            </w:tcMar>
          </w:tcPr>
          <w:p w14:paraId="7B66ECE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E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EC" w14:textId="77777777" w:rsidR="0040300B" w:rsidRDefault="00BB2D44">
            <w:pPr>
              <w:jc w:val="right"/>
              <w:textAlignment w:val="bottom"/>
            </w:pPr>
            <w:r>
              <w:rPr>
                <w:rFonts w:ascii="Times New Roman" w:eastAsia="宋体" w:hAnsi="Times New Roman"/>
                <w:color w:val="000000"/>
                <w:sz w:val="20"/>
                <w:szCs w:val="20"/>
              </w:rPr>
              <w:t>11,492 </w:t>
            </w:r>
          </w:p>
        </w:tc>
        <w:tc>
          <w:tcPr>
            <w:tcW w:w="0" w:type="auto"/>
            <w:shd w:val="clear" w:color="auto" w:fill="FFFFFF"/>
            <w:tcMar>
              <w:top w:w="40" w:type="dxa"/>
              <w:left w:w="0" w:type="dxa"/>
              <w:bottom w:w="40" w:type="dxa"/>
              <w:right w:w="20" w:type="dxa"/>
            </w:tcMar>
            <w:vAlign w:val="bottom"/>
          </w:tcPr>
          <w:p w14:paraId="7B66ECE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CE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CE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CF0" w14:textId="77777777" w:rsidR="0040300B" w:rsidRDefault="00BB2D44">
            <w:pPr>
              <w:jc w:val="right"/>
              <w:textAlignment w:val="bottom"/>
            </w:pPr>
            <w:r>
              <w:rPr>
                <w:rFonts w:ascii="Times New Roman" w:eastAsia="宋体" w:hAnsi="Times New Roman"/>
                <w:color w:val="000000"/>
                <w:sz w:val="20"/>
                <w:szCs w:val="20"/>
              </w:rPr>
              <w:t>11,406 </w:t>
            </w:r>
          </w:p>
        </w:tc>
        <w:tc>
          <w:tcPr>
            <w:tcW w:w="0" w:type="auto"/>
            <w:shd w:val="clear" w:color="auto" w:fill="FFFFFF"/>
            <w:tcMar>
              <w:top w:w="40" w:type="dxa"/>
              <w:left w:w="0" w:type="dxa"/>
              <w:bottom w:w="40" w:type="dxa"/>
              <w:right w:w="20" w:type="dxa"/>
            </w:tcMar>
            <w:vAlign w:val="bottom"/>
          </w:tcPr>
          <w:p w14:paraId="7B66ECF1" w14:textId="77777777" w:rsidR="0040300B" w:rsidRDefault="0040300B">
            <w:pPr>
              <w:jc w:val="right"/>
              <w:rPr>
                <w:rFonts w:ascii="宋体"/>
              </w:rPr>
            </w:pPr>
          </w:p>
        </w:tc>
      </w:tr>
      <w:tr w:rsidR="0040300B" w14:paraId="7B66ECFA" w14:textId="77777777">
        <w:trPr>
          <w:jc w:val="center"/>
        </w:trPr>
        <w:tc>
          <w:tcPr>
            <w:tcW w:w="0" w:type="auto"/>
            <w:gridSpan w:val="3"/>
            <w:shd w:val="clear" w:color="auto" w:fill="CCEEFF"/>
            <w:tcMar>
              <w:top w:w="40" w:type="dxa"/>
              <w:left w:w="380" w:type="dxa"/>
              <w:bottom w:w="40" w:type="dxa"/>
              <w:right w:w="20" w:type="dxa"/>
            </w:tcMar>
          </w:tcPr>
          <w:p w14:paraId="7B66ECF3" w14:textId="77777777" w:rsidR="0040300B" w:rsidRDefault="00BB2D44">
            <w:pPr>
              <w:textAlignment w:val="top"/>
            </w:pPr>
            <w:r>
              <w:rPr>
                <w:rFonts w:ascii="Times New Roman" w:eastAsia="宋体" w:hAnsi="Times New Roman"/>
                <w:color w:val="000000"/>
                <w:sz w:val="20"/>
                <w:szCs w:val="20"/>
              </w:rPr>
              <w:t>Noncurrent</w:t>
            </w:r>
          </w:p>
        </w:tc>
        <w:tc>
          <w:tcPr>
            <w:tcW w:w="0" w:type="auto"/>
            <w:gridSpan w:val="3"/>
            <w:shd w:val="clear" w:color="auto" w:fill="CCEEFF"/>
            <w:tcMar>
              <w:top w:w="0" w:type="dxa"/>
              <w:left w:w="20" w:type="dxa"/>
              <w:bottom w:w="0" w:type="dxa"/>
              <w:right w:w="20" w:type="dxa"/>
            </w:tcMar>
          </w:tcPr>
          <w:p w14:paraId="7B66ECF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F5" w14:textId="77777777" w:rsidR="0040300B" w:rsidRDefault="00BB2D44">
            <w:pPr>
              <w:jc w:val="right"/>
              <w:textAlignment w:val="bottom"/>
            </w:pPr>
            <w:r>
              <w:rPr>
                <w:rFonts w:ascii="Times New Roman" w:eastAsia="宋体" w:hAnsi="Times New Roman"/>
                <w:color w:val="000000"/>
                <w:sz w:val="20"/>
                <w:szCs w:val="20"/>
              </w:rPr>
              <w:t>9,397 </w:t>
            </w:r>
          </w:p>
        </w:tc>
        <w:tc>
          <w:tcPr>
            <w:tcW w:w="0" w:type="auto"/>
            <w:shd w:val="clear" w:color="auto" w:fill="CCEEFF"/>
            <w:tcMar>
              <w:top w:w="40" w:type="dxa"/>
              <w:left w:w="0" w:type="dxa"/>
              <w:bottom w:w="40" w:type="dxa"/>
              <w:right w:w="20" w:type="dxa"/>
            </w:tcMar>
            <w:vAlign w:val="bottom"/>
          </w:tcPr>
          <w:p w14:paraId="7B66EC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CF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CF8" w14:textId="77777777" w:rsidR="0040300B" w:rsidRDefault="00BB2D44">
            <w:pPr>
              <w:jc w:val="right"/>
              <w:textAlignment w:val="bottom"/>
            </w:pPr>
            <w:r>
              <w:rPr>
                <w:rFonts w:ascii="Times New Roman" w:eastAsia="宋体" w:hAnsi="Times New Roman"/>
                <w:color w:val="000000"/>
                <w:sz w:val="20"/>
                <w:szCs w:val="20"/>
              </w:rPr>
              <w:t>9,040 </w:t>
            </w:r>
          </w:p>
        </w:tc>
        <w:tc>
          <w:tcPr>
            <w:tcW w:w="0" w:type="auto"/>
            <w:shd w:val="clear" w:color="auto" w:fill="CCEEFF"/>
            <w:tcMar>
              <w:top w:w="40" w:type="dxa"/>
              <w:left w:w="0" w:type="dxa"/>
              <w:bottom w:w="40" w:type="dxa"/>
              <w:right w:w="20" w:type="dxa"/>
            </w:tcMar>
            <w:vAlign w:val="bottom"/>
          </w:tcPr>
          <w:p w14:paraId="7B66ECF9" w14:textId="77777777" w:rsidR="0040300B" w:rsidRDefault="0040300B">
            <w:pPr>
              <w:jc w:val="right"/>
              <w:rPr>
                <w:rFonts w:ascii="宋体"/>
              </w:rPr>
            </w:pPr>
          </w:p>
        </w:tc>
      </w:tr>
      <w:tr w:rsidR="0040300B" w14:paraId="7B66ED04" w14:textId="77777777">
        <w:trPr>
          <w:jc w:val="center"/>
        </w:trPr>
        <w:tc>
          <w:tcPr>
            <w:tcW w:w="0" w:type="auto"/>
            <w:gridSpan w:val="3"/>
            <w:shd w:val="clear" w:color="auto" w:fill="FFFFFF"/>
            <w:tcMar>
              <w:top w:w="40" w:type="dxa"/>
              <w:left w:w="1235" w:type="dxa"/>
              <w:bottom w:w="40" w:type="dxa"/>
              <w:right w:w="20" w:type="dxa"/>
            </w:tcMar>
          </w:tcPr>
          <w:p w14:paraId="7B66ECFB"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ECF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CF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CFE" w14:textId="77777777" w:rsidR="0040300B" w:rsidRDefault="00BB2D44">
            <w:pPr>
              <w:jc w:val="right"/>
              <w:textAlignment w:val="bottom"/>
            </w:pPr>
            <w:r>
              <w:rPr>
                <w:rFonts w:ascii="Times New Roman" w:eastAsia="宋体" w:hAnsi="Times New Roman"/>
                <w:color w:val="000000"/>
                <w:sz w:val="20"/>
                <w:szCs w:val="20"/>
              </w:rPr>
              <w:t>20,889 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CF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0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0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02" w14:textId="77777777" w:rsidR="0040300B" w:rsidRDefault="00BB2D44">
            <w:pPr>
              <w:jc w:val="right"/>
              <w:textAlignment w:val="bottom"/>
            </w:pPr>
            <w:r>
              <w:rPr>
                <w:rFonts w:ascii="Times New Roman" w:eastAsia="宋体" w:hAnsi="Times New Roman"/>
                <w:color w:val="000000"/>
                <w:sz w:val="20"/>
                <w:szCs w:val="20"/>
              </w:rPr>
              <w:t>20,446 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03" w14:textId="77777777" w:rsidR="0040300B" w:rsidRDefault="0040300B">
            <w:pPr>
              <w:jc w:val="right"/>
              <w:rPr>
                <w:rFonts w:ascii="宋体"/>
              </w:rPr>
            </w:pPr>
          </w:p>
        </w:tc>
      </w:tr>
    </w:tbl>
    <w:p w14:paraId="7B66ED05" w14:textId="77777777" w:rsidR="0040300B" w:rsidRDefault="0040300B">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40300B" w14:paraId="7B66ED15" w14:textId="77777777">
        <w:tc>
          <w:tcPr>
            <w:tcW w:w="50" w:type="pct"/>
            <w:shd w:val="clear" w:color="auto" w:fill="auto"/>
          </w:tcPr>
          <w:p w14:paraId="7B66ED06" w14:textId="77777777" w:rsidR="0040300B" w:rsidRDefault="0040300B">
            <w:pPr>
              <w:rPr>
                <w:rFonts w:ascii="宋体"/>
              </w:rPr>
            </w:pPr>
          </w:p>
        </w:tc>
        <w:tc>
          <w:tcPr>
            <w:tcW w:w="3405" w:type="pct"/>
            <w:shd w:val="clear" w:color="auto" w:fill="auto"/>
          </w:tcPr>
          <w:p w14:paraId="7B66ED07" w14:textId="77777777" w:rsidR="0040300B" w:rsidRDefault="0040300B">
            <w:pPr>
              <w:rPr>
                <w:rFonts w:ascii="宋体"/>
              </w:rPr>
            </w:pPr>
          </w:p>
        </w:tc>
        <w:tc>
          <w:tcPr>
            <w:tcW w:w="5" w:type="pct"/>
            <w:shd w:val="clear" w:color="auto" w:fill="auto"/>
          </w:tcPr>
          <w:p w14:paraId="7B66ED08" w14:textId="77777777" w:rsidR="0040300B" w:rsidRDefault="0040300B">
            <w:pPr>
              <w:rPr>
                <w:rFonts w:ascii="宋体"/>
              </w:rPr>
            </w:pPr>
          </w:p>
        </w:tc>
        <w:tc>
          <w:tcPr>
            <w:tcW w:w="5" w:type="pct"/>
            <w:shd w:val="clear" w:color="auto" w:fill="auto"/>
          </w:tcPr>
          <w:p w14:paraId="7B66ED09" w14:textId="77777777" w:rsidR="0040300B" w:rsidRDefault="0040300B">
            <w:pPr>
              <w:rPr>
                <w:rFonts w:ascii="宋体"/>
              </w:rPr>
            </w:pPr>
          </w:p>
        </w:tc>
        <w:tc>
          <w:tcPr>
            <w:tcW w:w="26" w:type="pct"/>
            <w:shd w:val="clear" w:color="auto" w:fill="auto"/>
          </w:tcPr>
          <w:p w14:paraId="7B66ED0A" w14:textId="77777777" w:rsidR="0040300B" w:rsidRDefault="0040300B">
            <w:pPr>
              <w:rPr>
                <w:rFonts w:ascii="宋体"/>
              </w:rPr>
            </w:pPr>
          </w:p>
        </w:tc>
        <w:tc>
          <w:tcPr>
            <w:tcW w:w="5" w:type="pct"/>
            <w:shd w:val="clear" w:color="auto" w:fill="auto"/>
          </w:tcPr>
          <w:p w14:paraId="7B66ED0B" w14:textId="77777777" w:rsidR="0040300B" w:rsidRDefault="0040300B">
            <w:pPr>
              <w:rPr>
                <w:rFonts w:ascii="宋体"/>
              </w:rPr>
            </w:pPr>
          </w:p>
        </w:tc>
        <w:tc>
          <w:tcPr>
            <w:tcW w:w="50" w:type="pct"/>
            <w:shd w:val="clear" w:color="auto" w:fill="auto"/>
          </w:tcPr>
          <w:p w14:paraId="7B66ED0C" w14:textId="77777777" w:rsidR="0040300B" w:rsidRDefault="0040300B">
            <w:pPr>
              <w:rPr>
                <w:rFonts w:ascii="宋体"/>
              </w:rPr>
            </w:pPr>
          </w:p>
        </w:tc>
        <w:tc>
          <w:tcPr>
            <w:tcW w:w="678" w:type="pct"/>
            <w:shd w:val="clear" w:color="auto" w:fill="auto"/>
          </w:tcPr>
          <w:p w14:paraId="7B66ED0D" w14:textId="77777777" w:rsidR="0040300B" w:rsidRDefault="0040300B">
            <w:pPr>
              <w:rPr>
                <w:rFonts w:ascii="宋体"/>
              </w:rPr>
            </w:pPr>
          </w:p>
        </w:tc>
        <w:tc>
          <w:tcPr>
            <w:tcW w:w="5" w:type="pct"/>
            <w:shd w:val="clear" w:color="auto" w:fill="auto"/>
          </w:tcPr>
          <w:p w14:paraId="7B66ED0E" w14:textId="77777777" w:rsidR="0040300B" w:rsidRDefault="0040300B">
            <w:pPr>
              <w:rPr>
                <w:rFonts w:ascii="宋体"/>
              </w:rPr>
            </w:pPr>
          </w:p>
        </w:tc>
        <w:tc>
          <w:tcPr>
            <w:tcW w:w="5" w:type="pct"/>
            <w:shd w:val="clear" w:color="auto" w:fill="auto"/>
          </w:tcPr>
          <w:p w14:paraId="7B66ED0F" w14:textId="77777777" w:rsidR="0040300B" w:rsidRDefault="0040300B">
            <w:pPr>
              <w:rPr>
                <w:rFonts w:ascii="宋体"/>
              </w:rPr>
            </w:pPr>
          </w:p>
        </w:tc>
        <w:tc>
          <w:tcPr>
            <w:tcW w:w="26" w:type="pct"/>
            <w:shd w:val="clear" w:color="auto" w:fill="auto"/>
          </w:tcPr>
          <w:p w14:paraId="7B66ED10" w14:textId="77777777" w:rsidR="0040300B" w:rsidRDefault="0040300B">
            <w:pPr>
              <w:rPr>
                <w:rFonts w:ascii="宋体"/>
              </w:rPr>
            </w:pPr>
          </w:p>
        </w:tc>
        <w:tc>
          <w:tcPr>
            <w:tcW w:w="5" w:type="pct"/>
            <w:shd w:val="clear" w:color="auto" w:fill="auto"/>
          </w:tcPr>
          <w:p w14:paraId="7B66ED11" w14:textId="77777777" w:rsidR="0040300B" w:rsidRDefault="0040300B">
            <w:pPr>
              <w:rPr>
                <w:rFonts w:ascii="宋体"/>
              </w:rPr>
            </w:pPr>
          </w:p>
        </w:tc>
        <w:tc>
          <w:tcPr>
            <w:tcW w:w="50" w:type="pct"/>
            <w:shd w:val="clear" w:color="auto" w:fill="auto"/>
          </w:tcPr>
          <w:p w14:paraId="7B66ED12" w14:textId="77777777" w:rsidR="0040300B" w:rsidRDefault="0040300B">
            <w:pPr>
              <w:rPr>
                <w:rFonts w:ascii="宋体"/>
              </w:rPr>
            </w:pPr>
          </w:p>
        </w:tc>
        <w:tc>
          <w:tcPr>
            <w:tcW w:w="678" w:type="pct"/>
            <w:shd w:val="clear" w:color="auto" w:fill="auto"/>
          </w:tcPr>
          <w:p w14:paraId="7B66ED13" w14:textId="77777777" w:rsidR="0040300B" w:rsidRDefault="0040300B">
            <w:pPr>
              <w:rPr>
                <w:rFonts w:ascii="宋体"/>
              </w:rPr>
            </w:pPr>
          </w:p>
        </w:tc>
        <w:tc>
          <w:tcPr>
            <w:tcW w:w="5" w:type="pct"/>
            <w:shd w:val="clear" w:color="auto" w:fill="auto"/>
          </w:tcPr>
          <w:p w14:paraId="7B66ED14" w14:textId="77777777" w:rsidR="0040300B" w:rsidRDefault="0040300B">
            <w:pPr>
              <w:rPr>
                <w:rFonts w:ascii="宋体"/>
              </w:rPr>
            </w:pPr>
          </w:p>
        </w:tc>
      </w:tr>
      <w:tr w:rsidR="0040300B" w14:paraId="7B66ED1B" w14:textId="77777777">
        <w:tc>
          <w:tcPr>
            <w:tcW w:w="0" w:type="auto"/>
            <w:gridSpan w:val="3"/>
            <w:shd w:val="clear" w:color="auto" w:fill="CCEEFF"/>
            <w:tcMar>
              <w:top w:w="40" w:type="dxa"/>
              <w:left w:w="20" w:type="dxa"/>
              <w:bottom w:w="40" w:type="dxa"/>
              <w:right w:w="20" w:type="dxa"/>
            </w:tcMar>
          </w:tcPr>
          <w:p w14:paraId="7B66ED16" w14:textId="77777777" w:rsidR="0040300B" w:rsidRDefault="00BB2D44">
            <w:pPr>
              <w:textAlignment w:val="top"/>
            </w:pPr>
            <w:r>
              <w:rPr>
                <w:rFonts w:ascii="Times New Roman" w:eastAsia="宋体" w:hAnsi="Times New Roman"/>
                <w:color w:val="000000"/>
                <w:sz w:val="20"/>
                <w:szCs w:val="20"/>
              </w:rPr>
              <w:t>Remaining Performance Obligations:</w:t>
            </w:r>
          </w:p>
        </w:tc>
        <w:tc>
          <w:tcPr>
            <w:tcW w:w="0" w:type="auto"/>
            <w:gridSpan w:val="3"/>
            <w:shd w:val="clear" w:color="auto" w:fill="CCEEFF"/>
            <w:tcMar>
              <w:top w:w="0" w:type="dxa"/>
              <w:left w:w="20" w:type="dxa"/>
              <w:bottom w:w="0" w:type="dxa"/>
              <w:right w:w="20" w:type="dxa"/>
            </w:tcMar>
          </w:tcPr>
          <w:p w14:paraId="7B66ED1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D1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D1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D1A" w14:textId="77777777" w:rsidR="0040300B" w:rsidRDefault="0040300B">
            <w:pPr>
              <w:rPr>
                <w:rFonts w:ascii="宋体"/>
              </w:rPr>
            </w:pPr>
          </w:p>
        </w:tc>
      </w:tr>
      <w:tr w:rsidR="0040300B" w14:paraId="7B66ED25" w14:textId="77777777">
        <w:tc>
          <w:tcPr>
            <w:tcW w:w="0" w:type="auto"/>
            <w:gridSpan w:val="3"/>
            <w:shd w:val="clear" w:color="auto" w:fill="FFFFFF"/>
            <w:tcMar>
              <w:top w:w="40" w:type="dxa"/>
              <w:left w:w="380" w:type="dxa"/>
              <w:bottom w:w="40" w:type="dxa"/>
              <w:right w:w="20" w:type="dxa"/>
            </w:tcMar>
          </w:tcPr>
          <w:p w14:paraId="7B66ED1C" w14:textId="77777777" w:rsidR="0040300B" w:rsidRDefault="00BB2D44">
            <w:pPr>
              <w:textAlignment w:val="top"/>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7B66ED1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D1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D1F" w14:textId="77777777" w:rsidR="0040300B" w:rsidRDefault="00BB2D44">
            <w:pPr>
              <w:jc w:val="right"/>
              <w:textAlignment w:val="bottom"/>
            </w:pPr>
            <w:r>
              <w:rPr>
                <w:rFonts w:ascii="Times New Roman" w:eastAsia="宋体" w:hAnsi="Times New Roman"/>
                <w:color w:val="000000"/>
                <w:sz w:val="20"/>
                <w:szCs w:val="20"/>
              </w:rPr>
              <w:t>11,903 </w:t>
            </w:r>
          </w:p>
        </w:tc>
        <w:tc>
          <w:tcPr>
            <w:tcW w:w="0" w:type="auto"/>
            <w:shd w:val="clear" w:color="auto" w:fill="FFFFFF"/>
            <w:tcMar>
              <w:top w:w="40" w:type="dxa"/>
              <w:left w:w="0" w:type="dxa"/>
              <w:bottom w:w="40" w:type="dxa"/>
              <w:right w:w="20" w:type="dxa"/>
            </w:tcMar>
            <w:vAlign w:val="bottom"/>
          </w:tcPr>
          <w:p w14:paraId="7B66ED2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2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D2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D23" w14:textId="77777777" w:rsidR="0040300B" w:rsidRDefault="00BB2D44">
            <w:pPr>
              <w:jc w:val="right"/>
              <w:textAlignment w:val="bottom"/>
            </w:pPr>
            <w:r>
              <w:rPr>
                <w:rFonts w:ascii="Times New Roman" w:eastAsia="宋体" w:hAnsi="Times New Roman"/>
                <w:color w:val="000000"/>
                <w:sz w:val="20"/>
                <w:szCs w:val="20"/>
              </w:rPr>
              <w:t>11,261 </w:t>
            </w:r>
          </w:p>
        </w:tc>
        <w:tc>
          <w:tcPr>
            <w:tcW w:w="0" w:type="auto"/>
            <w:shd w:val="clear" w:color="auto" w:fill="FFFFFF"/>
            <w:tcMar>
              <w:top w:w="40" w:type="dxa"/>
              <w:left w:w="0" w:type="dxa"/>
              <w:bottom w:w="40" w:type="dxa"/>
              <w:right w:w="20" w:type="dxa"/>
            </w:tcMar>
            <w:vAlign w:val="bottom"/>
          </w:tcPr>
          <w:p w14:paraId="7B66ED24" w14:textId="77777777" w:rsidR="0040300B" w:rsidRDefault="0040300B">
            <w:pPr>
              <w:jc w:val="right"/>
              <w:rPr>
                <w:rFonts w:ascii="宋体"/>
              </w:rPr>
            </w:pPr>
          </w:p>
        </w:tc>
      </w:tr>
      <w:tr w:rsidR="0040300B" w14:paraId="7B66ED2D" w14:textId="77777777">
        <w:tc>
          <w:tcPr>
            <w:tcW w:w="0" w:type="auto"/>
            <w:gridSpan w:val="3"/>
            <w:shd w:val="clear" w:color="auto" w:fill="CCEEFF"/>
            <w:tcMar>
              <w:top w:w="40" w:type="dxa"/>
              <w:left w:w="380" w:type="dxa"/>
              <w:bottom w:w="40" w:type="dxa"/>
              <w:right w:w="20" w:type="dxa"/>
            </w:tcMar>
          </w:tcPr>
          <w:p w14:paraId="7B66ED26" w14:textId="77777777" w:rsidR="0040300B" w:rsidRDefault="00BB2D44">
            <w:pPr>
              <w:textAlignment w:val="top"/>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7B66ED2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D28" w14:textId="77777777" w:rsidR="0040300B" w:rsidRDefault="00BB2D44">
            <w:pPr>
              <w:jc w:val="right"/>
              <w:textAlignment w:val="bottom"/>
            </w:pPr>
            <w:r>
              <w:rPr>
                <w:rFonts w:ascii="Times New Roman" w:eastAsia="宋体" w:hAnsi="Times New Roman"/>
                <w:color w:val="000000"/>
                <w:sz w:val="20"/>
                <w:szCs w:val="20"/>
              </w:rPr>
              <w:t>16,235 </w:t>
            </w:r>
          </w:p>
        </w:tc>
        <w:tc>
          <w:tcPr>
            <w:tcW w:w="0" w:type="auto"/>
            <w:shd w:val="clear" w:color="auto" w:fill="CCEEFF"/>
            <w:tcMar>
              <w:top w:w="40" w:type="dxa"/>
              <w:left w:w="0" w:type="dxa"/>
              <w:bottom w:w="40" w:type="dxa"/>
              <w:right w:w="20" w:type="dxa"/>
            </w:tcMar>
            <w:vAlign w:val="bottom"/>
          </w:tcPr>
          <w:p w14:paraId="7B66ED2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2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D2B" w14:textId="77777777" w:rsidR="0040300B" w:rsidRDefault="00BB2D44">
            <w:pPr>
              <w:jc w:val="right"/>
              <w:textAlignment w:val="bottom"/>
            </w:pPr>
            <w:r>
              <w:rPr>
                <w:rFonts w:ascii="Times New Roman" w:eastAsia="宋体" w:hAnsi="Times New Roman"/>
                <w:color w:val="000000"/>
                <w:sz w:val="20"/>
                <w:szCs w:val="20"/>
              </w:rPr>
              <w:t>17,093 </w:t>
            </w:r>
          </w:p>
        </w:tc>
        <w:tc>
          <w:tcPr>
            <w:tcW w:w="0" w:type="auto"/>
            <w:shd w:val="clear" w:color="auto" w:fill="CCEEFF"/>
            <w:tcMar>
              <w:top w:w="40" w:type="dxa"/>
              <w:left w:w="0" w:type="dxa"/>
              <w:bottom w:w="40" w:type="dxa"/>
              <w:right w:w="20" w:type="dxa"/>
            </w:tcMar>
            <w:vAlign w:val="bottom"/>
          </w:tcPr>
          <w:p w14:paraId="7B66ED2C" w14:textId="77777777" w:rsidR="0040300B" w:rsidRDefault="0040300B">
            <w:pPr>
              <w:jc w:val="right"/>
              <w:rPr>
                <w:rFonts w:ascii="宋体"/>
              </w:rPr>
            </w:pPr>
          </w:p>
        </w:tc>
      </w:tr>
      <w:tr w:rsidR="0040300B" w14:paraId="7B66ED37" w14:textId="77777777">
        <w:tc>
          <w:tcPr>
            <w:tcW w:w="0" w:type="auto"/>
            <w:gridSpan w:val="3"/>
            <w:shd w:val="clear" w:color="auto" w:fill="FFFFFF"/>
            <w:tcMar>
              <w:top w:w="40" w:type="dxa"/>
              <w:left w:w="1235" w:type="dxa"/>
              <w:bottom w:w="40" w:type="dxa"/>
              <w:right w:w="20" w:type="dxa"/>
            </w:tcMar>
          </w:tcPr>
          <w:p w14:paraId="7B66ED2E"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ED2F"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3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31" w14:textId="77777777" w:rsidR="0040300B" w:rsidRDefault="00BB2D44">
            <w:pPr>
              <w:jc w:val="right"/>
              <w:textAlignment w:val="bottom"/>
            </w:pPr>
            <w:r>
              <w:rPr>
                <w:rFonts w:ascii="Times New Roman" w:eastAsia="宋体" w:hAnsi="Times New Roman"/>
                <w:color w:val="000000"/>
                <w:sz w:val="20"/>
                <w:szCs w:val="20"/>
              </w:rPr>
              <w:t>28,138 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3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33"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3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35" w14:textId="77777777" w:rsidR="0040300B" w:rsidRDefault="00BB2D44">
            <w:pPr>
              <w:jc w:val="right"/>
              <w:textAlignment w:val="bottom"/>
            </w:pPr>
            <w:r>
              <w:rPr>
                <w:rFonts w:ascii="Times New Roman" w:eastAsia="宋体" w:hAnsi="Times New Roman"/>
                <w:color w:val="000000"/>
                <w:sz w:val="20"/>
                <w:szCs w:val="20"/>
              </w:rPr>
              <w:t>28,354 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36" w14:textId="77777777" w:rsidR="0040300B" w:rsidRDefault="0040300B">
            <w:pPr>
              <w:jc w:val="right"/>
              <w:rPr>
                <w:rFonts w:ascii="宋体"/>
              </w:rPr>
            </w:pPr>
          </w:p>
        </w:tc>
      </w:tr>
    </w:tbl>
    <w:p w14:paraId="7B66ED38" w14:textId="77777777" w:rsidR="0040300B" w:rsidRDefault="00BB2D44">
      <w:pPr>
        <w:spacing w:before="120"/>
        <w:jc w:val="both"/>
      </w:pPr>
      <w:r>
        <w:rPr>
          <w:rFonts w:ascii="Times New Roman" w:eastAsia="宋体" w:hAnsi="Times New Roman"/>
          <w:color w:val="000000"/>
          <w:sz w:val="20"/>
          <w:szCs w:val="20"/>
        </w:rPr>
        <w:t xml:space="preserve">Remaining Performance Obligations (RPO) are comprised of deferred revenue plus unbilled contract revenue. As of </w:t>
      </w:r>
      <w:r>
        <w:rPr>
          <w:rFonts w:ascii="Times New Roman" w:eastAsia="宋体" w:hAnsi="Times New Roman"/>
          <w:color w:val="000000"/>
          <w:sz w:val="20"/>
          <w:szCs w:val="20"/>
        </w:rPr>
        <w:t xml:space="preserve">May 1, 2021, the aggregate amount of RPO was comprised of $20.9 billion of deferred revenue and $7.2 billion of unbilled contract revenue. We expect approximately 53% of this amount to be recognized as revenue over the next 12 months. As of July 25, 2020, </w:t>
      </w:r>
      <w:r>
        <w:rPr>
          <w:rFonts w:ascii="Times New Roman" w:eastAsia="宋体" w:hAnsi="Times New Roman"/>
          <w:color w:val="000000"/>
          <w:sz w:val="20"/>
          <w:szCs w:val="20"/>
        </w:rPr>
        <w:t>the aggregate amount of RPO was comprised of $20.4 billion of deferred revenue and $7.9 billion of unbilled contract revenue. Unbilled contract revenue represents noncancelable contracts for which we have not invoiced, have an obligation to perform, and re</w:t>
      </w:r>
      <w:r>
        <w:rPr>
          <w:rFonts w:ascii="Times New Roman" w:eastAsia="宋体" w:hAnsi="Times New Roman"/>
          <w:color w:val="000000"/>
          <w:sz w:val="20"/>
          <w:szCs w:val="20"/>
        </w:rPr>
        <w:t>venue has not yet been recognized in the financial statements.</w:t>
      </w:r>
    </w:p>
    <w:p w14:paraId="7B66ED39" w14:textId="77777777" w:rsidR="0040300B" w:rsidRDefault="00BB2D44">
      <w:pPr>
        <w:jc w:val="center"/>
      </w:pPr>
      <w:r>
        <w:rPr>
          <w:rFonts w:ascii="Times New Roman" w:eastAsia="宋体" w:hAnsi="Times New Roman"/>
          <w:color w:val="000000"/>
          <w:sz w:val="20"/>
          <w:szCs w:val="20"/>
        </w:rPr>
        <w:t>16</w:t>
      </w:r>
    </w:p>
    <w:p w14:paraId="7B66ED3A" w14:textId="77777777" w:rsidR="0040300B" w:rsidRDefault="00BB2D44">
      <w:r>
        <w:pict w14:anchorId="7B671C20">
          <v:rect id="_x0000_i1040" style="width:415.3pt;height:1.5pt" o:hralign="center" o:hrstd="t" o:hr="t" fillcolor="#a0a0a0" stroked="f"/>
        </w:pict>
      </w:r>
    </w:p>
    <w:p w14:paraId="7B66ED3B" w14:textId="77777777" w:rsidR="0040300B" w:rsidRDefault="00BB2D44">
      <w:hyperlink r:id="rId62" w:anchor="i52d5b40dbad7426a9806a2fd5167029f_7" w:history="1">
        <w:r>
          <w:rPr>
            <w:rStyle w:val="a5"/>
            <w:rFonts w:ascii="Times New Roman" w:eastAsia="宋体" w:hAnsi="Times New Roman"/>
            <w:sz w:val="18"/>
            <w:szCs w:val="18"/>
          </w:rPr>
          <w:t>Table of Contents</w:t>
        </w:r>
      </w:hyperlink>
    </w:p>
    <w:p w14:paraId="7B66ED3C" w14:textId="77777777" w:rsidR="0040300B" w:rsidRDefault="00BB2D44">
      <w:pPr>
        <w:jc w:val="center"/>
      </w:pPr>
      <w:r>
        <w:rPr>
          <w:rFonts w:ascii="Times New Roman" w:eastAsia="宋体" w:hAnsi="Times New Roman"/>
          <w:b/>
          <w:bCs/>
          <w:color w:val="000000"/>
          <w:sz w:val="18"/>
          <w:szCs w:val="18"/>
        </w:rPr>
        <w:t>CISCO SYSTEMS, INC.</w:t>
      </w:r>
    </w:p>
    <w:p w14:paraId="7B66ED3D" w14:textId="77777777" w:rsidR="0040300B" w:rsidRDefault="00BB2D44">
      <w:pPr>
        <w:jc w:val="center"/>
      </w:pPr>
      <w:r>
        <w:rPr>
          <w:rFonts w:ascii="Times New Roman" w:eastAsia="宋体" w:hAnsi="Times New Roman"/>
          <w:b/>
          <w:bCs/>
          <w:color w:val="000000"/>
          <w:sz w:val="18"/>
          <w:szCs w:val="18"/>
        </w:rPr>
        <w:t>N</w:t>
      </w:r>
      <w:r>
        <w:rPr>
          <w:rFonts w:ascii="Times New Roman" w:eastAsia="宋体" w:hAnsi="Times New Roman"/>
          <w:b/>
          <w:bCs/>
          <w:color w:val="000000"/>
          <w:sz w:val="18"/>
          <w:szCs w:val="18"/>
        </w:rPr>
        <w:t>OTES TO CONSOLIDATED FINANCIAL STATEMENTS (Continued)</w:t>
      </w:r>
    </w:p>
    <w:p w14:paraId="7B66ED3E" w14:textId="77777777" w:rsidR="0040300B" w:rsidRDefault="00BB2D44">
      <w:pPr>
        <w:jc w:val="center"/>
      </w:pPr>
      <w:r>
        <w:rPr>
          <w:rFonts w:ascii="Times New Roman" w:eastAsia="宋体" w:hAnsi="Times New Roman"/>
          <w:b/>
          <w:bCs/>
          <w:color w:val="000000"/>
          <w:sz w:val="18"/>
          <w:szCs w:val="18"/>
        </w:rPr>
        <w:t xml:space="preserve">(Unaudited) </w:t>
      </w:r>
    </w:p>
    <w:p w14:paraId="7B66ED3F" w14:textId="77777777" w:rsidR="0040300B" w:rsidRDefault="0040300B">
      <w:pPr>
        <w:jc w:val="center"/>
      </w:pPr>
    </w:p>
    <w:p w14:paraId="7B66ED40" w14:textId="77777777" w:rsidR="0040300B" w:rsidRDefault="00BB2D44">
      <w:pPr>
        <w:ind w:hanging="360"/>
      </w:pPr>
      <w:r>
        <w:rPr>
          <w:rFonts w:ascii="Times New Roman" w:eastAsia="宋体" w:hAnsi="Times New Roman"/>
          <w:b/>
          <w:bCs/>
          <w:color w:val="000000"/>
          <w:sz w:val="20"/>
          <w:szCs w:val="20"/>
        </w:rPr>
        <w:t xml:space="preserve">8.Leases </w:t>
      </w:r>
    </w:p>
    <w:p w14:paraId="7B66ED41" w14:textId="77777777" w:rsidR="0040300B" w:rsidRDefault="00BB2D44">
      <w:pPr>
        <w:spacing w:before="120"/>
        <w:ind w:hanging="360"/>
        <w:jc w:val="both"/>
      </w:pPr>
      <w:r>
        <w:rPr>
          <w:rFonts w:ascii="Times New Roman" w:eastAsia="宋体" w:hAnsi="Times New Roman"/>
          <w:b/>
          <w:bCs/>
          <w:color w:val="000000"/>
          <w:sz w:val="20"/>
          <w:szCs w:val="20"/>
        </w:rPr>
        <w:t>(a)Lessee Arrangements</w:t>
      </w:r>
    </w:p>
    <w:p w14:paraId="7B66ED42" w14:textId="77777777" w:rsidR="0040300B" w:rsidRDefault="00BB2D44">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40300B" w14:paraId="7B66ED55" w14:textId="77777777">
        <w:tc>
          <w:tcPr>
            <w:tcW w:w="50" w:type="pct"/>
            <w:shd w:val="clear" w:color="auto" w:fill="auto"/>
          </w:tcPr>
          <w:p w14:paraId="7B66ED43" w14:textId="77777777" w:rsidR="0040300B" w:rsidRDefault="0040300B">
            <w:pPr>
              <w:rPr>
                <w:rFonts w:ascii="宋体"/>
              </w:rPr>
            </w:pPr>
          </w:p>
        </w:tc>
        <w:tc>
          <w:tcPr>
            <w:tcW w:w="1999" w:type="pct"/>
            <w:shd w:val="clear" w:color="auto" w:fill="auto"/>
          </w:tcPr>
          <w:p w14:paraId="7B66ED44" w14:textId="77777777" w:rsidR="0040300B" w:rsidRDefault="0040300B">
            <w:pPr>
              <w:rPr>
                <w:rFonts w:ascii="宋体"/>
              </w:rPr>
            </w:pPr>
          </w:p>
        </w:tc>
        <w:tc>
          <w:tcPr>
            <w:tcW w:w="5" w:type="pct"/>
            <w:shd w:val="clear" w:color="auto" w:fill="auto"/>
          </w:tcPr>
          <w:p w14:paraId="7B66ED45" w14:textId="77777777" w:rsidR="0040300B" w:rsidRDefault="0040300B">
            <w:pPr>
              <w:rPr>
                <w:rFonts w:ascii="宋体"/>
              </w:rPr>
            </w:pPr>
          </w:p>
        </w:tc>
        <w:tc>
          <w:tcPr>
            <w:tcW w:w="50" w:type="pct"/>
            <w:shd w:val="clear" w:color="auto" w:fill="auto"/>
          </w:tcPr>
          <w:p w14:paraId="7B66ED46" w14:textId="77777777" w:rsidR="0040300B" w:rsidRDefault="0040300B">
            <w:pPr>
              <w:rPr>
                <w:rFonts w:ascii="宋体"/>
              </w:rPr>
            </w:pPr>
          </w:p>
        </w:tc>
        <w:tc>
          <w:tcPr>
            <w:tcW w:w="1136" w:type="pct"/>
            <w:shd w:val="clear" w:color="auto" w:fill="auto"/>
          </w:tcPr>
          <w:p w14:paraId="7B66ED47" w14:textId="77777777" w:rsidR="0040300B" w:rsidRDefault="0040300B">
            <w:pPr>
              <w:rPr>
                <w:rFonts w:ascii="宋体"/>
              </w:rPr>
            </w:pPr>
          </w:p>
        </w:tc>
        <w:tc>
          <w:tcPr>
            <w:tcW w:w="5" w:type="pct"/>
            <w:shd w:val="clear" w:color="auto" w:fill="auto"/>
          </w:tcPr>
          <w:p w14:paraId="7B66ED48" w14:textId="77777777" w:rsidR="0040300B" w:rsidRDefault="0040300B">
            <w:pPr>
              <w:rPr>
                <w:rFonts w:ascii="宋体"/>
              </w:rPr>
            </w:pPr>
          </w:p>
        </w:tc>
        <w:tc>
          <w:tcPr>
            <w:tcW w:w="5" w:type="pct"/>
            <w:shd w:val="clear" w:color="auto" w:fill="auto"/>
          </w:tcPr>
          <w:p w14:paraId="7B66ED49" w14:textId="77777777" w:rsidR="0040300B" w:rsidRDefault="0040300B">
            <w:pPr>
              <w:rPr>
                <w:rFonts w:ascii="宋体"/>
              </w:rPr>
            </w:pPr>
          </w:p>
        </w:tc>
        <w:tc>
          <w:tcPr>
            <w:tcW w:w="26" w:type="pct"/>
            <w:shd w:val="clear" w:color="auto" w:fill="auto"/>
          </w:tcPr>
          <w:p w14:paraId="7B66ED4A" w14:textId="77777777" w:rsidR="0040300B" w:rsidRDefault="0040300B">
            <w:pPr>
              <w:rPr>
                <w:rFonts w:ascii="宋体"/>
              </w:rPr>
            </w:pPr>
          </w:p>
        </w:tc>
        <w:tc>
          <w:tcPr>
            <w:tcW w:w="5" w:type="pct"/>
            <w:shd w:val="clear" w:color="auto" w:fill="auto"/>
          </w:tcPr>
          <w:p w14:paraId="7B66ED4B" w14:textId="77777777" w:rsidR="0040300B" w:rsidRDefault="0040300B">
            <w:pPr>
              <w:rPr>
                <w:rFonts w:ascii="宋体"/>
              </w:rPr>
            </w:pPr>
          </w:p>
        </w:tc>
        <w:tc>
          <w:tcPr>
            <w:tcW w:w="50" w:type="pct"/>
            <w:shd w:val="clear" w:color="auto" w:fill="auto"/>
          </w:tcPr>
          <w:p w14:paraId="7B66ED4C" w14:textId="77777777" w:rsidR="0040300B" w:rsidRDefault="0040300B">
            <w:pPr>
              <w:rPr>
                <w:rFonts w:ascii="宋体"/>
              </w:rPr>
            </w:pPr>
          </w:p>
        </w:tc>
        <w:tc>
          <w:tcPr>
            <w:tcW w:w="785" w:type="pct"/>
            <w:shd w:val="clear" w:color="auto" w:fill="auto"/>
          </w:tcPr>
          <w:p w14:paraId="7B66ED4D" w14:textId="77777777" w:rsidR="0040300B" w:rsidRDefault="0040300B">
            <w:pPr>
              <w:rPr>
                <w:rFonts w:ascii="宋体"/>
              </w:rPr>
            </w:pPr>
          </w:p>
        </w:tc>
        <w:tc>
          <w:tcPr>
            <w:tcW w:w="5" w:type="pct"/>
            <w:shd w:val="clear" w:color="auto" w:fill="auto"/>
          </w:tcPr>
          <w:p w14:paraId="7B66ED4E" w14:textId="77777777" w:rsidR="0040300B" w:rsidRDefault="0040300B">
            <w:pPr>
              <w:rPr>
                <w:rFonts w:ascii="宋体"/>
              </w:rPr>
            </w:pPr>
          </w:p>
        </w:tc>
        <w:tc>
          <w:tcPr>
            <w:tcW w:w="5" w:type="pct"/>
            <w:shd w:val="clear" w:color="auto" w:fill="auto"/>
          </w:tcPr>
          <w:p w14:paraId="7B66ED4F" w14:textId="77777777" w:rsidR="0040300B" w:rsidRDefault="0040300B">
            <w:pPr>
              <w:rPr>
                <w:rFonts w:ascii="宋体"/>
              </w:rPr>
            </w:pPr>
          </w:p>
        </w:tc>
        <w:tc>
          <w:tcPr>
            <w:tcW w:w="26" w:type="pct"/>
            <w:shd w:val="clear" w:color="auto" w:fill="auto"/>
          </w:tcPr>
          <w:p w14:paraId="7B66ED50" w14:textId="77777777" w:rsidR="0040300B" w:rsidRDefault="0040300B">
            <w:pPr>
              <w:rPr>
                <w:rFonts w:ascii="宋体"/>
              </w:rPr>
            </w:pPr>
          </w:p>
        </w:tc>
        <w:tc>
          <w:tcPr>
            <w:tcW w:w="5" w:type="pct"/>
            <w:shd w:val="clear" w:color="auto" w:fill="auto"/>
          </w:tcPr>
          <w:p w14:paraId="7B66ED51" w14:textId="77777777" w:rsidR="0040300B" w:rsidRDefault="0040300B">
            <w:pPr>
              <w:rPr>
                <w:rFonts w:ascii="宋体"/>
              </w:rPr>
            </w:pPr>
          </w:p>
        </w:tc>
        <w:tc>
          <w:tcPr>
            <w:tcW w:w="50" w:type="pct"/>
            <w:shd w:val="clear" w:color="auto" w:fill="auto"/>
          </w:tcPr>
          <w:p w14:paraId="7B66ED52" w14:textId="77777777" w:rsidR="0040300B" w:rsidRDefault="0040300B">
            <w:pPr>
              <w:rPr>
                <w:rFonts w:ascii="宋体"/>
              </w:rPr>
            </w:pPr>
          </w:p>
        </w:tc>
        <w:tc>
          <w:tcPr>
            <w:tcW w:w="785" w:type="pct"/>
            <w:shd w:val="clear" w:color="auto" w:fill="auto"/>
          </w:tcPr>
          <w:p w14:paraId="7B66ED53" w14:textId="77777777" w:rsidR="0040300B" w:rsidRDefault="0040300B">
            <w:pPr>
              <w:rPr>
                <w:rFonts w:ascii="宋体"/>
              </w:rPr>
            </w:pPr>
          </w:p>
        </w:tc>
        <w:tc>
          <w:tcPr>
            <w:tcW w:w="5" w:type="pct"/>
            <w:shd w:val="clear" w:color="auto" w:fill="auto"/>
          </w:tcPr>
          <w:p w14:paraId="7B66ED54" w14:textId="77777777" w:rsidR="0040300B" w:rsidRDefault="0040300B">
            <w:pPr>
              <w:rPr>
                <w:rFonts w:ascii="宋体"/>
              </w:rPr>
            </w:pPr>
          </w:p>
        </w:tc>
      </w:tr>
      <w:tr w:rsidR="0040300B" w14:paraId="7B66ED5C" w14:textId="77777777">
        <w:tc>
          <w:tcPr>
            <w:tcW w:w="0" w:type="auto"/>
            <w:gridSpan w:val="3"/>
            <w:shd w:val="clear" w:color="auto" w:fill="auto"/>
            <w:tcMar>
              <w:top w:w="0" w:type="dxa"/>
              <w:left w:w="20" w:type="dxa"/>
              <w:bottom w:w="0" w:type="dxa"/>
              <w:right w:w="20" w:type="dxa"/>
            </w:tcMar>
          </w:tcPr>
          <w:p w14:paraId="7B66ED5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D57" w14:textId="77777777" w:rsidR="0040300B" w:rsidRDefault="00BB2D44">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tcPr>
          <w:p w14:paraId="7B66ED5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D59"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ED5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D5B"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ED67" w14:textId="77777777">
        <w:tc>
          <w:tcPr>
            <w:tcW w:w="0" w:type="auto"/>
            <w:gridSpan w:val="3"/>
            <w:shd w:val="clear" w:color="auto" w:fill="CCEEFF"/>
            <w:tcMar>
              <w:top w:w="40" w:type="dxa"/>
              <w:left w:w="20" w:type="dxa"/>
              <w:bottom w:w="40" w:type="dxa"/>
              <w:right w:w="20" w:type="dxa"/>
            </w:tcMar>
          </w:tcPr>
          <w:p w14:paraId="7B66ED5D" w14:textId="77777777" w:rsidR="0040300B" w:rsidRDefault="00BB2D44">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6ED5E" w14:textId="77777777" w:rsidR="0040300B" w:rsidRDefault="00BB2D44">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tcPr>
          <w:p w14:paraId="7B66ED5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D6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61" w14:textId="77777777" w:rsidR="0040300B" w:rsidRDefault="00BB2D44">
            <w:pPr>
              <w:jc w:val="right"/>
              <w:textAlignment w:val="bottom"/>
            </w:pPr>
            <w:r>
              <w:rPr>
                <w:rFonts w:ascii="Times New Roman" w:eastAsia="宋体" w:hAnsi="Times New Roman"/>
                <w:color w:val="000000"/>
                <w:sz w:val="20"/>
                <w:szCs w:val="20"/>
              </w:rPr>
              <w:t>928 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6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6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D6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65" w14:textId="77777777" w:rsidR="0040300B" w:rsidRDefault="00BB2D44">
            <w:pPr>
              <w:jc w:val="right"/>
              <w:textAlignment w:val="bottom"/>
            </w:pPr>
            <w:r>
              <w:rPr>
                <w:rFonts w:ascii="Times New Roman" w:eastAsia="宋体" w:hAnsi="Times New Roman"/>
                <w:color w:val="000000"/>
                <w:sz w:val="20"/>
                <w:szCs w:val="20"/>
              </w:rPr>
              <w:t>921 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66" w14:textId="77777777" w:rsidR="0040300B" w:rsidRDefault="0040300B">
            <w:pPr>
              <w:jc w:val="right"/>
              <w:rPr>
                <w:rFonts w:ascii="宋体"/>
              </w:rPr>
            </w:pPr>
          </w:p>
        </w:tc>
      </w:tr>
      <w:tr w:rsidR="0040300B" w14:paraId="7B66ED6E" w14:textId="77777777">
        <w:trPr>
          <w:trHeight w:val="280"/>
        </w:trPr>
        <w:tc>
          <w:tcPr>
            <w:tcW w:w="0" w:type="auto"/>
            <w:gridSpan w:val="3"/>
            <w:shd w:val="clear" w:color="auto" w:fill="FFFFFF"/>
            <w:tcMar>
              <w:top w:w="0" w:type="dxa"/>
              <w:left w:w="20" w:type="dxa"/>
              <w:bottom w:w="0" w:type="dxa"/>
              <w:right w:w="20" w:type="dxa"/>
            </w:tcMar>
          </w:tcPr>
          <w:p w14:paraId="7B66ED6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D6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D6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D6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D6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D6D" w14:textId="77777777" w:rsidR="0040300B" w:rsidRDefault="0040300B">
            <w:pPr>
              <w:rPr>
                <w:rFonts w:ascii="宋体"/>
              </w:rPr>
            </w:pPr>
          </w:p>
        </w:tc>
      </w:tr>
      <w:tr w:rsidR="0040300B" w14:paraId="7B66ED79" w14:textId="77777777">
        <w:tc>
          <w:tcPr>
            <w:tcW w:w="0" w:type="auto"/>
            <w:gridSpan w:val="3"/>
            <w:shd w:val="clear" w:color="auto" w:fill="CCEEFF"/>
            <w:tcMar>
              <w:top w:w="40" w:type="dxa"/>
              <w:left w:w="20" w:type="dxa"/>
              <w:bottom w:w="40" w:type="dxa"/>
              <w:right w:w="20" w:type="dxa"/>
            </w:tcMar>
          </w:tcPr>
          <w:p w14:paraId="7B66ED6F" w14:textId="77777777" w:rsidR="0040300B" w:rsidRDefault="00BB2D44">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7B66ED70" w14:textId="77777777" w:rsidR="0040300B" w:rsidRDefault="00BB2D44">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tcPr>
          <w:p w14:paraId="7B66ED71"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D7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D73" w14:textId="77777777" w:rsidR="0040300B" w:rsidRDefault="00BB2D44">
            <w:pPr>
              <w:jc w:val="right"/>
              <w:textAlignment w:val="bottom"/>
            </w:pPr>
            <w:r>
              <w:rPr>
                <w:rFonts w:ascii="Times New Roman" w:eastAsia="宋体" w:hAnsi="Times New Roman"/>
                <w:color w:val="000000"/>
                <w:sz w:val="20"/>
                <w:szCs w:val="20"/>
              </w:rPr>
              <w:t>335 </w:t>
            </w:r>
          </w:p>
        </w:tc>
        <w:tc>
          <w:tcPr>
            <w:tcW w:w="0" w:type="auto"/>
            <w:shd w:val="clear" w:color="auto" w:fill="CCEEFF"/>
            <w:tcMar>
              <w:top w:w="40" w:type="dxa"/>
              <w:left w:w="0" w:type="dxa"/>
              <w:bottom w:w="40" w:type="dxa"/>
              <w:right w:w="20" w:type="dxa"/>
            </w:tcMar>
            <w:vAlign w:val="bottom"/>
          </w:tcPr>
          <w:p w14:paraId="7B66ED7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75"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D7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D77" w14:textId="77777777" w:rsidR="0040300B" w:rsidRDefault="00BB2D44">
            <w:pPr>
              <w:jc w:val="right"/>
              <w:textAlignment w:val="bottom"/>
            </w:pPr>
            <w:r>
              <w:rPr>
                <w:rFonts w:ascii="Times New Roman" w:eastAsia="宋体" w:hAnsi="Times New Roman"/>
                <w:color w:val="000000"/>
                <w:sz w:val="20"/>
                <w:szCs w:val="20"/>
              </w:rPr>
              <w:t>341 </w:t>
            </w:r>
          </w:p>
        </w:tc>
        <w:tc>
          <w:tcPr>
            <w:tcW w:w="0" w:type="auto"/>
            <w:shd w:val="clear" w:color="auto" w:fill="CCEEFF"/>
            <w:tcMar>
              <w:top w:w="40" w:type="dxa"/>
              <w:left w:w="0" w:type="dxa"/>
              <w:bottom w:w="40" w:type="dxa"/>
              <w:right w:w="20" w:type="dxa"/>
            </w:tcMar>
            <w:vAlign w:val="bottom"/>
          </w:tcPr>
          <w:p w14:paraId="7B66ED78" w14:textId="77777777" w:rsidR="0040300B" w:rsidRDefault="0040300B">
            <w:pPr>
              <w:jc w:val="right"/>
              <w:rPr>
                <w:rFonts w:ascii="宋体"/>
              </w:rPr>
            </w:pPr>
          </w:p>
        </w:tc>
      </w:tr>
      <w:tr w:rsidR="0040300B" w14:paraId="7B66ED82" w14:textId="77777777">
        <w:tc>
          <w:tcPr>
            <w:tcW w:w="0" w:type="auto"/>
            <w:gridSpan w:val="3"/>
            <w:shd w:val="clear" w:color="auto" w:fill="FFFFFF"/>
            <w:tcMar>
              <w:top w:w="40" w:type="dxa"/>
              <w:left w:w="20" w:type="dxa"/>
              <w:bottom w:w="40" w:type="dxa"/>
              <w:right w:w="20" w:type="dxa"/>
            </w:tcMar>
          </w:tcPr>
          <w:p w14:paraId="7B66ED7A" w14:textId="77777777" w:rsidR="0040300B" w:rsidRDefault="00BB2D44">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7B66ED7B" w14:textId="77777777" w:rsidR="0040300B" w:rsidRDefault="00BB2D44">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7B66ED7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D7D" w14:textId="77777777" w:rsidR="0040300B" w:rsidRDefault="00BB2D44">
            <w:pPr>
              <w:jc w:val="right"/>
              <w:textAlignment w:val="bottom"/>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bottom"/>
          </w:tcPr>
          <w:p w14:paraId="7B66ED7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7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D80" w14:textId="77777777" w:rsidR="0040300B" w:rsidRDefault="00BB2D44">
            <w:pPr>
              <w:jc w:val="right"/>
              <w:textAlignment w:val="bottom"/>
            </w:pPr>
            <w:r>
              <w:rPr>
                <w:rFonts w:ascii="Times New Roman" w:eastAsia="宋体" w:hAnsi="Times New Roman"/>
                <w:color w:val="000000"/>
                <w:sz w:val="20"/>
                <w:szCs w:val="20"/>
              </w:rPr>
              <w:t>661 </w:t>
            </w:r>
          </w:p>
        </w:tc>
        <w:tc>
          <w:tcPr>
            <w:tcW w:w="0" w:type="auto"/>
            <w:shd w:val="clear" w:color="auto" w:fill="FFFFFF"/>
            <w:tcMar>
              <w:top w:w="40" w:type="dxa"/>
              <w:left w:w="0" w:type="dxa"/>
              <w:bottom w:w="40" w:type="dxa"/>
              <w:right w:w="20" w:type="dxa"/>
            </w:tcMar>
            <w:vAlign w:val="bottom"/>
          </w:tcPr>
          <w:p w14:paraId="7B66ED81" w14:textId="77777777" w:rsidR="0040300B" w:rsidRDefault="0040300B">
            <w:pPr>
              <w:jc w:val="right"/>
              <w:rPr>
                <w:rFonts w:ascii="宋体"/>
              </w:rPr>
            </w:pPr>
          </w:p>
        </w:tc>
      </w:tr>
      <w:tr w:rsidR="0040300B" w14:paraId="7B66ED8D" w14:textId="77777777">
        <w:tc>
          <w:tcPr>
            <w:tcW w:w="0" w:type="auto"/>
            <w:gridSpan w:val="3"/>
            <w:shd w:val="clear" w:color="auto" w:fill="CCEEFF"/>
            <w:tcMar>
              <w:top w:w="40" w:type="dxa"/>
              <w:left w:w="260" w:type="dxa"/>
              <w:bottom w:w="40" w:type="dxa"/>
              <w:right w:w="20" w:type="dxa"/>
            </w:tcMar>
          </w:tcPr>
          <w:p w14:paraId="7B66ED83" w14:textId="77777777" w:rsidR="0040300B" w:rsidRDefault="00BB2D44">
            <w:pPr>
              <w:textAlignment w:val="top"/>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tcPr>
          <w:p w14:paraId="7B66ED8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ED8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D8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D87" w14:textId="77777777" w:rsidR="0040300B" w:rsidRDefault="00BB2D44">
            <w:pPr>
              <w:jc w:val="right"/>
              <w:textAlignment w:val="bottom"/>
            </w:pPr>
            <w:r>
              <w:rPr>
                <w:rFonts w:ascii="Times New Roman" w:eastAsia="宋体" w:hAnsi="Times New Roman"/>
                <w:color w:val="000000"/>
                <w:sz w:val="20"/>
                <w:szCs w:val="20"/>
              </w:rPr>
              <w:t>1,006 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D8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8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D8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D8B" w14:textId="77777777" w:rsidR="0040300B" w:rsidRDefault="00BB2D44">
            <w:pPr>
              <w:jc w:val="right"/>
              <w:textAlignment w:val="bottom"/>
            </w:pPr>
            <w:r>
              <w:rPr>
                <w:rFonts w:ascii="Times New Roman" w:eastAsia="宋体" w:hAnsi="Times New Roman"/>
                <w:color w:val="000000"/>
                <w:sz w:val="20"/>
                <w:szCs w:val="20"/>
              </w:rPr>
              <w:t>1,002 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D8C" w14:textId="77777777" w:rsidR="0040300B" w:rsidRDefault="0040300B">
            <w:pPr>
              <w:jc w:val="right"/>
              <w:rPr>
                <w:rFonts w:ascii="宋体"/>
              </w:rPr>
            </w:pPr>
          </w:p>
        </w:tc>
      </w:tr>
    </w:tbl>
    <w:p w14:paraId="7B66ED8E" w14:textId="77777777" w:rsidR="0040300B" w:rsidRDefault="00BB2D44">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50"/>
        <w:gridCol w:w="38"/>
        <w:gridCol w:w="120"/>
        <w:gridCol w:w="747"/>
        <w:gridCol w:w="36"/>
        <w:gridCol w:w="36"/>
        <w:gridCol w:w="36"/>
        <w:gridCol w:w="36"/>
        <w:gridCol w:w="120"/>
        <w:gridCol w:w="704"/>
        <w:gridCol w:w="36"/>
        <w:gridCol w:w="36"/>
        <w:gridCol w:w="36"/>
        <w:gridCol w:w="36"/>
        <w:gridCol w:w="120"/>
        <w:gridCol w:w="704"/>
        <w:gridCol w:w="36"/>
        <w:gridCol w:w="36"/>
        <w:gridCol w:w="36"/>
        <w:gridCol w:w="36"/>
        <w:gridCol w:w="120"/>
        <w:gridCol w:w="706"/>
        <w:gridCol w:w="36"/>
      </w:tblGrid>
      <w:tr w:rsidR="0040300B" w14:paraId="7B66EDA7" w14:textId="77777777">
        <w:trPr>
          <w:jc w:val="center"/>
        </w:trPr>
        <w:tc>
          <w:tcPr>
            <w:tcW w:w="50" w:type="pct"/>
            <w:shd w:val="clear" w:color="auto" w:fill="auto"/>
          </w:tcPr>
          <w:p w14:paraId="7B66ED8F" w14:textId="77777777" w:rsidR="0040300B" w:rsidRDefault="0040300B">
            <w:pPr>
              <w:rPr>
                <w:rFonts w:ascii="宋体"/>
              </w:rPr>
            </w:pPr>
          </w:p>
        </w:tc>
        <w:tc>
          <w:tcPr>
            <w:tcW w:w="2700" w:type="pct"/>
            <w:shd w:val="clear" w:color="auto" w:fill="auto"/>
          </w:tcPr>
          <w:p w14:paraId="7B66ED90" w14:textId="77777777" w:rsidR="0040300B" w:rsidRDefault="0040300B">
            <w:pPr>
              <w:rPr>
                <w:rFonts w:ascii="宋体"/>
              </w:rPr>
            </w:pPr>
          </w:p>
        </w:tc>
        <w:tc>
          <w:tcPr>
            <w:tcW w:w="5" w:type="pct"/>
            <w:shd w:val="clear" w:color="auto" w:fill="auto"/>
          </w:tcPr>
          <w:p w14:paraId="7B66ED91" w14:textId="77777777" w:rsidR="0040300B" w:rsidRDefault="0040300B">
            <w:pPr>
              <w:rPr>
                <w:rFonts w:ascii="宋体"/>
              </w:rPr>
            </w:pPr>
          </w:p>
        </w:tc>
        <w:tc>
          <w:tcPr>
            <w:tcW w:w="50" w:type="pct"/>
            <w:shd w:val="clear" w:color="auto" w:fill="auto"/>
          </w:tcPr>
          <w:p w14:paraId="7B66ED92" w14:textId="77777777" w:rsidR="0040300B" w:rsidRDefault="0040300B">
            <w:pPr>
              <w:rPr>
                <w:rFonts w:ascii="宋体"/>
              </w:rPr>
            </w:pPr>
          </w:p>
        </w:tc>
        <w:tc>
          <w:tcPr>
            <w:tcW w:w="478" w:type="pct"/>
            <w:shd w:val="clear" w:color="auto" w:fill="auto"/>
          </w:tcPr>
          <w:p w14:paraId="7B66ED93" w14:textId="77777777" w:rsidR="0040300B" w:rsidRDefault="0040300B">
            <w:pPr>
              <w:rPr>
                <w:rFonts w:ascii="宋体"/>
              </w:rPr>
            </w:pPr>
          </w:p>
        </w:tc>
        <w:tc>
          <w:tcPr>
            <w:tcW w:w="5" w:type="pct"/>
            <w:shd w:val="clear" w:color="auto" w:fill="auto"/>
          </w:tcPr>
          <w:p w14:paraId="7B66ED94" w14:textId="77777777" w:rsidR="0040300B" w:rsidRDefault="0040300B">
            <w:pPr>
              <w:rPr>
                <w:rFonts w:ascii="宋体"/>
              </w:rPr>
            </w:pPr>
          </w:p>
        </w:tc>
        <w:tc>
          <w:tcPr>
            <w:tcW w:w="5" w:type="pct"/>
            <w:shd w:val="clear" w:color="auto" w:fill="auto"/>
          </w:tcPr>
          <w:p w14:paraId="7B66ED95" w14:textId="77777777" w:rsidR="0040300B" w:rsidRDefault="0040300B">
            <w:pPr>
              <w:rPr>
                <w:rFonts w:ascii="宋体"/>
              </w:rPr>
            </w:pPr>
          </w:p>
        </w:tc>
        <w:tc>
          <w:tcPr>
            <w:tcW w:w="26" w:type="pct"/>
            <w:shd w:val="clear" w:color="auto" w:fill="auto"/>
          </w:tcPr>
          <w:p w14:paraId="7B66ED96" w14:textId="77777777" w:rsidR="0040300B" w:rsidRDefault="0040300B">
            <w:pPr>
              <w:rPr>
                <w:rFonts w:ascii="宋体"/>
              </w:rPr>
            </w:pPr>
          </w:p>
        </w:tc>
        <w:tc>
          <w:tcPr>
            <w:tcW w:w="5" w:type="pct"/>
            <w:shd w:val="clear" w:color="auto" w:fill="auto"/>
          </w:tcPr>
          <w:p w14:paraId="7B66ED97" w14:textId="77777777" w:rsidR="0040300B" w:rsidRDefault="0040300B">
            <w:pPr>
              <w:rPr>
                <w:rFonts w:ascii="宋体"/>
              </w:rPr>
            </w:pPr>
          </w:p>
        </w:tc>
        <w:tc>
          <w:tcPr>
            <w:tcW w:w="50" w:type="pct"/>
            <w:shd w:val="clear" w:color="auto" w:fill="auto"/>
          </w:tcPr>
          <w:p w14:paraId="7B66ED98" w14:textId="77777777" w:rsidR="0040300B" w:rsidRDefault="0040300B">
            <w:pPr>
              <w:rPr>
                <w:rFonts w:ascii="宋体"/>
              </w:rPr>
            </w:pPr>
          </w:p>
        </w:tc>
        <w:tc>
          <w:tcPr>
            <w:tcW w:w="478" w:type="pct"/>
            <w:shd w:val="clear" w:color="auto" w:fill="auto"/>
          </w:tcPr>
          <w:p w14:paraId="7B66ED99" w14:textId="77777777" w:rsidR="0040300B" w:rsidRDefault="0040300B">
            <w:pPr>
              <w:rPr>
                <w:rFonts w:ascii="宋体"/>
              </w:rPr>
            </w:pPr>
          </w:p>
        </w:tc>
        <w:tc>
          <w:tcPr>
            <w:tcW w:w="5" w:type="pct"/>
            <w:shd w:val="clear" w:color="auto" w:fill="auto"/>
          </w:tcPr>
          <w:p w14:paraId="7B66ED9A" w14:textId="77777777" w:rsidR="0040300B" w:rsidRDefault="0040300B">
            <w:pPr>
              <w:rPr>
                <w:rFonts w:ascii="宋体"/>
              </w:rPr>
            </w:pPr>
          </w:p>
        </w:tc>
        <w:tc>
          <w:tcPr>
            <w:tcW w:w="5" w:type="pct"/>
            <w:shd w:val="clear" w:color="auto" w:fill="auto"/>
          </w:tcPr>
          <w:p w14:paraId="7B66ED9B" w14:textId="77777777" w:rsidR="0040300B" w:rsidRDefault="0040300B">
            <w:pPr>
              <w:rPr>
                <w:rFonts w:ascii="宋体"/>
              </w:rPr>
            </w:pPr>
          </w:p>
        </w:tc>
        <w:tc>
          <w:tcPr>
            <w:tcW w:w="26" w:type="pct"/>
            <w:shd w:val="clear" w:color="auto" w:fill="auto"/>
          </w:tcPr>
          <w:p w14:paraId="7B66ED9C" w14:textId="77777777" w:rsidR="0040300B" w:rsidRDefault="0040300B">
            <w:pPr>
              <w:rPr>
                <w:rFonts w:ascii="宋体"/>
              </w:rPr>
            </w:pPr>
          </w:p>
        </w:tc>
        <w:tc>
          <w:tcPr>
            <w:tcW w:w="5" w:type="pct"/>
            <w:shd w:val="clear" w:color="auto" w:fill="auto"/>
          </w:tcPr>
          <w:p w14:paraId="7B66ED9D" w14:textId="77777777" w:rsidR="0040300B" w:rsidRDefault="0040300B">
            <w:pPr>
              <w:rPr>
                <w:rFonts w:ascii="宋体"/>
              </w:rPr>
            </w:pPr>
          </w:p>
        </w:tc>
        <w:tc>
          <w:tcPr>
            <w:tcW w:w="50" w:type="pct"/>
            <w:shd w:val="clear" w:color="auto" w:fill="auto"/>
          </w:tcPr>
          <w:p w14:paraId="7B66ED9E" w14:textId="77777777" w:rsidR="0040300B" w:rsidRDefault="0040300B">
            <w:pPr>
              <w:rPr>
                <w:rFonts w:ascii="宋体"/>
              </w:rPr>
            </w:pPr>
          </w:p>
        </w:tc>
        <w:tc>
          <w:tcPr>
            <w:tcW w:w="478" w:type="pct"/>
            <w:shd w:val="clear" w:color="auto" w:fill="auto"/>
          </w:tcPr>
          <w:p w14:paraId="7B66ED9F" w14:textId="77777777" w:rsidR="0040300B" w:rsidRDefault="0040300B">
            <w:pPr>
              <w:rPr>
                <w:rFonts w:ascii="宋体"/>
              </w:rPr>
            </w:pPr>
          </w:p>
        </w:tc>
        <w:tc>
          <w:tcPr>
            <w:tcW w:w="5" w:type="pct"/>
            <w:shd w:val="clear" w:color="auto" w:fill="auto"/>
          </w:tcPr>
          <w:p w14:paraId="7B66EDA0" w14:textId="77777777" w:rsidR="0040300B" w:rsidRDefault="0040300B">
            <w:pPr>
              <w:rPr>
                <w:rFonts w:ascii="宋体"/>
              </w:rPr>
            </w:pPr>
          </w:p>
        </w:tc>
        <w:tc>
          <w:tcPr>
            <w:tcW w:w="5" w:type="pct"/>
            <w:shd w:val="clear" w:color="auto" w:fill="auto"/>
          </w:tcPr>
          <w:p w14:paraId="7B66EDA1" w14:textId="77777777" w:rsidR="0040300B" w:rsidRDefault="0040300B">
            <w:pPr>
              <w:rPr>
                <w:rFonts w:ascii="宋体"/>
              </w:rPr>
            </w:pPr>
          </w:p>
        </w:tc>
        <w:tc>
          <w:tcPr>
            <w:tcW w:w="26" w:type="pct"/>
            <w:shd w:val="clear" w:color="auto" w:fill="auto"/>
          </w:tcPr>
          <w:p w14:paraId="7B66EDA2" w14:textId="77777777" w:rsidR="0040300B" w:rsidRDefault="0040300B">
            <w:pPr>
              <w:rPr>
                <w:rFonts w:ascii="宋体"/>
              </w:rPr>
            </w:pPr>
          </w:p>
        </w:tc>
        <w:tc>
          <w:tcPr>
            <w:tcW w:w="5" w:type="pct"/>
            <w:shd w:val="clear" w:color="auto" w:fill="auto"/>
          </w:tcPr>
          <w:p w14:paraId="7B66EDA3" w14:textId="77777777" w:rsidR="0040300B" w:rsidRDefault="0040300B">
            <w:pPr>
              <w:rPr>
                <w:rFonts w:ascii="宋体"/>
              </w:rPr>
            </w:pPr>
          </w:p>
        </w:tc>
        <w:tc>
          <w:tcPr>
            <w:tcW w:w="50" w:type="pct"/>
            <w:shd w:val="clear" w:color="auto" w:fill="auto"/>
          </w:tcPr>
          <w:p w14:paraId="7B66EDA4" w14:textId="77777777" w:rsidR="0040300B" w:rsidRDefault="0040300B">
            <w:pPr>
              <w:rPr>
                <w:rFonts w:ascii="宋体"/>
              </w:rPr>
            </w:pPr>
          </w:p>
        </w:tc>
        <w:tc>
          <w:tcPr>
            <w:tcW w:w="478" w:type="pct"/>
            <w:shd w:val="clear" w:color="auto" w:fill="auto"/>
          </w:tcPr>
          <w:p w14:paraId="7B66EDA5" w14:textId="77777777" w:rsidR="0040300B" w:rsidRDefault="0040300B">
            <w:pPr>
              <w:rPr>
                <w:rFonts w:ascii="宋体"/>
              </w:rPr>
            </w:pPr>
          </w:p>
        </w:tc>
        <w:tc>
          <w:tcPr>
            <w:tcW w:w="5" w:type="pct"/>
            <w:shd w:val="clear" w:color="auto" w:fill="auto"/>
          </w:tcPr>
          <w:p w14:paraId="7B66EDA6" w14:textId="77777777" w:rsidR="0040300B" w:rsidRDefault="0040300B">
            <w:pPr>
              <w:rPr>
                <w:rFonts w:ascii="宋体"/>
              </w:rPr>
            </w:pPr>
          </w:p>
        </w:tc>
      </w:tr>
      <w:tr w:rsidR="0040300B" w14:paraId="7B66EDAC" w14:textId="77777777">
        <w:trPr>
          <w:jc w:val="center"/>
        </w:trPr>
        <w:tc>
          <w:tcPr>
            <w:tcW w:w="0" w:type="auto"/>
            <w:gridSpan w:val="3"/>
            <w:shd w:val="clear" w:color="auto" w:fill="auto"/>
            <w:tcMar>
              <w:top w:w="0" w:type="dxa"/>
              <w:left w:w="20" w:type="dxa"/>
              <w:bottom w:w="0" w:type="dxa"/>
              <w:right w:w="20" w:type="dxa"/>
            </w:tcMar>
          </w:tcPr>
          <w:p w14:paraId="7B66EDA8"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DA9"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EDAA"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DAB"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DB5" w14:textId="77777777">
        <w:trPr>
          <w:jc w:val="center"/>
        </w:trPr>
        <w:tc>
          <w:tcPr>
            <w:tcW w:w="0" w:type="auto"/>
            <w:gridSpan w:val="3"/>
            <w:shd w:val="clear" w:color="auto" w:fill="auto"/>
            <w:tcMar>
              <w:top w:w="0" w:type="dxa"/>
              <w:left w:w="20" w:type="dxa"/>
              <w:bottom w:w="0" w:type="dxa"/>
              <w:right w:w="20" w:type="dxa"/>
            </w:tcMar>
          </w:tcPr>
          <w:p w14:paraId="7B66EDA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DAE"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DA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DB0"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EDB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DB2"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DB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DB4"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EDC6" w14:textId="77777777">
        <w:trPr>
          <w:jc w:val="center"/>
        </w:trPr>
        <w:tc>
          <w:tcPr>
            <w:tcW w:w="0" w:type="auto"/>
            <w:gridSpan w:val="3"/>
            <w:shd w:val="clear" w:color="auto" w:fill="CCEEFF"/>
            <w:tcMar>
              <w:top w:w="40" w:type="dxa"/>
              <w:left w:w="20" w:type="dxa"/>
              <w:bottom w:w="40" w:type="dxa"/>
              <w:right w:w="20" w:type="dxa"/>
            </w:tcMar>
          </w:tcPr>
          <w:p w14:paraId="7B66EDB6" w14:textId="77777777" w:rsidR="0040300B" w:rsidRDefault="00BB2D44">
            <w:pPr>
              <w:textAlignment w:val="top"/>
            </w:pPr>
            <w:r>
              <w:rPr>
                <w:rFonts w:ascii="Times New Roman" w:eastAsia="宋体" w:hAnsi="Times New Roman"/>
                <w:color w:val="000000"/>
                <w:sz w:val="20"/>
                <w:szCs w:val="20"/>
              </w:rPr>
              <w:t>Operating lease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DB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B8" w14:textId="77777777" w:rsidR="0040300B" w:rsidRDefault="00BB2D44">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B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B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DB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BC" w14:textId="77777777" w:rsidR="0040300B" w:rsidRDefault="00BB2D44">
            <w:pPr>
              <w:jc w:val="right"/>
              <w:textAlignment w:val="bottom"/>
            </w:pPr>
            <w:r>
              <w:rPr>
                <w:rFonts w:ascii="Times New Roman" w:eastAsia="宋体" w:hAnsi="Times New Roman"/>
                <w:color w:val="000000"/>
                <w:sz w:val="20"/>
                <w:szCs w:val="20"/>
              </w:rPr>
              <w:t>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B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B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DB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C0" w14:textId="77777777" w:rsidR="0040300B" w:rsidRDefault="00BB2D44">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C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C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DC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DC4" w14:textId="77777777" w:rsidR="0040300B" w:rsidRDefault="00BB2D44">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DC5" w14:textId="77777777" w:rsidR="0040300B" w:rsidRDefault="0040300B">
            <w:pPr>
              <w:jc w:val="right"/>
              <w:rPr>
                <w:rFonts w:ascii="宋体"/>
              </w:rPr>
            </w:pPr>
          </w:p>
        </w:tc>
      </w:tr>
      <w:tr w:rsidR="0040300B" w14:paraId="7B66EDD3" w14:textId="77777777">
        <w:trPr>
          <w:jc w:val="center"/>
        </w:trPr>
        <w:tc>
          <w:tcPr>
            <w:tcW w:w="0" w:type="auto"/>
            <w:gridSpan w:val="3"/>
            <w:shd w:val="clear" w:color="auto" w:fill="FFFFFF"/>
            <w:tcMar>
              <w:top w:w="40" w:type="dxa"/>
              <w:left w:w="20" w:type="dxa"/>
              <w:bottom w:w="40" w:type="dxa"/>
              <w:right w:w="20" w:type="dxa"/>
            </w:tcMar>
          </w:tcPr>
          <w:p w14:paraId="7B66EDC7" w14:textId="77777777" w:rsidR="0040300B" w:rsidRDefault="00BB2D44">
            <w:pPr>
              <w:textAlignment w:val="top"/>
            </w:pPr>
            <w:r>
              <w:rPr>
                <w:rFonts w:ascii="Times New Roman" w:eastAsia="宋体" w:hAnsi="Times New Roman"/>
                <w:color w:val="000000"/>
                <w:sz w:val="20"/>
                <w:szCs w:val="20"/>
              </w:rPr>
              <w:t>Short-term lease expense</w:t>
            </w:r>
          </w:p>
        </w:tc>
        <w:tc>
          <w:tcPr>
            <w:tcW w:w="0" w:type="auto"/>
            <w:gridSpan w:val="2"/>
            <w:shd w:val="clear" w:color="auto" w:fill="FFFFFF"/>
            <w:tcMar>
              <w:top w:w="40" w:type="dxa"/>
              <w:left w:w="20" w:type="dxa"/>
              <w:bottom w:w="40" w:type="dxa"/>
              <w:right w:w="0" w:type="dxa"/>
            </w:tcMar>
            <w:vAlign w:val="bottom"/>
          </w:tcPr>
          <w:p w14:paraId="7B66EDC8" w14:textId="77777777" w:rsidR="0040300B" w:rsidRDefault="00BB2D44">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B66EDC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C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DCB" w14:textId="77777777" w:rsidR="0040300B" w:rsidRDefault="00BB2D44">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7B66EDC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C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DCE"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6EDC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D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DD1" w14:textId="77777777" w:rsidR="0040300B" w:rsidRDefault="00BB2D44">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7B66EDD2" w14:textId="77777777" w:rsidR="0040300B" w:rsidRDefault="0040300B">
            <w:pPr>
              <w:jc w:val="right"/>
              <w:rPr>
                <w:rFonts w:ascii="宋体"/>
              </w:rPr>
            </w:pPr>
          </w:p>
        </w:tc>
      </w:tr>
      <w:tr w:rsidR="0040300B" w14:paraId="7B66EDE0" w14:textId="77777777">
        <w:trPr>
          <w:jc w:val="center"/>
        </w:trPr>
        <w:tc>
          <w:tcPr>
            <w:tcW w:w="0" w:type="auto"/>
            <w:gridSpan w:val="3"/>
            <w:shd w:val="clear" w:color="auto" w:fill="CCEEFF"/>
            <w:tcMar>
              <w:top w:w="40" w:type="dxa"/>
              <w:left w:w="20" w:type="dxa"/>
              <w:bottom w:w="40" w:type="dxa"/>
              <w:right w:w="20" w:type="dxa"/>
            </w:tcMar>
          </w:tcPr>
          <w:p w14:paraId="7B66EDD4" w14:textId="77777777" w:rsidR="0040300B" w:rsidRDefault="00BB2D44">
            <w:pPr>
              <w:textAlignment w:val="top"/>
            </w:pPr>
            <w:r>
              <w:rPr>
                <w:rFonts w:ascii="Times New Roman" w:eastAsia="宋体" w:hAnsi="Times New Roman"/>
                <w:color w:val="000000"/>
                <w:sz w:val="20"/>
                <w:szCs w:val="20"/>
              </w:rPr>
              <w:t>Variable lease expense</w:t>
            </w:r>
          </w:p>
        </w:tc>
        <w:tc>
          <w:tcPr>
            <w:tcW w:w="0" w:type="auto"/>
            <w:gridSpan w:val="2"/>
            <w:shd w:val="clear" w:color="auto" w:fill="CCEEFF"/>
            <w:tcMar>
              <w:top w:w="40" w:type="dxa"/>
              <w:left w:w="20" w:type="dxa"/>
              <w:bottom w:w="40" w:type="dxa"/>
              <w:right w:w="0" w:type="dxa"/>
            </w:tcMar>
            <w:vAlign w:val="bottom"/>
          </w:tcPr>
          <w:p w14:paraId="7B66EDD5" w14:textId="77777777" w:rsidR="0040300B" w:rsidRDefault="00BB2D44">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7B66EDD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D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DD8" w14:textId="77777777" w:rsidR="0040300B" w:rsidRDefault="00BB2D44">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7B66EDD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D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DDB" w14:textId="77777777" w:rsidR="0040300B" w:rsidRDefault="00BB2D44">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7B66ED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DD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DDE" w14:textId="77777777" w:rsidR="0040300B" w:rsidRDefault="00BB2D44">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7B66EDDF" w14:textId="77777777" w:rsidR="0040300B" w:rsidRDefault="0040300B">
            <w:pPr>
              <w:jc w:val="right"/>
              <w:rPr>
                <w:rFonts w:ascii="宋体"/>
              </w:rPr>
            </w:pPr>
          </w:p>
        </w:tc>
      </w:tr>
      <w:tr w:rsidR="0040300B" w14:paraId="7B66EDF1" w14:textId="77777777">
        <w:trPr>
          <w:jc w:val="center"/>
        </w:trPr>
        <w:tc>
          <w:tcPr>
            <w:tcW w:w="0" w:type="auto"/>
            <w:gridSpan w:val="3"/>
            <w:shd w:val="clear" w:color="auto" w:fill="FFFFFF"/>
            <w:tcMar>
              <w:top w:w="40" w:type="dxa"/>
              <w:left w:w="965" w:type="dxa"/>
              <w:bottom w:w="40" w:type="dxa"/>
              <w:right w:w="20" w:type="dxa"/>
            </w:tcMar>
          </w:tcPr>
          <w:p w14:paraId="7B66EDE1" w14:textId="77777777" w:rsidR="0040300B" w:rsidRDefault="00BB2D44">
            <w:pPr>
              <w:textAlignment w:val="top"/>
            </w:pPr>
            <w:r>
              <w:rPr>
                <w:rFonts w:ascii="Times New Roman" w:eastAsia="宋体" w:hAnsi="Times New Roman"/>
                <w:color w:val="000000"/>
                <w:sz w:val="20"/>
                <w:szCs w:val="20"/>
              </w:rPr>
              <w:t>Total lease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E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E3" w14:textId="77777777" w:rsidR="0040300B" w:rsidRDefault="00BB2D44">
            <w:pPr>
              <w:jc w:val="right"/>
              <w:textAlignment w:val="bottom"/>
            </w:pPr>
            <w:r>
              <w:rPr>
                <w:rFonts w:ascii="Times New Roman" w:eastAsia="宋体" w:hAnsi="Times New Roman"/>
                <w:color w:val="000000"/>
                <w:sz w:val="20"/>
                <w:szCs w:val="20"/>
              </w:rPr>
              <w:t>161 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E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E5"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E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E7" w14:textId="77777777" w:rsidR="0040300B" w:rsidRDefault="00BB2D44">
            <w:pPr>
              <w:jc w:val="right"/>
              <w:textAlignment w:val="bottom"/>
            </w:pPr>
            <w:r>
              <w:rPr>
                <w:rFonts w:ascii="Times New Roman" w:eastAsia="宋体" w:hAnsi="Times New Roman"/>
                <w:color w:val="000000"/>
                <w:sz w:val="20"/>
                <w:szCs w:val="20"/>
              </w:rPr>
              <w:t>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E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E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E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EB" w14:textId="77777777" w:rsidR="0040300B" w:rsidRDefault="00BB2D44">
            <w:pPr>
              <w:jc w:val="right"/>
              <w:textAlignment w:val="bottom"/>
            </w:pPr>
            <w:r>
              <w:rPr>
                <w:rFonts w:ascii="Times New Roman" w:eastAsia="宋体" w:hAnsi="Times New Roman"/>
                <w:color w:val="000000"/>
                <w:sz w:val="20"/>
                <w:szCs w:val="20"/>
              </w:rPr>
              <w:t>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E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DE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EDE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EDEF" w14:textId="77777777" w:rsidR="0040300B" w:rsidRDefault="00BB2D44">
            <w:pPr>
              <w:jc w:val="right"/>
              <w:textAlignment w:val="bottom"/>
            </w:pPr>
            <w:r>
              <w:rPr>
                <w:rFonts w:ascii="Times New Roman" w:eastAsia="宋体" w:hAnsi="Times New Roman"/>
                <w:color w:val="000000"/>
                <w:sz w:val="20"/>
                <w:szCs w:val="20"/>
              </w:rPr>
              <w:t>482 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EDF0" w14:textId="77777777" w:rsidR="0040300B" w:rsidRDefault="0040300B">
            <w:pPr>
              <w:jc w:val="right"/>
              <w:rPr>
                <w:rFonts w:ascii="宋体"/>
              </w:rPr>
            </w:pPr>
          </w:p>
        </w:tc>
      </w:tr>
    </w:tbl>
    <w:p w14:paraId="7B66EDF2" w14:textId="77777777" w:rsidR="0040300B" w:rsidRDefault="00BB2D44">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5"/>
        <w:gridCol w:w="36"/>
        <w:gridCol w:w="120"/>
        <w:gridCol w:w="1254"/>
        <w:gridCol w:w="36"/>
        <w:gridCol w:w="36"/>
        <w:gridCol w:w="36"/>
        <w:gridCol w:w="36"/>
        <w:gridCol w:w="120"/>
        <w:gridCol w:w="1254"/>
        <w:gridCol w:w="36"/>
      </w:tblGrid>
      <w:tr w:rsidR="0040300B" w14:paraId="7B66EDFF" w14:textId="77777777">
        <w:trPr>
          <w:jc w:val="center"/>
        </w:trPr>
        <w:tc>
          <w:tcPr>
            <w:tcW w:w="50" w:type="pct"/>
            <w:shd w:val="clear" w:color="auto" w:fill="auto"/>
          </w:tcPr>
          <w:p w14:paraId="7B66EDF3" w14:textId="77777777" w:rsidR="0040300B" w:rsidRDefault="0040300B">
            <w:pPr>
              <w:rPr>
                <w:rFonts w:ascii="宋体"/>
              </w:rPr>
            </w:pPr>
          </w:p>
        </w:tc>
        <w:tc>
          <w:tcPr>
            <w:tcW w:w="3236" w:type="pct"/>
            <w:shd w:val="clear" w:color="auto" w:fill="auto"/>
          </w:tcPr>
          <w:p w14:paraId="7B66EDF4" w14:textId="77777777" w:rsidR="0040300B" w:rsidRDefault="0040300B">
            <w:pPr>
              <w:rPr>
                <w:rFonts w:ascii="宋体"/>
              </w:rPr>
            </w:pPr>
          </w:p>
        </w:tc>
        <w:tc>
          <w:tcPr>
            <w:tcW w:w="5" w:type="pct"/>
            <w:shd w:val="clear" w:color="auto" w:fill="auto"/>
          </w:tcPr>
          <w:p w14:paraId="7B66EDF5" w14:textId="77777777" w:rsidR="0040300B" w:rsidRDefault="0040300B">
            <w:pPr>
              <w:rPr>
                <w:rFonts w:ascii="宋体"/>
              </w:rPr>
            </w:pPr>
          </w:p>
        </w:tc>
        <w:tc>
          <w:tcPr>
            <w:tcW w:w="50" w:type="pct"/>
            <w:shd w:val="clear" w:color="auto" w:fill="auto"/>
          </w:tcPr>
          <w:p w14:paraId="7B66EDF6" w14:textId="77777777" w:rsidR="0040300B" w:rsidRDefault="0040300B">
            <w:pPr>
              <w:rPr>
                <w:rFonts w:ascii="宋体"/>
              </w:rPr>
            </w:pPr>
          </w:p>
        </w:tc>
        <w:tc>
          <w:tcPr>
            <w:tcW w:w="784" w:type="pct"/>
            <w:shd w:val="clear" w:color="auto" w:fill="auto"/>
          </w:tcPr>
          <w:p w14:paraId="7B66EDF7" w14:textId="77777777" w:rsidR="0040300B" w:rsidRDefault="0040300B">
            <w:pPr>
              <w:rPr>
                <w:rFonts w:ascii="宋体"/>
              </w:rPr>
            </w:pPr>
          </w:p>
        </w:tc>
        <w:tc>
          <w:tcPr>
            <w:tcW w:w="5" w:type="pct"/>
            <w:shd w:val="clear" w:color="auto" w:fill="auto"/>
          </w:tcPr>
          <w:p w14:paraId="7B66EDF8" w14:textId="77777777" w:rsidR="0040300B" w:rsidRDefault="0040300B">
            <w:pPr>
              <w:rPr>
                <w:rFonts w:ascii="宋体"/>
              </w:rPr>
            </w:pPr>
          </w:p>
        </w:tc>
        <w:tc>
          <w:tcPr>
            <w:tcW w:w="5" w:type="pct"/>
            <w:shd w:val="clear" w:color="auto" w:fill="auto"/>
          </w:tcPr>
          <w:p w14:paraId="7B66EDF9" w14:textId="77777777" w:rsidR="0040300B" w:rsidRDefault="0040300B">
            <w:pPr>
              <w:rPr>
                <w:rFonts w:ascii="宋体"/>
              </w:rPr>
            </w:pPr>
          </w:p>
        </w:tc>
        <w:tc>
          <w:tcPr>
            <w:tcW w:w="19" w:type="pct"/>
            <w:shd w:val="clear" w:color="auto" w:fill="auto"/>
          </w:tcPr>
          <w:p w14:paraId="7B66EDFA" w14:textId="77777777" w:rsidR="0040300B" w:rsidRDefault="0040300B">
            <w:pPr>
              <w:rPr>
                <w:rFonts w:ascii="宋体"/>
              </w:rPr>
            </w:pPr>
          </w:p>
        </w:tc>
        <w:tc>
          <w:tcPr>
            <w:tcW w:w="5" w:type="pct"/>
            <w:shd w:val="clear" w:color="auto" w:fill="auto"/>
          </w:tcPr>
          <w:p w14:paraId="7B66EDFB" w14:textId="77777777" w:rsidR="0040300B" w:rsidRDefault="0040300B">
            <w:pPr>
              <w:rPr>
                <w:rFonts w:ascii="宋体"/>
              </w:rPr>
            </w:pPr>
          </w:p>
        </w:tc>
        <w:tc>
          <w:tcPr>
            <w:tcW w:w="50" w:type="pct"/>
            <w:shd w:val="clear" w:color="auto" w:fill="auto"/>
          </w:tcPr>
          <w:p w14:paraId="7B66EDFC" w14:textId="77777777" w:rsidR="0040300B" w:rsidRDefault="0040300B">
            <w:pPr>
              <w:rPr>
                <w:rFonts w:ascii="宋体"/>
              </w:rPr>
            </w:pPr>
          </w:p>
        </w:tc>
        <w:tc>
          <w:tcPr>
            <w:tcW w:w="784" w:type="pct"/>
            <w:shd w:val="clear" w:color="auto" w:fill="auto"/>
          </w:tcPr>
          <w:p w14:paraId="7B66EDFD" w14:textId="77777777" w:rsidR="0040300B" w:rsidRDefault="0040300B">
            <w:pPr>
              <w:rPr>
                <w:rFonts w:ascii="宋体"/>
              </w:rPr>
            </w:pPr>
          </w:p>
        </w:tc>
        <w:tc>
          <w:tcPr>
            <w:tcW w:w="5" w:type="pct"/>
            <w:shd w:val="clear" w:color="auto" w:fill="auto"/>
          </w:tcPr>
          <w:p w14:paraId="7B66EDFE" w14:textId="77777777" w:rsidR="0040300B" w:rsidRDefault="0040300B">
            <w:pPr>
              <w:rPr>
                <w:rFonts w:ascii="宋体"/>
              </w:rPr>
            </w:pPr>
          </w:p>
        </w:tc>
      </w:tr>
      <w:tr w:rsidR="0040300B" w14:paraId="7B66EE02" w14:textId="77777777">
        <w:trPr>
          <w:jc w:val="center"/>
        </w:trPr>
        <w:tc>
          <w:tcPr>
            <w:tcW w:w="0" w:type="auto"/>
            <w:gridSpan w:val="3"/>
            <w:shd w:val="clear" w:color="auto" w:fill="auto"/>
            <w:tcMar>
              <w:top w:w="0" w:type="dxa"/>
              <w:left w:w="20" w:type="dxa"/>
              <w:bottom w:w="0" w:type="dxa"/>
              <w:right w:w="20" w:type="dxa"/>
            </w:tcMar>
          </w:tcPr>
          <w:p w14:paraId="7B66EE00"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EE01"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EE07" w14:textId="77777777">
        <w:trPr>
          <w:jc w:val="center"/>
        </w:trPr>
        <w:tc>
          <w:tcPr>
            <w:tcW w:w="0" w:type="auto"/>
            <w:gridSpan w:val="3"/>
            <w:shd w:val="clear" w:color="auto" w:fill="auto"/>
            <w:tcMar>
              <w:top w:w="0" w:type="dxa"/>
              <w:left w:w="20" w:type="dxa"/>
              <w:bottom w:w="0" w:type="dxa"/>
              <w:right w:w="20" w:type="dxa"/>
            </w:tcMar>
          </w:tcPr>
          <w:p w14:paraId="7B66EE0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E04"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EE0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EE06"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EE10" w14:textId="77777777">
        <w:trPr>
          <w:jc w:val="center"/>
        </w:trPr>
        <w:tc>
          <w:tcPr>
            <w:tcW w:w="0" w:type="auto"/>
            <w:gridSpan w:val="3"/>
            <w:shd w:val="clear" w:color="auto" w:fill="CCEEFF"/>
            <w:tcMar>
              <w:top w:w="40" w:type="dxa"/>
              <w:left w:w="20" w:type="dxa"/>
              <w:bottom w:w="40" w:type="dxa"/>
              <w:right w:w="20" w:type="dxa"/>
            </w:tcMar>
          </w:tcPr>
          <w:p w14:paraId="7B66EE08" w14:textId="77777777" w:rsidR="0040300B" w:rsidRDefault="00BB2D44">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E0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0A" w14:textId="77777777" w:rsidR="0040300B" w:rsidRDefault="00BB2D44">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0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E0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E0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0E" w14:textId="77777777" w:rsidR="0040300B" w:rsidRDefault="00BB2D44">
            <w:pPr>
              <w:jc w:val="right"/>
              <w:textAlignment w:val="bottom"/>
            </w:pPr>
            <w:r>
              <w:rPr>
                <w:rFonts w:ascii="Times New Roman" w:eastAsia="宋体" w:hAnsi="Times New Roman"/>
                <w:color w:val="000000"/>
                <w:sz w:val="20"/>
                <w:szCs w:val="20"/>
              </w:rPr>
              <w:t>309 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0F" w14:textId="77777777" w:rsidR="0040300B" w:rsidRDefault="0040300B">
            <w:pPr>
              <w:jc w:val="right"/>
              <w:rPr>
                <w:rFonts w:ascii="宋体"/>
              </w:rPr>
            </w:pPr>
          </w:p>
        </w:tc>
      </w:tr>
      <w:tr w:rsidR="0040300B" w14:paraId="7B66EE19" w14:textId="77777777">
        <w:trPr>
          <w:jc w:val="center"/>
        </w:trPr>
        <w:tc>
          <w:tcPr>
            <w:tcW w:w="0" w:type="auto"/>
            <w:gridSpan w:val="3"/>
            <w:shd w:val="clear" w:color="auto" w:fill="FFFFFF"/>
            <w:tcMar>
              <w:top w:w="40" w:type="dxa"/>
              <w:left w:w="20" w:type="dxa"/>
              <w:bottom w:w="40" w:type="dxa"/>
              <w:right w:w="20" w:type="dxa"/>
            </w:tcMar>
          </w:tcPr>
          <w:p w14:paraId="7B66EE11" w14:textId="77777777" w:rsidR="0040300B" w:rsidRDefault="00BB2D44">
            <w:pPr>
              <w:textAlignment w:val="top"/>
            </w:pPr>
            <w:r>
              <w:rPr>
                <w:rFonts w:ascii="Times New Roman" w:eastAsia="宋体" w:hAnsi="Times New Roman"/>
                <w:color w:val="000000"/>
                <w:sz w:val="20"/>
                <w:szCs w:val="20"/>
              </w:rPr>
              <w:t>Right-of-use assets obtained in exchange for operating leases liabilities</w:t>
            </w:r>
          </w:p>
        </w:tc>
        <w:tc>
          <w:tcPr>
            <w:tcW w:w="0" w:type="auto"/>
            <w:shd w:val="clear" w:color="auto" w:fill="FFFFFF"/>
            <w:tcMar>
              <w:top w:w="40" w:type="dxa"/>
              <w:left w:w="20" w:type="dxa"/>
              <w:bottom w:w="40" w:type="dxa"/>
              <w:right w:w="0" w:type="dxa"/>
            </w:tcMar>
            <w:vAlign w:val="bottom"/>
          </w:tcPr>
          <w:p w14:paraId="7B66EE1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E13" w14:textId="77777777" w:rsidR="0040300B" w:rsidRDefault="00BB2D44">
            <w:pPr>
              <w:jc w:val="right"/>
              <w:textAlignment w:val="bottom"/>
            </w:pPr>
            <w:r>
              <w:rPr>
                <w:rFonts w:ascii="Times New Roman" w:eastAsia="宋体" w:hAnsi="Times New Roman"/>
                <w:color w:val="000000"/>
                <w:sz w:val="20"/>
                <w:szCs w:val="20"/>
              </w:rPr>
              <w:t>270 </w:t>
            </w:r>
          </w:p>
        </w:tc>
        <w:tc>
          <w:tcPr>
            <w:tcW w:w="0" w:type="auto"/>
            <w:shd w:val="clear" w:color="auto" w:fill="FFFFFF"/>
            <w:tcMar>
              <w:top w:w="40" w:type="dxa"/>
              <w:left w:w="0" w:type="dxa"/>
              <w:bottom w:w="40" w:type="dxa"/>
              <w:right w:w="20" w:type="dxa"/>
            </w:tcMar>
            <w:vAlign w:val="bottom"/>
          </w:tcPr>
          <w:p w14:paraId="7B66EE1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E1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EE1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EE17" w14:textId="77777777" w:rsidR="0040300B" w:rsidRDefault="00BB2D44">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7B66EE18" w14:textId="77777777" w:rsidR="0040300B" w:rsidRDefault="0040300B">
            <w:pPr>
              <w:jc w:val="right"/>
              <w:rPr>
                <w:rFonts w:ascii="宋体"/>
              </w:rPr>
            </w:pPr>
          </w:p>
        </w:tc>
      </w:tr>
    </w:tbl>
    <w:p w14:paraId="7B66EE1A" w14:textId="77777777" w:rsidR="0040300B" w:rsidRDefault="00BB2D44">
      <w:pPr>
        <w:spacing w:before="120"/>
        <w:jc w:val="both"/>
      </w:pPr>
      <w:r>
        <w:rPr>
          <w:rFonts w:ascii="Times New Roman" w:eastAsia="宋体" w:hAnsi="Times New Roman"/>
          <w:color w:val="000000"/>
          <w:sz w:val="20"/>
          <w:szCs w:val="20"/>
        </w:rPr>
        <w:t>The weighted-average lease term was 4.1 years and 4.0 years as of May 1, 2021 and July 25, 2020, respectively. The weighted-average discount rate was 0.9% and 1.5% as of May 1, 2021 and July 25, 2020, respectively.</w:t>
      </w:r>
    </w:p>
    <w:p w14:paraId="7B66EE1B" w14:textId="77777777" w:rsidR="0040300B" w:rsidRDefault="00BB2D44">
      <w:pPr>
        <w:spacing w:before="120"/>
        <w:jc w:val="both"/>
      </w:pPr>
      <w:r>
        <w:rPr>
          <w:rFonts w:ascii="Times New Roman" w:eastAsia="宋体" w:hAnsi="Times New Roman"/>
          <w:color w:val="000000"/>
          <w:sz w:val="20"/>
          <w:szCs w:val="20"/>
        </w:rPr>
        <w:t xml:space="preserve">The maturities of our operating leases (undiscounted) as of May 1, 2021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40300B" w14:paraId="7B66EE22" w14:textId="77777777">
        <w:trPr>
          <w:jc w:val="center"/>
        </w:trPr>
        <w:tc>
          <w:tcPr>
            <w:tcW w:w="50" w:type="pct"/>
            <w:shd w:val="clear" w:color="auto" w:fill="auto"/>
          </w:tcPr>
          <w:p w14:paraId="7B66EE1C" w14:textId="77777777" w:rsidR="0040300B" w:rsidRDefault="0040300B">
            <w:pPr>
              <w:rPr>
                <w:rFonts w:ascii="宋体"/>
              </w:rPr>
            </w:pPr>
          </w:p>
        </w:tc>
        <w:tc>
          <w:tcPr>
            <w:tcW w:w="4214" w:type="pct"/>
            <w:shd w:val="clear" w:color="auto" w:fill="auto"/>
          </w:tcPr>
          <w:p w14:paraId="7B66EE1D" w14:textId="77777777" w:rsidR="0040300B" w:rsidRDefault="0040300B">
            <w:pPr>
              <w:rPr>
                <w:rFonts w:ascii="宋体"/>
              </w:rPr>
            </w:pPr>
          </w:p>
        </w:tc>
        <w:tc>
          <w:tcPr>
            <w:tcW w:w="5" w:type="pct"/>
            <w:shd w:val="clear" w:color="auto" w:fill="auto"/>
          </w:tcPr>
          <w:p w14:paraId="7B66EE1E" w14:textId="77777777" w:rsidR="0040300B" w:rsidRDefault="0040300B">
            <w:pPr>
              <w:rPr>
                <w:rFonts w:ascii="宋体"/>
              </w:rPr>
            </w:pPr>
          </w:p>
        </w:tc>
        <w:tc>
          <w:tcPr>
            <w:tcW w:w="50" w:type="pct"/>
            <w:shd w:val="clear" w:color="auto" w:fill="auto"/>
          </w:tcPr>
          <w:p w14:paraId="7B66EE1F" w14:textId="77777777" w:rsidR="0040300B" w:rsidRDefault="0040300B">
            <w:pPr>
              <w:rPr>
                <w:rFonts w:ascii="宋体"/>
              </w:rPr>
            </w:pPr>
          </w:p>
        </w:tc>
        <w:tc>
          <w:tcPr>
            <w:tcW w:w="675" w:type="pct"/>
            <w:shd w:val="clear" w:color="auto" w:fill="auto"/>
          </w:tcPr>
          <w:p w14:paraId="7B66EE20" w14:textId="77777777" w:rsidR="0040300B" w:rsidRDefault="0040300B">
            <w:pPr>
              <w:rPr>
                <w:rFonts w:ascii="宋体"/>
              </w:rPr>
            </w:pPr>
          </w:p>
        </w:tc>
        <w:tc>
          <w:tcPr>
            <w:tcW w:w="5" w:type="pct"/>
            <w:shd w:val="clear" w:color="auto" w:fill="auto"/>
          </w:tcPr>
          <w:p w14:paraId="7B66EE21" w14:textId="77777777" w:rsidR="0040300B" w:rsidRDefault="0040300B">
            <w:pPr>
              <w:rPr>
                <w:rFonts w:ascii="宋体"/>
              </w:rPr>
            </w:pPr>
          </w:p>
        </w:tc>
      </w:tr>
      <w:tr w:rsidR="0040300B" w14:paraId="7B66EE25" w14:textId="77777777">
        <w:trPr>
          <w:jc w:val="center"/>
        </w:trPr>
        <w:tc>
          <w:tcPr>
            <w:tcW w:w="0" w:type="auto"/>
            <w:gridSpan w:val="3"/>
            <w:shd w:val="clear" w:color="auto" w:fill="auto"/>
            <w:tcMar>
              <w:top w:w="40" w:type="dxa"/>
              <w:left w:w="20" w:type="dxa"/>
              <w:bottom w:w="40" w:type="dxa"/>
              <w:right w:w="20" w:type="dxa"/>
            </w:tcMar>
            <w:vAlign w:val="bottom"/>
          </w:tcPr>
          <w:p w14:paraId="7B66EE23" w14:textId="77777777" w:rsidR="0040300B" w:rsidRDefault="00BB2D4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7B66EE24"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6EE2A" w14:textId="77777777">
        <w:trPr>
          <w:jc w:val="center"/>
        </w:trPr>
        <w:tc>
          <w:tcPr>
            <w:tcW w:w="0" w:type="auto"/>
            <w:gridSpan w:val="3"/>
            <w:shd w:val="clear" w:color="auto" w:fill="CCEEFF"/>
            <w:tcMar>
              <w:top w:w="40" w:type="dxa"/>
              <w:left w:w="20" w:type="dxa"/>
              <w:bottom w:w="40" w:type="dxa"/>
              <w:right w:w="20" w:type="dxa"/>
            </w:tcMar>
          </w:tcPr>
          <w:p w14:paraId="7B66EE26" w14:textId="77777777" w:rsidR="0040300B" w:rsidRDefault="00BB2D44">
            <w:pPr>
              <w:textAlignment w:val="top"/>
            </w:pPr>
            <w:r>
              <w:rPr>
                <w:rFonts w:ascii="Times New Roman" w:eastAsia="宋体" w:hAnsi="Times New Roman"/>
                <w:color w:val="000000"/>
                <w:sz w:val="20"/>
                <w:szCs w:val="20"/>
              </w:rPr>
              <w:t>2021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E2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28" w14:textId="77777777" w:rsidR="0040300B" w:rsidRDefault="00BB2D44">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29" w14:textId="77777777" w:rsidR="0040300B" w:rsidRDefault="0040300B">
            <w:pPr>
              <w:jc w:val="right"/>
              <w:rPr>
                <w:rFonts w:ascii="宋体"/>
              </w:rPr>
            </w:pPr>
          </w:p>
        </w:tc>
      </w:tr>
      <w:tr w:rsidR="0040300B" w14:paraId="7B66EE2E" w14:textId="77777777">
        <w:trPr>
          <w:jc w:val="center"/>
        </w:trPr>
        <w:tc>
          <w:tcPr>
            <w:tcW w:w="0" w:type="auto"/>
            <w:gridSpan w:val="3"/>
            <w:shd w:val="clear" w:color="auto" w:fill="FFFFFF"/>
            <w:tcMar>
              <w:top w:w="40" w:type="dxa"/>
              <w:left w:w="20" w:type="dxa"/>
              <w:bottom w:w="40" w:type="dxa"/>
              <w:right w:w="20" w:type="dxa"/>
            </w:tcMar>
          </w:tcPr>
          <w:p w14:paraId="7B66EE2B" w14:textId="77777777" w:rsidR="0040300B" w:rsidRDefault="00BB2D44">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B66EE2C" w14:textId="77777777" w:rsidR="0040300B" w:rsidRDefault="00BB2D44">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7B66EE2D" w14:textId="77777777" w:rsidR="0040300B" w:rsidRDefault="0040300B">
            <w:pPr>
              <w:jc w:val="right"/>
              <w:rPr>
                <w:rFonts w:ascii="宋体"/>
              </w:rPr>
            </w:pPr>
          </w:p>
        </w:tc>
      </w:tr>
      <w:tr w:rsidR="0040300B" w14:paraId="7B66EE32" w14:textId="77777777">
        <w:trPr>
          <w:jc w:val="center"/>
        </w:trPr>
        <w:tc>
          <w:tcPr>
            <w:tcW w:w="0" w:type="auto"/>
            <w:gridSpan w:val="3"/>
            <w:shd w:val="clear" w:color="auto" w:fill="CCEEFF"/>
            <w:tcMar>
              <w:top w:w="40" w:type="dxa"/>
              <w:left w:w="20" w:type="dxa"/>
              <w:bottom w:w="40" w:type="dxa"/>
              <w:right w:w="20" w:type="dxa"/>
            </w:tcMar>
          </w:tcPr>
          <w:p w14:paraId="7B66EE2F" w14:textId="77777777" w:rsidR="0040300B" w:rsidRDefault="00BB2D44">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7B66EE30" w14:textId="77777777" w:rsidR="0040300B" w:rsidRDefault="00BB2D44">
            <w:pPr>
              <w:jc w:val="right"/>
              <w:textAlignment w:val="bottom"/>
            </w:pPr>
            <w:r>
              <w:rPr>
                <w:rFonts w:ascii="Times New Roman" w:eastAsia="宋体" w:hAnsi="Times New Roman"/>
                <w:color w:val="000000"/>
                <w:sz w:val="20"/>
                <w:szCs w:val="20"/>
              </w:rPr>
              <w:t>245 </w:t>
            </w:r>
          </w:p>
        </w:tc>
        <w:tc>
          <w:tcPr>
            <w:tcW w:w="0" w:type="auto"/>
            <w:shd w:val="clear" w:color="auto" w:fill="CCEEFF"/>
            <w:tcMar>
              <w:top w:w="40" w:type="dxa"/>
              <w:left w:w="0" w:type="dxa"/>
              <w:bottom w:w="40" w:type="dxa"/>
              <w:right w:w="20" w:type="dxa"/>
            </w:tcMar>
            <w:vAlign w:val="bottom"/>
          </w:tcPr>
          <w:p w14:paraId="7B66EE31" w14:textId="77777777" w:rsidR="0040300B" w:rsidRDefault="0040300B">
            <w:pPr>
              <w:jc w:val="right"/>
              <w:rPr>
                <w:rFonts w:ascii="宋体"/>
              </w:rPr>
            </w:pPr>
          </w:p>
        </w:tc>
      </w:tr>
      <w:tr w:rsidR="0040300B" w14:paraId="7B66EE36" w14:textId="77777777">
        <w:trPr>
          <w:jc w:val="center"/>
        </w:trPr>
        <w:tc>
          <w:tcPr>
            <w:tcW w:w="0" w:type="auto"/>
            <w:gridSpan w:val="3"/>
            <w:shd w:val="clear" w:color="auto" w:fill="FFFFFF"/>
            <w:tcMar>
              <w:top w:w="40" w:type="dxa"/>
              <w:left w:w="20" w:type="dxa"/>
              <w:bottom w:w="40" w:type="dxa"/>
              <w:right w:w="20" w:type="dxa"/>
            </w:tcMar>
          </w:tcPr>
          <w:p w14:paraId="7B66EE33" w14:textId="77777777" w:rsidR="0040300B" w:rsidRDefault="00BB2D44">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B66EE34" w14:textId="77777777" w:rsidR="0040300B" w:rsidRDefault="00BB2D44">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7B66EE35" w14:textId="77777777" w:rsidR="0040300B" w:rsidRDefault="0040300B">
            <w:pPr>
              <w:jc w:val="right"/>
              <w:rPr>
                <w:rFonts w:ascii="宋体"/>
              </w:rPr>
            </w:pPr>
          </w:p>
        </w:tc>
      </w:tr>
      <w:tr w:rsidR="0040300B" w14:paraId="7B66EE3A" w14:textId="77777777">
        <w:trPr>
          <w:jc w:val="center"/>
        </w:trPr>
        <w:tc>
          <w:tcPr>
            <w:tcW w:w="0" w:type="auto"/>
            <w:gridSpan w:val="3"/>
            <w:shd w:val="clear" w:color="auto" w:fill="CCEEFF"/>
            <w:tcMar>
              <w:top w:w="40" w:type="dxa"/>
              <w:left w:w="20" w:type="dxa"/>
              <w:bottom w:w="40" w:type="dxa"/>
              <w:right w:w="20" w:type="dxa"/>
            </w:tcMar>
          </w:tcPr>
          <w:p w14:paraId="7B66EE37" w14:textId="77777777" w:rsidR="0040300B" w:rsidRDefault="00BB2D44">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7B66EE38" w14:textId="77777777" w:rsidR="0040300B" w:rsidRDefault="00BB2D44">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7B66EE39" w14:textId="77777777" w:rsidR="0040300B" w:rsidRDefault="0040300B">
            <w:pPr>
              <w:jc w:val="right"/>
              <w:rPr>
                <w:rFonts w:ascii="宋体"/>
              </w:rPr>
            </w:pPr>
          </w:p>
        </w:tc>
      </w:tr>
      <w:tr w:rsidR="0040300B" w14:paraId="7B66EE3E" w14:textId="77777777">
        <w:trPr>
          <w:jc w:val="center"/>
        </w:trPr>
        <w:tc>
          <w:tcPr>
            <w:tcW w:w="0" w:type="auto"/>
            <w:gridSpan w:val="3"/>
            <w:shd w:val="clear" w:color="auto" w:fill="FFFFFF"/>
            <w:tcMar>
              <w:top w:w="40" w:type="dxa"/>
              <w:left w:w="20" w:type="dxa"/>
              <w:bottom w:w="40" w:type="dxa"/>
              <w:right w:w="20" w:type="dxa"/>
            </w:tcMar>
          </w:tcPr>
          <w:p w14:paraId="7B66EE3B" w14:textId="77777777" w:rsidR="0040300B" w:rsidRDefault="00BB2D4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B66EE3C" w14:textId="77777777" w:rsidR="0040300B" w:rsidRDefault="00BB2D44">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7B66EE3D" w14:textId="77777777" w:rsidR="0040300B" w:rsidRDefault="0040300B">
            <w:pPr>
              <w:jc w:val="right"/>
              <w:rPr>
                <w:rFonts w:ascii="宋体"/>
              </w:rPr>
            </w:pPr>
          </w:p>
        </w:tc>
      </w:tr>
      <w:tr w:rsidR="0040300B" w14:paraId="7B66EE42" w14:textId="77777777">
        <w:trPr>
          <w:jc w:val="center"/>
        </w:trPr>
        <w:tc>
          <w:tcPr>
            <w:tcW w:w="0" w:type="auto"/>
            <w:gridSpan w:val="3"/>
            <w:shd w:val="clear" w:color="auto" w:fill="CCEEFF"/>
            <w:tcMar>
              <w:top w:w="40" w:type="dxa"/>
              <w:left w:w="380" w:type="dxa"/>
              <w:bottom w:w="40" w:type="dxa"/>
              <w:right w:w="20" w:type="dxa"/>
            </w:tcMar>
          </w:tcPr>
          <w:p w14:paraId="7B66EE3F" w14:textId="77777777" w:rsidR="0040300B" w:rsidRDefault="00BB2D44">
            <w:pPr>
              <w:textAlignment w:val="top"/>
            </w:pPr>
            <w:r>
              <w:rPr>
                <w:rFonts w:ascii="Times New Roman" w:eastAsia="宋体" w:hAnsi="Times New Roman"/>
                <w:color w:val="000000"/>
                <w:sz w:val="20"/>
                <w:szCs w:val="20"/>
              </w:rPr>
              <w:t xml:space="preserve">Total lease </w:t>
            </w:r>
            <w:r>
              <w:rPr>
                <w:rFonts w:ascii="Times New Roman" w:eastAsia="宋体" w:hAnsi="Times New Roman"/>
                <w:color w:val="000000"/>
                <w:sz w:val="20"/>
                <w:szCs w:val="20"/>
              </w:rPr>
              <w:t>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E40" w14:textId="77777777" w:rsidR="0040300B" w:rsidRDefault="00BB2D44">
            <w:pPr>
              <w:jc w:val="right"/>
              <w:textAlignment w:val="bottom"/>
            </w:pPr>
            <w:r>
              <w:rPr>
                <w:rFonts w:ascii="Times New Roman" w:eastAsia="宋体" w:hAnsi="Times New Roman"/>
                <w:color w:val="000000"/>
                <w:sz w:val="20"/>
                <w:szCs w:val="20"/>
              </w:rPr>
              <w:t>1,025 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41" w14:textId="77777777" w:rsidR="0040300B" w:rsidRDefault="0040300B">
            <w:pPr>
              <w:jc w:val="right"/>
              <w:rPr>
                <w:rFonts w:ascii="宋体"/>
              </w:rPr>
            </w:pPr>
          </w:p>
        </w:tc>
      </w:tr>
      <w:tr w:rsidR="0040300B" w14:paraId="7B66EE46" w14:textId="77777777">
        <w:trPr>
          <w:jc w:val="center"/>
        </w:trPr>
        <w:tc>
          <w:tcPr>
            <w:tcW w:w="0" w:type="auto"/>
            <w:gridSpan w:val="3"/>
            <w:shd w:val="clear" w:color="auto" w:fill="FFFFFF"/>
            <w:tcMar>
              <w:top w:w="40" w:type="dxa"/>
              <w:left w:w="20" w:type="dxa"/>
              <w:bottom w:w="40" w:type="dxa"/>
              <w:right w:w="20" w:type="dxa"/>
            </w:tcMar>
          </w:tcPr>
          <w:p w14:paraId="7B66EE43" w14:textId="77777777" w:rsidR="0040300B" w:rsidRDefault="00BB2D44">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7B66EE44" w14:textId="77777777" w:rsidR="0040300B" w:rsidRDefault="00BB2D44">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7B66EE45" w14:textId="77777777" w:rsidR="0040300B" w:rsidRDefault="0040300B">
            <w:pPr>
              <w:jc w:val="right"/>
              <w:rPr>
                <w:rFonts w:ascii="宋体"/>
              </w:rPr>
            </w:pPr>
          </w:p>
        </w:tc>
      </w:tr>
      <w:tr w:rsidR="0040300B" w14:paraId="7B66EE4B" w14:textId="77777777">
        <w:trPr>
          <w:jc w:val="center"/>
        </w:trPr>
        <w:tc>
          <w:tcPr>
            <w:tcW w:w="0" w:type="auto"/>
            <w:gridSpan w:val="3"/>
            <w:shd w:val="clear" w:color="auto" w:fill="CCEEFF"/>
            <w:tcMar>
              <w:top w:w="40" w:type="dxa"/>
              <w:left w:w="875" w:type="dxa"/>
              <w:bottom w:w="40" w:type="dxa"/>
              <w:right w:w="20" w:type="dxa"/>
            </w:tcMar>
          </w:tcPr>
          <w:p w14:paraId="7B66EE47"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E4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E49" w14:textId="77777777" w:rsidR="0040300B" w:rsidRDefault="00BB2D44">
            <w:pPr>
              <w:jc w:val="right"/>
              <w:textAlignment w:val="bottom"/>
            </w:pPr>
            <w:r>
              <w:rPr>
                <w:rFonts w:ascii="Times New Roman" w:eastAsia="宋体" w:hAnsi="Times New Roman"/>
                <w:color w:val="000000"/>
                <w:sz w:val="20"/>
                <w:szCs w:val="20"/>
              </w:rPr>
              <w:t>1,006 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E4A" w14:textId="77777777" w:rsidR="0040300B" w:rsidRDefault="0040300B">
            <w:pPr>
              <w:jc w:val="right"/>
              <w:rPr>
                <w:rFonts w:ascii="宋体"/>
              </w:rPr>
            </w:pPr>
          </w:p>
        </w:tc>
      </w:tr>
    </w:tbl>
    <w:p w14:paraId="7B66EE4C" w14:textId="77777777" w:rsidR="0040300B" w:rsidRDefault="00BB2D44">
      <w:pPr>
        <w:jc w:val="center"/>
      </w:pPr>
      <w:r>
        <w:rPr>
          <w:rFonts w:ascii="Times New Roman" w:eastAsia="宋体" w:hAnsi="Times New Roman"/>
          <w:color w:val="000000"/>
          <w:sz w:val="20"/>
          <w:szCs w:val="20"/>
        </w:rPr>
        <w:t>17</w:t>
      </w:r>
    </w:p>
    <w:p w14:paraId="7B66EE4D" w14:textId="77777777" w:rsidR="0040300B" w:rsidRDefault="00BB2D44">
      <w:r>
        <w:pict w14:anchorId="7B671C21">
          <v:rect id="_x0000_i1041" style="width:415.3pt;height:1.5pt" o:hralign="center" o:hrstd="t" o:hr="t" fillcolor="#a0a0a0" stroked="f"/>
        </w:pict>
      </w:r>
    </w:p>
    <w:p w14:paraId="7B66EE4E" w14:textId="77777777" w:rsidR="0040300B" w:rsidRDefault="00BB2D44">
      <w:hyperlink r:id="rId63" w:anchor="i52d5b40dbad7426a9806a2fd5167029f_7" w:history="1">
        <w:r>
          <w:rPr>
            <w:rStyle w:val="a5"/>
            <w:rFonts w:ascii="Times New Roman" w:eastAsia="宋体" w:hAnsi="Times New Roman"/>
            <w:sz w:val="18"/>
            <w:szCs w:val="18"/>
          </w:rPr>
          <w:t>Table of Contents</w:t>
        </w:r>
      </w:hyperlink>
    </w:p>
    <w:p w14:paraId="7B66EE4F" w14:textId="77777777" w:rsidR="0040300B" w:rsidRDefault="00BB2D44">
      <w:pPr>
        <w:jc w:val="center"/>
      </w:pPr>
      <w:r>
        <w:rPr>
          <w:rFonts w:ascii="Times New Roman" w:eastAsia="宋体" w:hAnsi="Times New Roman"/>
          <w:b/>
          <w:bCs/>
          <w:color w:val="000000"/>
          <w:sz w:val="18"/>
          <w:szCs w:val="18"/>
        </w:rPr>
        <w:t>CISCO SYSTEMS, INC.</w:t>
      </w:r>
    </w:p>
    <w:p w14:paraId="7B66EE50"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E51" w14:textId="77777777" w:rsidR="0040300B" w:rsidRDefault="00BB2D44">
      <w:pPr>
        <w:jc w:val="center"/>
      </w:pPr>
      <w:r>
        <w:rPr>
          <w:rFonts w:ascii="Times New Roman" w:eastAsia="宋体" w:hAnsi="Times New Roman"/>
          <w:b/>
          <w:bCs/>
          <w:color w:val="000000"/>
          <w:sz w:val="18"/>
          <w:szCs w:val="18"/>
        </w:rPr>
        <w:t xml:space="preserve">(Unaudited) </w:t>
      </w:r>
    </w:p>
    <w:p w14:paraId="7B66EE52" w14:textId="77777777" w:rsidR="0040300B" w:rsidRDefault="0040300B">
      <w:pPr>
        <w:jc w:val="center"/>
      </w:pPr>
    </w:p>
    <w:p w14:paraId="7B66EE53" w14:textId="77777777" w:rsidR="0040300B" w:rsidRDefault="00BB2D44">
      <w:pPr>
        <w:spacing w:before="120"/>
        <w:ind w:hanging="360"/>
      </w:pPr>
      <w:r>
        <w:rPr>
          <w:rFonts w:ascii="Times New Roman" w:eastAsia="宋体" w:hAnsi="Times New Roman"/>
          <w:b/>
          <w:bCs/>
          <w:color w:val="000000"/>
          <w:sz w:val="20"/>
          <w:szCs w:val="20"/>
        </w:rPr>
        <w:t>(b)Lessor Arrangements</w:t>
      </w:r>
    </w:p>
    <w:p w14:paraId="7B66EE54" w14:textId="77777777" w:rsidR="0040300B" w:rsidRDefault="00BB2D44">
      <w:pPr>
        <w:spacing w:before="120"/>
        <w:jc w:val="both"/>
      </w:pPr>
      <w:r>
        <w:rPr>
          <w:rFonts w:ascii="Times New Roman" w:eastAsia="宋体" w:hAnsi="Times New Roman"/>
          <w:color w:val="000000"/>
          <w:sz w:val="20"/>
          <w:szCs w:val="20"/>
        </w:rPr>
        <w:t>Our leases primarily represent sales-type leases with terms of four years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on average. We provide leasing of our equipment and complementary third-party products primarily through our channel partners and distributors, for which the i</w:t>
      </w:r>
      <w:r>
        <w:rPr>
          <w:rFonts w:ascii="Times New Roman" w:eastAsia="宋体" w:hAnsi="Times New Roman"/>
          <w:color w:val="000000"/>
          <w:sz w:val="20"/>
          <w:szCs w:val="20"/>
        </w:rPr>
        <w:t>ncome arising from these leases is recognized through interest income. Interest income for the third quarter and first nine months of fiscal 2021 was $19 million and $59 million, respectively, and $23 million and $72 million for the corresponding periods o</w:t>
      </w:r>
      <w:r>
        <w:rPr>
          <w:rFonts w:ascii="Times New Roman" w:eastAsia="宋体" w:hAnsi="Times New Roman"/>
          <w:color w:val="000000"/>
          <w:sz w:val="20"/>
          <w:szCs w:val="20"/>
        </w:rPr>
        <w:t>f fiscal 2020, respectively, and was included in interest income in the Consolidated Statement of Operations. The net investment of our lease receivables is measured at the commencement date as the gross lease receivable, residual value less unearned incom</w:t>
      </w:r>
      <w:r>
        <w:rPr>
          <w:rFonts w:ascii="Times New Roman" w:eastAsia="宋体" w:hAnsi="Times New Roman"/>
          <w:color w:val="000000"/>
          <w:sz w:val="20"/>
          <w:szCs w:val="20"/>
        </w:rPr>
        <w:t xml:space="preserve">e and allowance for credit loss. For additional information, see Note 9. </w:t>
      </w:r>
    </w:p>
    <w:p w14:paraId="7B66EE55" w14:textId="77777777" w:rsidR="0040300B" w:rsidRDefault="00BB2D44">
      <w:pPr>
        <w:spacing w:before="120"/>
        <w:jc w:val="both"/>
      </w:pPr>
      <w:r>
        <w:rPr>
          <w:rFonts w:ascii="Times New Roman" w:eastAsia="宋体" w:hAnsi="Times New Roman"/>
          <w:color w:val="000000"/>
          <w:sz w:val="20"/>
          <w:szCs w:val="20"/>
        </w:rPr>
        <w:t xml:space="preserve">Future minimum lease payments on our lease receivables as of May 1, 2021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40300B" w14:paraId="7B66EE5C" w14:textId="77777777">
        <w:trPr>
          <w:jc w:val="center"/>
        </w:trPr>
        <w:tc>
          <w:tcPr>
            <w:tcW w:w="50" w:type="pct"/>
            <w:shd w:val="clear" w:color="auto" w:fill="auto"/>
          </w:tcPr>
          <w:p w14:paraId="7B66EE56" w14:textId="77777777" w:rsidR="0040300B" w:rsidRDefault="0040300B">
            <w:pPr>
              <w:rPr>
                <w:rFonts w:ascii="宋体"/>
              </w:rPr>
            </w:pPr>
          </w:p>
        </w:tc>
        <w:tc>
          <w:tcPr>
            <w:tcW w:w="4209" w:type="pct"/>
            <w:shd w:val="clear" w:color="auto" w:fill="auto"/>
          </w:tcPr>
          <w:p w14:paraId="7B66EE57" w14:textId="77777777" w:rsidR="0040300B" w:rsidRDefault="0040300B">
            <w:pPr>
              <w:rPr>
                <w:rFonts w:ascii="宋体"/>
              </w:rPr>
            </w:pPr>
          </w:p>
        </w:tc>
        <w:tc>
          <w:tcPr>
            <w:tcW w:w="5" w:type="pct"/>
            <w:shd w:val="clear" w:color="auto" w:fill="auto"/>
          </w:tcPr>
          <w:p w14:paraId="7B66EE58" w14:textId="77777777" w:rsidR="0040300B" w:rsidRDefault="0040300B">
            <w:pPr>
              <w:rPr>
                <w:rFonts w:ascii="宋体"/>
              </w:rPr>
            </w:pPr>
          </w:p>
        </w:tc>
        <w:tc>
          <w:tcPr>
            <w:tcW w:w="50" w:type="pct"/>
            <w:shd w:val="clear" w:color="auto" w:fill="auto"/>
          </w:tcPr>
          <w:p w14:paraId="7B66EE59" w14:textId="77777777" w:rsidR="0040300B" w:rsidRDefault="0040300B">
            <w:pPr>
              <w:rPr>
                <w:rFonts w:ascii="宋体"/>
              </w:rPr>
            </w:pPr>
          </w:p>
        </w:tc>
        <w:tc>
          <w:tcPr>
            <w:tcW w:w="680" w:type="pct"/>
            <w:shd w:val="clear" w:color="auto" w:fill="auto"/>
          </w:tcPr>
          <w:p w14:paraId="7B66EE5A" w14:textId="77777777" w:rsidR="0040300B" w:rsidRDefault="0040300B">
            <w:pPr>
              <w:rPr>
                <w:rFonts w:ascii="宋体"/>
              </w:rPr>
            </w:pPr>
          </w:p>
        </w:tc>
        <w:tc>
          <w:tcPr>
            <w:tcW w:w="5" w:type="pct"/>
            <w:shd w:val="clear" w:color="auto" w:fill="auto"/>
          </w:tcPr>
          <w:p w14:paraId="7B66EE5B" w14:textId="77777777" w:rsidR="0040300B" w:rsidRDefault="0040300B">
            <w:pPr>
              <w:rPr>
                <w:rFonts w:ascii="宋体"/>
              </w:rPr>
            </w:pPr>
          </w:p>
        </w:tc>
      </w:tr>
      <w:tr w:rsidR="0040300B" w14:paraId="7B66EE5F" w14:textId="77777777">
        <w:trPr>
          <w:jc w:val="center"/>
        </w:trPr>
        <w:tc>
          <w:tcPr>
            <w:tcW w:w="0" w:type="auto"/>
            <w:gridSpan w:val="3"/>
            <w:shd w:val="clear" w:color="auto" w:fill="auto"/>
            <w:tcMar>
              <w:top w:w="40" w:type="dxa"/>
              <w:left w:w="20" w:type="dxa"/>
              <w:bottom w:w="40" w:type="dxa"/>
              <w:right w:w="20" w:type="dxa"/>
            </w:tcMar>
            <w:vAlign w:val="bottom"/>
          </w:tcPr>
          <w:p w14:paraId="7B66EE5D" w14:textId="77777777" w:rsidR="0040300B" w:rsidRDefault="00BB2D4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7B66EE5E"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6EE64" w14:textId="77777777">
        <w:trPr>
          <w:jc w:val="center"/>
        </w:trPr>
        <w:tc>
          <w:tcPr>
            <w:tcW w:w="0" w:type="auto"/>
            <w:gridSpan w:val="3"/>
            <w:shd w:val="clear" w:color="auto" w:fill="CCEEFF"/>
            <w:tcMar>
              <w:top w:w="40" w:type="dxa"/>
              <w:left w:w="20" w:type="dxa"/>
              <w:bottom w:w="40" w:type="dxa"/>
              <w:right w:w="20" w:type="dxa"/>
            </w:tcMar>
          </w:tcPr>
          <w:p w14:paraId="7B66EE60" w14:textId="77777777" w:rsidR="0040300B" w:rsidRDefault="00BB2D44">
            <w:pPr>
              <w:textAlignment w:val="top"/>
            </w:pPr>
            <w:r>
              <w:rPr>
                <w:rFonts w:ascii="Times New Roman" w:eastAsia="宋体" w:hAnsi="Times New Roman"/>
                <w:color w:val="000000"/>
                <w:sz w:val="20"/>
                <w:szCs w:val="20"/>
              </w:rPr>
              <w:t>2021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E6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62" w14:textId="77777777" w:rsidR="0040300B" w:rsidRDefault="00BB2D44">
            <w:pPr>
              <w:jc w:val="right"/>
              <w:textAlignment w:val="bottom"/>
            </w:pPr>
            <w:r>
              <w:rPr>
                <w:rFonts w:ascii="Times New Roman" w:eastAsia="宋体" w:hAnsi="Times New Roman"/>
                <w:color w:val="000000"/>
                <w:sz w:val="20"/>
                <w:szCs w:val="20"/>
              </w:rPr>
              <w:t>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63" w14:textId="77777777" w:rsidR="0040300B" w:rsidRDefault="0040300B">
            <w:pPr>
              <w:jc w:val="right"/>
              <w:rPr>
                <w:rFonts w:ascii="宋体"/>
              </w:rPr>
            </w:pPr>
          </w:p>
        </w:tc>
      </w:tr>
      <w:tr w:rsidR="0040300B" w14:paraId="7B66EE68" w14:textId="77777777">
        <w:trPr>
          <w:jc w:val="center"/>
        </w:trPr>
        <w:tc>
          <w:tcPr>
            <w:tcW w:w="0" w:type="auto"/>
            <w:gridSpan w:val="3"/>
            <w:shd w:val="clear" w:color="auto" w:fill="FFFFFF"/>
            <w:tcMar>
              <w:top w:w="40" w:type="dxa"/>
              <w:left w:w="20" w:type="dxa"/>
              <w:bottom w:w="40" w:type="dxa"/>
              <w:right w:w="20" w:type="dxa"/>
            </w:tcMar>
          </w:tcPr>
          <w:p w14:paraId="7B66EE65" w14:textId="77777777" w:rsidR="0040300B" w:rsidRDefault="00BB2D44">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B66EE66" w14:textId="77777777" w:rsidR="0040300B" w:rsidRDefault="00BB2D44">
            <w:pPr>
              <w:jc w:val="right"/>
              <w:textAlignment w:val="bottom"/>
            </w:pPr>
            <w:r>
              <w:rPr>
                <w:rFonts w:ascii="Times New Roman" w:eastAsia="宋体" w:hAnsi="Times New Roman"/>
                <w:color w:val="000000"/>
                <w:sz w:val="20"/>
                <w:szCs w:val="20"/>
              </w:rPr>
              <w:t>727 </w:t>
            </w:r>
          </w:p>
        </w:tc>
        <w:tc>
          <w:tcPr>
            <w:tcW w:w="0" w:type="auto"/>
            <w:shd w:val="clear" w:color="auto" w:fill="FFFFFF"/>
            <w:tcMar>
              <w:top w:w="40" w:type="dxa"/>
              <w:left w:w="0" w:type="dxa"/>
              <w:bottom w:w="40" w:type="dxa"/>
              <w:right w:w="20" w:type="dxa"/>
            </w:tcMar>
            <w:vAlign w:val="bottom"/>
          </w:tcPr>
          <w:p w14:paraId="7B66EE67" w14:textId="77777777" w:rsidR="0040300B" w:rsidRDefault="0040300B">
            <w:pPr>
              <w:jc w:val="right"/>
              <w:rPr>
                <w:rFonts w:ascii="宋体"/>
              </w:rPr>
            </w:pPr>
          </w:p>
        </w:tc>
      </w:tr>
      <w:tr w:rsidR="0040300B" w14:paraId="7B66EE6C" w14:textId="77777777">
        <w:trPr>
          <w:jc w:val="center"/>
        </w:trPr>
        <w:tc>
          <w:tcPr>
            <w:tcW w:w="0" w:type="auto"/>
            <w:gridSpan w:val="3"/>
            <w:shd w:val="clear" w:color="auto" w:fill="CCEEFF"/>
            <w:tcMar>
              <w:top w:w="40" w:type="dxa"/>
              <w:left w:w="20" w:type="dxa"/>
              <w:bottom w:w="40" w:type="dxa"/>
              <w:right w:w="20" w:type="dxa"/>
            </w:tcMar>
          </w:tcPr>
          <w:p w14:paraId="7B66EE69" w14:textId="77777777" w:rsidR="0040300B" w:rsidRDefault="00BB2D44">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7B66EE6A" w14:textId="77777777" w:rsidR="0040300B" w:rsidRDefault="00BB2D44">
            <w:pPr>
              <w:jc w:val="right"/>
              <w:textAlignment w:val="bottom"/>
            </w:pPr>
            <w:r>
              <w:rPr>
                <w:rFonts w:ascii="Times New Roman" w:eastAsia="宋体" w:hAnsi="Times New Roman"/>
                <w:color w:val="000000"/>
                <w:sz w:val="20"/>
                <w:szCs w:val="20"/>
              </w:rPr>
              <w:t>467 </w:t>
            </w:r>
          </w:p>
        </w:tc>
        <w:tc>
          <w:tcPr>
            <w:tcW w:w="0" w:type="auto"/>
            <w:shd w:val="clear" w:color="auto" w:fill="CCEEFF"/>
            <w:tcMar>
              <w:top w:w="40" w:type="dxa"/>
              <w:left w:w="0" w:type="dxa"/>
              <w:bottom w:w="40" w:type="dxa"/>
              <w:right w:w="20" w:type="dxa"/>
            </w:tcMar>
            <w:vAlign w:val="bottom"/>
          </w:tcPr>
          <w:p w14:paraId="7B66EE6B" w14:textId="77777777" w:rsidR="0040300B" w:rsidRDefault="0040300B">
            <w:pPr>
              <w:jc w:val="right"/>
              <w:rPr>
                <w:rFonts w:ascii="宋体"/>
              </w:rPr>
            </w:pPr>
          </w:p>
        </w:tc>
      </w:tr>
      <w:tr w:rsidR="0040300B" w14:paraId="7B66EE70" w14:textId="77777777">
        <w:trPr>
          <w:jc w:val="center"/>
        </w:trPr>
        <w:tc>
          <w:tcPr>
            <w:tcW w:w="0" w:type="auto"/>
            <w:gridSpan w:val="3"/>
            <w:shd w:val="clear" w:color="auto" w:fill="FFFFFF"/>
            <w:tcMar>
              <w:top w:w="40" w:type="dxa"/>
              <w:left w:w="20" w:type="dxa"/>
              <w:bottom w:w="40" w:type="dxa"/>
              <w:right w:w="20" w:type="dxa"/>
            </w:tcMar>
          </w:tcPr>
          <w:p w14:paraId="7B66EE6D" w14:textId="77777777" w:rsidR="0040300B" w:rsidRDefault="00BB2D44">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B66EE6E" w14:textId="77777777" w:rsidR="0040300B" w:rsidRDefault="00BB2D44">
            <w:pPr>
              <w:jc w:val="right"/>
              <w:textAlignment w:val="bottom"/>
            </w:pPr>
            <w:r>
              <w:rPr>
                <w:rFonts w:ascii="Times New Roman" w:eastAsia="宋体" w:hAnsi="Times New Roman"/>
                <w:color w:val="000000"/>
                <w:sz w:val="20"/>
                <w:szCs w:val="20"/>
              </w:rPr>
              <w:t>272 </w:t>
            </w:r>
          </w:p>
        </w:tc>
        <w:tc>
          <w:tcPr>
            <w:tcW w:w="0" w:type="auto"/>
            <w:shd w:val="clear" w:color="auto" w:fill="FFFFFF"/>
            <w:tcMar>
              <w:top w:w="40" w:type="dxa"/>
              <w:left w:w="0" w:type="dxa"/>
              <w:bottom w:w="40" w:type="dxa"/>
              <w:right w:w="20" w:type="dxa"/>
            </w:tcMar>
            <w:vAlign w:val="bottom"/>
          </w:tcPr>
          <w:p w14:paraId="7B66EE6F" w14:textId="77777777" w:rsidR="0040300B" w:rsidRDefault="0040300B">
            <w:pPr>
              <w:jc w:val="right"/>
              <w:rPr>
                <w:rFonts w:ascii="宋体"/>
              </w:rPr>
            </w:pPr>
          </w:p>
        </w:tc>
      </w:tr>
      <w:tr w:rsidR="0040300B" w14:paraId="7B66EE74" w14:textId="77777777">
        <w:trPr>
          <w:jc w:val="center"/>
        </w:trPr>
        <w:tc>
          <w:tcPr>
            <w:tcW w:w="0" w:type="auto"/>
            <w:gridSpan w:val="3"/>
            <w:shd w:val="clear" w:color="auto" w:fill="CCEEFF"/>
            <w:tcMar>
              <w:top w:w="40" w:type="dxa"/>
              <w:left w:w="20" w:type="dxa"/>
              <w:bottom w:w="40" w:type="dxa"/>
              <w:right w:w="20" w:type="dxa"/>
            </w:tcMar>
          </w:tcPr>
          <w:p w14:paraId="7B66EE71" w14:textId="77777777" w:rsidR="0040300B" w:rsidRDefault="00BB2D44">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7B66EE72" w14:textId="77777777" w:rsidR="0040300B" w:rsidRDefault="00BB2D44">
            <w:pPr>
              <w:jc w:val="right"/>
              <w:textAlignment w:val="bottom"/>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bottom"/>
          </w:tcPr>
          <w:p w14:paraId="7B66EE73" w14:textId="77777777" w:rsidR="0040300B" w:rsidRDefault="0040300B">
            <w:pPr>
              <w:jc w:val="right"/>
              <w:rPr>
                <w:rFonts w:ascii="宋体"/>
              </w:rPr>
            </w:pPr>
          </w:p>
        </w:tc>
      </w:tr>
      <w:tr w:rsidR="0040300B" w14:paraId="7B66EE78" w14:textId="77777777">
        <w:trPr>
          <w:jc w:val="center"/>
        </w:trPr>
        <w:tc>
          <w:tcPr>
            <w:tcW w:w="0" w:type="auto"/>
            <w:gridSpan w:val="3"/>
            <w:shd w:val="clear" w:color="auto" w:fill="FFFFFF"/>
            <w:tcMar>
              <w:top w:w="40" w:type="dxa"/>
              <w:left w:w="20" w:type="dxa"/>
              <w:bottom w:w="40" w:type="dxa"/>
              <w:right w:w="20" w:type="dxa"/>
            </w:tcMar>
          </w:tcPr>
          <w:p w14:paraId="7B66EE75" w14:textId="77777777" w:rsidR="0040300B" w:rsidRDefault="00BB2D4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B66EE76" w14:textId="77777777" w:rsidR="0040300B" w:rsidRDefault="00BB2D44">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7B66EE77" w14:textId="77777777" w:rsidR="0040300B" w:rsidRDefault="0040300B">
            <w:pPr>
              <w:jc w:val="right"/>
              <w:rPr>
                <w:rFonts w:ascii="宋体"/>
              </w:rPr>
            </w:pPr>
          </w:p>
        </w:tc>
      </w:tr>
      <w:tr w:rsidR="0040300B" w14:paraId="7B66EE7C" w14:textId="77777777">
        <w:trPr>
          <w:jc w:val="center"/>
        </w:trPr>
        <w:tc>
          <w:tcPr>
            <w:tcW w:w="0" w:type="auto"/>
            <w:gridSpan w:val="3"/>
            <w:shd w:val="clear" w:color="auto" w:fill="CCEEFF"/>
            <w:tcMar>
              <w:top w:w="40" w:type="dxa"/>
              <w:left w:w="380" w:type="dxa"/>
              <w:bottom w:w="40" w:type="dxa"/>
              <w:right w:w="20" w:type="dxa"/>
            </w:tcMar>
          </w:tcPr>
          <w:p w14:paraId="7B66EE79" w14:textId="77777777" w:rsidR="0040300B" w:rsidRDefault="00BB2D44">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EE7A" w14:textId="77777777" w:rsidR="0040300B" w:rsidRDefault="00BB2D44">
            <w:pPr>
              <w:jc w:val="right"/>
              <w:textAlignment w:val="bottom"/>
            </w:pPr>
            <w:r>
              <w:rPr>
                <w:rFonts w:ascii="Times New Roman" w:eastAsia="宋体" w:hAnsi="Times New Roman"/>
                <w:color w:val="000000"/>
                <w:sz w:val="20"/>
                <w:szCs w:val="20"/>
              </w:rPr>
              <w:t>1,732 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7B" w14:textId="77777777" w:rsidR="0040300B" w:rsidRDefault="0040300B">
            <w:pPr>
              <w:jc w:val="right"/>
              <w:rPr>
                <w:rFonts w:ascii="宋体"/>
              </w:rPr>
            </w:pPr>
          </w:p>
        </w:tc>
      </w:tr>
      <w:tr w:rsidR="0040300B" w14:paraId="7B66EE80" w14:textId="77777777">
        <w:trPr>
          <w:jc w:val="center"/>
        </w:trPr>
        <w:tc>
          <w:tcPr>
            <w:tcW w:w="0" w:type="auto"/>
            <w:gridSpan w:val="3"/>
            <w:shd w:val="clear" w:color="auto" w:fill="FFFFFF"/>
            <w:tcMar>
              <w:top w:w="40" w:type="dxa"/>
              <w:left w:w="605" w:type="dxa"/>
              <w:bottom w:w="40" w:type="dxa"/>
              <w:right w:w="20" w:type="dxa"/>
            </w:tcMar>
          </w:tcPr>
          <w:p w14:paraId="7B66EE7D" w14:textId="77777777" w:rsidR="0040300B" w:rsidRDefault="00BB2D44">
            <w:pPr>
              <w:textAlignment w:val="top"/>
            </w:pPr>
            <w:r>
              <w:rPr>
                <w:rFonts w:ascii="Times New Roman" w:eastAsia="宋体" w:hAnsi="Times New Roman"/>
                <w:color w:val="000000"/>
                <w:sz w:val="20"/>
                <w:szCs w:val="20"/>
              </w:rPr>
              <w:t>Less: Present value of lease payments</w:t>
            </w:r>
          </w:p>
        </w:tc>
        <w:tc>
          <w:tcPr>
            <w:tcW w:w="0" w:type="auto"/>
            <w:gridSpan w:val="2"/>
            <w:shd w:val="clear" w:color="auto" w:fill="FFFFFF"/>
            <w:tcMar>
              <w:top w:w="40" w:type="dxa"/>
              <w:left w:w="20" w:type="dxa"/>
              <w:bottom w:w="40" w:type="dxa"/>
              <w:right w:w="0" w:type="dxa"/>
            </w:tcMar>
            <w:vAlign w:val="bottom"/>
          </w:tcPr>
          <w:p w14:paraId="7B66EE7E" w14:textId="77777777" w:rsidR="0040300B" w:rsidRDefault="00BB2D44">
            <w:pPr>
              <w:jc w:val="right"/>
              <w:textAlignment w:val="bottom"/>
            </w:pPr>
            <w:r>
              <w:rPr>
                <w:rFonts w:ascii="Times New Roman" w:eastAsia="宋体" w:hAnsi="Times New Roman"/>
                <w:color w:val="000000"/>
                <w:sz w:val="20"/>
                <w:szCs w:val="20"/>
              </w:rPr>
              <w:t>1,642 </w:t>
            </w:r>
          </w:p>
        </w:tc>
        <w:tc>
          <w:tcPr>
            <w:tcW w:w="0" w:type="auto"/>
            <w:shd w:val="clear" w:color="auto" w:fill="FFFFFF"/>
            <w:tcMar>
              <w:top w:w="40" w:type="dxa"/>
              <w:left w:w="0" w:type="dxa"/>
              <w:bottom w:w="40" w:type="dxa"/>
              <w:right w:w="20" w:type="dxa"/>
            </w:tcMar>
            <w:vAlign w:val="bottom"/>
          </w:tcPr>
          <w:p w14:paraId="7B66EE7F" w14:textId="77777777" w:rsidR="0040300B" w:rsidRDefault="0040300B">
            <w:pPr>
              <w:jc w:val="right"/>
              <w:rPr>
                <w:rFonts w:ascii="宋体"/>
              </w:rPr>
            </w:pPr>
          </w:p>
        </w:tc>
      </w:tr>
      <w:tr w:rsidR="0040300B" w14:paraId="7B66EE85" w14:textId="77777777">
        <w:trPr>
          <w:jc w:val="center"/>
        </w:trPr>
        <w:tc>
          <w:tcPr>
            <w:tcW w:w="0" w:type="auto"/>
            <w:gridSpan w:val="3"/>
            <w:shd w:val="clear" w:color="auto" w:fill="CCEEFF"/>
            <w:tcMar>
              <w:top w:w="40" w:type="dxa"/>
              <w:left w:w="380" w:type="dxa"/>
              <w:bottom w:w="40" w:type="dxa"/>
              <w:right w:w="20" w:type="dxa"/>
            </w:tcMar>
          </w:tcPr>
          <w:p w14:paraId="7B66EE81" w14:textId="77777777" w:rsidR="0040300B" w:rsidRDefault="00BB2D44">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E8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E83" w14:textId="77777777" w:rsidR="0040300B" w:rsidRDefault="00BB2D44">
            <w:pPr>
              <w:jc w:val="right"/>
              <w:textAlignment w:val="bottom"/>
            </w:pPr>
            <w:r>
              <w:rPr>
                <w:rFonts w:ascii="Times New Roman" w:eastAsia="宋体" w:hAnsi="Times New Roman"/>
                <w:color w:val="000000"/>
                <w:sz w:val="20"/>
                <w:szCs w:val="20"/>
              </w:rPr>
              <w:t>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E84" w14:textId="77777777" w:rsidR="0040300B" w:rsidRDefault="0040300B">
            <w:pPr>
              <w:jc w:val="right"/>
              <w:rPr>
                <w:rFonts w:ascii="宋体"/>
              </w:rPr>
            </w:pPr>
          </w:p>
        </w:tc>
      </w:tr>
    </w:tbl>
    <w:p w14:paraId="7B66EE86" w14:textId="77777777" w:rsidR="0040300B" w:rsidRDefault="00BB2D44">
      <w:pPr>
        <w:spacing w:before="120"/>
        <w:jc w:val="both"/>
      </w:pPr>
      <w:r>
        <w:rPr>
          <w:rFonts w:ascii="Times New Roman" w:eastAsia="宋体" w:hAnsi="Times New Roman"/>
          <w:color w:val="000000"/>
          <w:sz w:val="20"/>
          <w:szCs w:val="20"/>
        </w:rPr>
        <w:t xml:space="preserve">Actual cash collections may differ from the contractual maturities due to early customer buyouts, </w:t>
      </w:r>
      <w:r>
        <w:rPr>
          <w:rFonts w:ascii="Times New Roman" w:eastAsia="宋体" w:hAnsi="Times New Roman"/>
          <w:color w:val="000000"/>
          <w:sz w:val="20"/>
          <w:szCs w:val="20"/>
        </w:rPr>
        <w:t>refinancings, or defaults.</w:t>
      </w:r>
    </w:p>
    <w:p w14:paraId="7B66EE87" w14:textId="77777777" w:rsidR="0040300B" w:rsidRDefault="00BB2D44">
      <w:pPr>
        <w:spacing w:before="120"/>
        <w:jc w:val="both"/>
      </w:pPr>
      <w:r>
        <w:rPr>
          <w:rFonts w:ascii="Times New Roman" w:eastAsia="宋体" w:hAnsi="Times New Roman"/>
          <w:color w:val="000000"/>
          <w:sz w:val="20"/>
          <w:szCs w:val="20"/>
        </w:rPr>
        <w:t>We provide financing of certain equipment through operating leases, and the amounts are included in property and equipment in the Consolidated Balance Sheets. Amounts relating to equipment on operating lease assets held by us and</w:t>
      </w:r>
      <w:r>
        <w:rPr>
          <w:rFonts w:ascii="Times New Roman" w:eastAsia="宋体" w:hAnsi="Times New Roman"/>
          <w:color w:val="000000"/>
          <w:sz w:val="20"/>
          <w:szCs w:val="20"/>
        </w:rPr>
        <w:t xml:space="preserve"> the associated accumulated depreciation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5"/>
        <w:gridCol w:w="38"/>
        <w:gridCol w:w="120"/>
        <w:gridCol w:w="1083"/>
        <w:gridCol w:w="36"/>
        <w:gridCol w:w="36"/>
        <w:gridCol w:w="36"/>
        <w:gridCol w:w="36"/>
        <w:gridCol w:w="120"/>
        <w:gridCol w:w="1050"/>
        <w:gridCol w:w="36"/>
      </w:tblGrid>
      <w:tr w:rsidR="0040300B" w14:paraId="7B66EE94" w14:textId="77777777">
        <w:trPr>
          <w:jc w:val="center"/>
        </w:trPr>
        <w:tc>
          <w:tcPr>
            <w:tcW w:w="50" w:type="pct"/>
            <w:shd w:val="clear" w:color="auto" w:fill="auto"/>
          </w:tcPr>
          <w:p w14:paraId="7B66EE88" w14:textId="77777777" w:rsidR="0040300B" w:rsidRDefault="0040300B">
            <w:pPr>
              <w:rPr>
                <w:rFonts w:ascii="宋体"/>
              </w:rPr>
            </w:pPr>
          </w:p>
        </w:tc>
        <w:tc>
          <w:tcPr>
            <w:tcW w:w="3446" w:type="pct"/>
            <w:shd w:val="clear" w:color="auto" w:fill="auto"/>
          </w:tcPr>
          <w:p w14:paraId="7B66EE89" w14:textId="77777777" w:rsidR="0040300B" w:rsidRDefault="0040300B">
            <w:pPr>
              <w:rPr>
                <w:rFonts w:ascii="宋体"/>
              </w:rPr>
            </w:pPr>
          </w:p>
        </w:tc>
        <w:tc>
          <w:tcPr>
            <w:tcW w:w="5" w:type="pct"/>
            <w:shd w:val="clear" w:color="auto" w:fill="auto"/>
          </w:tcPr>
          <w:p w14:paraId="7B66EE8A" w14:textId="77777777" w:rsidR="0040300B" w:rsidRDefault="0040300B">
            <w:pPr>
              <w:rPr>
                <w:rFonts w:ascii="宋体"/>
              </w:rPr>
            </w:pPr>
          </w:p>
        </w:tc>
        <w:tc>
          <w:tcPr>
            <w:tcW w:w="50" w:type="pct"/>
            <w:shd w:val="clear" w:color="auto" w:fill="auto"/>
          </w:tcPr>
          <w:p w14:paraId="7B66EE8B" w14:textId="77777777" w:rsidR="0040300B" w:rsidRDefault="0040300B">
            <w:pPr>
              <w:rPr>
                <w:rFonts w:ascii="宋体"/>
              </w:rPr>
            </w:pPr>
          </w:p>
        </w:tc>
        <w:tc>
          <w:tcPr>
            <w:tcW w:w="675" w:type="pct"/>
            <w:shd w:val="clear" w:color="auto" w:fill="auto"/>
          </w:tcPr>
          <w:p w14:paraId="7B66EE8C" w14:textId="77777777" w:rsidR="0040300B" w:rsidRDefault="0040300B">
            <w:pPr>
              <w:rPr>
                <w:rFonts w:ascii="宋体"/>
              </w:rPr>
            </w:pPr>
          </w:p>
        </w:tc>
        <w:tc>
          <w:tcPr>
            <w:tcW w:w="5" w:type="pct"/>
            <w:shd w:val="clear" w:color="auto" w:fill="auto"/>
          </w:tcPr>
          <w:p w14:paraId="7B66EE8D" w14:textId="77777777" w:rsidR="0040300B" w:rsidRDefault="0040300B">
            <w:pPr>
              <w:rPr>
                <w:rFonts w:ascii="宋体"/>
              </w:rPr>
            </w:pPr>
          </w:p>
        </w:tc>
        <w:tc>
          <w:tcPr>
            <w:tcW w:w="5" w:type="pct"/>
            <w:shd w:val="clear" w:color="auto" w:fill="auto"/>
          </w:tcPr>
          <w:p w14:paraId="7B66EE8E" w14:textId="77777777" w:rsidR="0040300B" w:rsidRDefault="0040300B">
            <w:pPr>
              <w:rPr>
                <w:rFonts w:ascii="宋体"/>
              </w:rPr>
            </w:pPr>
          </w:p>
        </w:tc>
        <w:tc>
          <w:tcPr>
            <w:tcW w:w="26" w:type="pct"/>
            <w:shd w:val="clear" w:color="auto" w:fill="auto"/>
          </w:tcPr>
          <w:p w14:paraId="7B66EE8F" w14:textId="77777777" w:rsidR="0040300B" w:rsidRDefault="0040300B">
            <w:pPr>
              <w:rPr>
                <w:rFonts w:ascii="宋体"/>
              </w:rPr>
            </w:pPr>
          </w:p>
        </w:tc>
        <w:tc>
          <w:tcPr>
            <w:tcW w:w="5" w:type="pct"/>
            <w:shd w:val="clear" w:color="auto" w:fill="auto"/>
          </w:tcPr>
          <w:p w14:paraId="7B66EE90" w14:textId="77777777" w:rsidR="0040300B" w:rsidRDefault="0040300B">
            <w:pPr>
              <w:rPr>
                <w:rFonts w:ascii="宋体"/>
              </w:rPr>
            </w:pPr>
          </w:p>
        </w:tc>
        <w:tc>
          <w:tcPr>
            <w:tcW w:w="50" w:type="pct"/>
            <w:shd w:val="clear" w:color="auto" w:fill="auto"/>
          </w:tcPr>
          <w:p w14:paraId="7B66EE91" w14:textId="77777777" w:rsidR="0040300B" w:rsidRDefault="0040300B">
            <w:pPr>
              <w:rPr>
                <w:rFonts w:ascii="宋体"/>
              </w:rPr>
            </w:pPr>
          </w:p>
        </w:tc>
        <w:tc>
          <w:tcPr>
            <w:tcW w:w="676" w:type="pct"/>
            <w:shd w:val="clear" w:color="auto" w:fill="auto"/>
          </w:tcPr>
          <w:p w14:paraId="7B66EE92" w14:textId="77777777" w:rsidR="0040300B" w:rsidRDefault="0040300B">
            <w:pPr>
              <w:rPr>
                <w:rFonts w:ascii="宋体"/>
              </w:rPr>
            </w:pPr>
          </w:p>
        </w:tc>
        <w:tc>
          <w:tcPr>
            <w:tcW w:w="5" w:type="pct"/>
            <w:shd w:val="clear" w:color="auto" w:fill="auto"/>
          </w:tcPr>
          <w:p w14:paraId="7B66EE93" w14:textId="77777777" w:rsidR="0040300B" w:rsidRDefault="0040300B">
            <w:pPr>
              <w:rPr>
                <w:rFonts w:ascii="宋体"/>
              </w:rPr>
            </w:pPr>
          </w:p>
        </w:tc>
      </w:tr>
      <w:tr w:rsidR="0040300B" w14:paraId="7B66EE99" w14:textId="77777777">
        <w:trPr>
          <w:jc w:val="center"/>
        </w:trPr>
        <w:tc>
          <w:tcPr>
            <w:tcW w:w="0" w:type="auto"/>
            <w:gridSpan w:val="3"/>
            <w:shd w:val="clear" w:color="auto" w:fill="auto"/>
            <w:tcMar>
              <w:top w:w="0" w:type="dxa"/>
              <w:left w:w="20" w:type="dxa"/>
              <w:bottom w:w="0" w:type="dxa"/>
              <w:right w:w="20" w:type="dxa"/>
            </w:tcMar>
          </w:tcPr>
          <w:p w14:paraId="7B66EE9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E96"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EE9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E98"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EEA2" w14:textId="77777777">
        <w:trPr>
          <w:jc w:val="center"/>
        </w:trPr>
        <w:tc>
          <w:tcPr>
            <w:tcW w:w="0" w:type="auto"/>
            <w:gridSpan w:val="3"/>
            <w:shd w:val="clear" w:color="auto" w:fill="CCEEFF"/>
            <w:tcMar>
              <w:top w:w="40" w:type="dxa"/>
              <w:left w:w="20" w:type="dxa"/>
              <w:bottom w:w="40" w:type="dxa"/>
              <w:right w:w="20" w:type="dxa"/>
            </w:tcMar>
          </w:tcPr>
          <w:p w14:paraId="7B66EE9A" w14:textId="77777777" w:rsidR="0040300B" w:rsidRDefault="00BB2D44">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E9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9C" w14:textId="77777777" w:rsidR="0040300B" w:rsidRDefault="00BB2D44">
            <w:pPr>
              <w:jc w:val="right"/>
              <w:textAlignment w:val="bottom"/>
            </w:pPr>
            <w:r>
              <w:rPr>
                <w:rFonts w:ascii="Times New Roman" w:eastAsia="宋体" w:hAnsi="Times New Roman"/>
                <w:color w:val="000000"/>
                <w:sz w:val="20"/>
                <w:szCs w:val="20"/>
              </w:rPr>
              <w:t>311 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9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E9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E9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A0" w14:textId="77777777" w:rsidR="0040300B" w:rsidRDefault="00BB2D44">
            <w:pPr>
              <w:jc w:val="right"/>
              <w:textAlignment w:val="bottom"/>
            </w:pPr>
            <w:r>
              <w:rPr>
                <w:rFonts w:ascii="Times New Roman" w:eastAsia="宋体" w:hAnsi="Times New Roman"/>
                <w:color w:val="000000"/>
                <w:sz w:val="20"/>
                <w:szCs w:val="20"/>
              </w:rPr>
              <w:t>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A1" w14:textId="77777777" w:rsidR="0040300B" w:rsidRDefault="0040300B">
            <w:pPr>
              <w:jc w:val="right"/>
              <w:rPr>
                <w:rFonts w:ascii="宋体"/>
              </w:rPr>
            </w:pPr>
          </w:p>
        </w:tc>
      </w:tr>
      <w:tr w:rsidR="0040300B" w14:paraId="7B66EEA9" w14:textId="77777777">
        <w:trPr>
          <w:jc w:val="center"/>
        </w:trPr>
        <w:tc>
          <w:tcPr>
            <w:tcW w:w="0" w:type="auto"/>
            <w:gridSpan w:val="3"/>
            <w:shd w:val="clear" w:color="auto" w:fill="auto"/>
            <w:tcMar>
              <w:top w:w="40" w:type="dxa"/>
              <w:left w:w="20" w:type="dxa"/>
              <w:bottom w:w="40" w:type="dxa"/>
              <w:right w:w="20" w:type="dxa"/>
            </w:tcMar>
          </w:tcPr>
          <w:p w14:paraId="7B66EEA3" w14:textId="77777777" w:rsidR="0040300B" w:rsidRDefault="00BB2D44">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7B66EEA4" w14:textId="77777777" w:rsidR="0040300B" w:rsidRDefault="00BB2D44">
            <w:pPr>
              <w:jc w:val="right"/>
              <w:textAlignment w:val="bottom"/>
            </w:pPr>
            <w:r>
              <w:rPr>
                <w:rFonts w:ascii="Times New Roman" w:eastAsia="宋体" w:hAnsi="Times New Roman"/>
                <w:color w:val="000000"/>
                <w:sz w:val="20"/>
                <w:szCs w:val="20"/>
              </w:rPr>
              <w:t>(187)</w:t>
            </w:r>
          </w:p>
        </w:tc>
        <w:tc>
          <w:tcPr>
            <w:tcW w:w="0" w:type="auto"/>
            <w:shd w:val="clear" w:color="auto" w:fill="auto"/>
            <w:tcMar>
              <w:top w:w="40" w:type="dxa"/>
              <w:left w:w="0" w:type="dxa"/>
              <w:bottom w:w="40" w:type="dxa"/>
              <w:right w:w="20" w:type="dxa"/>
            </w:tcMar>
            <w:vAlign w:val="bottom"/>
          </w:tcPr>
          <w:p w14:paraId="7B66EEA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EA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EA7" w14:textId="77777777" w:rsidR="0040300B" w:rsidRDefault="00BB2D44">
            <w:pPr>
              <w:jc w:val="right"/>
              <w:textAlignment w:val="bottom"/>
            </w:pPr>
            <w:r>
              <w:rPr>
                <w:rFonts w:ascii="Times New Roman" w:eastAsia="宋体" w:hAnsi="Times New Roman"/>
                <w:color w:val="000000"/>
                <w:sz w:val="20"/>
                <w:szCs w:val="20"/>
              </w:rPr>
              <w:t>(198)</w:t>
            </w:r>
          </w:p>
        </w:tc>
        <w:tc>
          <w:tcPr>
            <w:tcW w:w="0" w:type="auto"/>
            <w:shd w:val="clear" w:color="auto" w:fill="auto"/>
            <w:tcMar>
              <w:top w:w="40" w:type="dxa"/>
              <w:left w:w="0" w:type="dxa"/>
              <w:bottom w:w="40" w:type="dxa"/>
              <w:right w:w="20" w:type="dxa"/>
            </w:tcMar>
            <w:vAlign w:val="bottom"/>
          </w:tcPr>
          <w:p w14:paraId="7B66EEA8" w14:textId="77777777" w:rsidR="0040300B" w:rsidRDefault="0040300B">
            <w:pPr>
              <w:jc w:val="right"/>
              <w:rPr>
                <w:rFonts w:ascii="宋体"/>
              </w:rPr>
            </w:pPr>
          </w:p>
        </w:tc>
      </w:tr>
      <w:tr w:rsidR="0040300B" w14:paraId="7B66EEB2" w14:textId="77777777">
        <w:trPr>
          <w:jc w:val="center"/>
        </w:trPr>
        <w:tc>
          <w:tcPr>
            <w:tcW w:w="0" w:type="auto"/>
            <w:gridSpan w:val="3"/>
            <w:shd w:val="clear" w:color="auto" w:fill="CCEEFF"/>
            <w:tcMar>
              <w:top w:w="40" w:type="dxa"/>
              <w:left w:w="380" w:type="dxa"/>
              <w:bottom w:w="40" w:type="dxa"/>
              <w:right w:w="20" w:type="dxa"/>
            </w:tcMar>
          </w:tcPr>
          <w:p w14:paraId="7B66EEAA" w14:textId="77777777" w:rsidR="0040300B" w:rsidRDefault="00BB2D44">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EA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EAC" w14:textId="77777777" w:rsidR="0040300B" w:rsidRDefault="00BB2D44">
            <w:pPr>
              <w:jc w:val="right"/>
              <w:textAlignment w:val="bottom"/>
            </w:pPr>
            <w:r>
              <w:rPr>
                <w:rFonts w:ascii="Times New Roman" w:eastAsia="宋体" w:hAnsi="Times New Roman"/>
                <w:color w:val="000000"/>
                <w:sz w:val="20"/>
                <w:szCs w:val="20"/>
              </w:rPr>
              <w:t>124 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EA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EAE"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EA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EB0" w14:textId="77777777" w:rsidR="0040300B" w:rsidRDefault="00BB2D44">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EB1" w14:textId="77777777" w:rsidR="0040300B" w:rsidRDefault="0040300B">
            <w:pPr>
              <w:jc w:val="right"/>
              <w:rPr>
                <w:rFonts w:ascii="宋体"/>
              </w:rPr>
            </w:pPr>
          </w:p>
        </w:tc>
      </w:tr>
    </w:tbl>
    <w:p w14:paraId="7B66EEB3" w14:textId="77777777" w:rsidR="0040300B" w:rsidRDefault="00BB2D44">
      <w:pPr>
        <w:spacing w:before="120"/>
        <w:jc w:val="both"/>
      </w:pPr>
      <w:r>
        <w:rPr>
          <w:rFonts w:ascii="Times New Roman" w:eastAsia="宋体" w:hAnsi="Times New Roman"/>
          <w:color w:val="000000"/>
          <w:sz w:val="20"/>
          <w:szCs w:val="20"/>
        </w:rPr>
        <w:t>Our operating lease income for the third quarter and first nine months of fiscal 2021 was $36 million and $119 million, respectively, and $49 million and $143 million for the corresponding periods of fiscal 2020, respectively, and was included in product r</w:t>
      </w:r>
      <w:r>
        <w:rPr>
          <w:rFonts w:ascii="Times New Roman" w:eastAsia="宋体" w:hAnsi="Times New Roman"/>
          <w:color w:val="000000"/>
          <w:sz w:val="20"/>
          <w:szCs w:val="20"/>
        </w:rPr>
        <w:t>evenue in the Consolidated Statement of Operations.</w:t>
      </w:r>
    </w:p>
    <w:p w14:paraId="7B66EEB4" w14:textId="77777777" w:rsidR="0040300B" w:rsidRDefault="00BB2D44">
      <w:pPr>
        <w:spacing w:before="120"/>
      </w:pPr>
      <w:r>
        <w:rPr>
          <w:rFonts w:ascii="Times New Roman" w:eastAsia="宋体" w:hAnsi="Times New Roman"/>
          <w:color w:val="000000"/>
          <w:sz w:val="20"/>
          <w:szCs w:val="20"/>
        </w:rPr>
        <w:t>Minimum future rentals on noncancelable operating leases as of May 1, 2021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40300B" w14:paraId="7B66EEBB" w14:textId="77777777">
        <w:tc>
          <w:tcPr>
            <w:tcW w:w="50" w:type="pct"/>
            <w:shd w:val="clear" w:color="auto" w:fill="auto"/>
          </w:tcPr>
          <w:p w14:paraId="7B66EEB5" w14:textId="77777777" w:rsidR="0040300B" w:rsidRDefault="0040300B">
            <w:pPr>
              <w:rPr>
                <w:rFonts w:ascii="宋体"/>
              </w:rPr>
            </w:pPr>
          </w:p>
        </w:tc>
        <w:tc>
          <w:tcPr>
            <w:tcW w:w="4214" w:type="pct"/>
            <w:shd w:val="clear" w:color="auto" w:fill="auto"/>
          </w:tcPr>
          <w:p w14:paraId="7B66EEB6" w14:textId="77777777" w:rsidR="0040300B" w:rsidRDefault="0040300B">
            <w:pPr>
              <w:rPr>
                <w:rFonts w:ascii="宋体"/>
              </w:rPr>
            </w:pPr>
          </w:p>
        </w:tc>
        <w:tc>
          <w:tcPr>
            <w:tcW w:w="5" w:type="pct"/>
            <w:shd w:val="clear" w:color="auto" w:fill="auto"/>
          </w:tcPr>
          <w:p w14:paraId="7B66EEB7" w14:textId="77777777" w:rsidR="0040300B" w:rsidRDefault="0040300B">
            <w:pPr>
              <w:rPr>
                <w:rFonts w:ascii="宋体"/>
              </w:rPr>
            </w:pPr>
          </w:p>
        </w:tc>
        <w:tc>
          <w:tcPr>
            <w:tcW w:w="50" w:type="pct"/>
            <w:shd w:val="clear" w:color="auto" w:fill="auto"/>
          </w:tcPr>
          <w:p w14:paraId="7B66EEB8" w14:textId="77777777" w:rsidR="0040300B" w:rsidRDefault="0040300B">
            <w:pPr>
              <w:rPr>
                <w:rFonts w:ascii="宋体"/>
              </w:rPr>
            </w:pPr>
          </w:p>
        </w:tc>
        <w:tc>
          <w:tcPr>
            <w:tcW w:w="675" w:type="pct"/>
            <w:shd w:val="clear" w:color="auto" w:fill="auto"/>
          </w:tcPr>
          <w:p w14:paraId="7B66EEB9" w14:textId="77777777" w:rsidR="0040300B" w:rsidRDefault="0040300B">
            <w:pPr>
              <w:rPr>
                <w:rFonts w:ascii="宋体"/>
              </w:rPr>
            </w:pPr>
          </w:p>
        </w:tc>
        <w:tc>
          <w:tcPr>
            <w:tcW w:w="5" w:type="pct"/>
            <w:shd w:val="clear" w:color="auto" w:fill="auto"/>
          </w:tcPr>
          <w:p w14:paraId="7B66EEBA" w14:textId="77777777" w:rsidR="0040300B" w:rsidRDefault="0040300B">
            <w:pPr>
              <w:rPr>
                <w:rFonts w:ascii="宋体"/>
              </w:rPr>
            </w:pPr>
          </w:p>
        </w:tc>
      </w:tr>
      <w:tr w:rsidR="0040300B" w14:paraId="7B66EEBE" w14:textId="77777777">
        <w:tc>
          <w:tcPr>
            <w:tcW w:w="0" w:type="auto"/>
            <w:gridSpan w:val="3"/>
            <w:shd w:val="clear" w:color="auto" w:fill="auto"/>
            <w:tcMar>
              <w:top w:w="40" w:type="dxa"/>
              <w:left w:w="20" w:type="dxa"/>
              <w:bottom w:w="40" w:type="dxa"/>
              <w:right w:w="20" w:type="dxa"/>
            </w:tcMar>
            <w:vAlign w:val="bottom"/>
          </w:tcPr>
          <w:p w14:paraId="7B66EEBC" w14:textId="77777777" w:rsidR="0040300B" w:rsidRDefault="00BB2D4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7B66EEBD"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6EEC3" w14:textId="77777777">
        <w:tc>
          <w:tcPr>
            <w:tcW w:w="0" w:type="auto"/>
            <w:gridSpan w:val="3"/>
            <w:shd w:val="clear" w:color="auto" w:fill="CCEEFF"/>
            <w:tcMar>
              <w:top w:w="40" w:type="dxa"/>
              <w:left w:w="20" w:type="dxa"/>
              <w:bottom w:w="40" w:type="dxa"/>
              <w:right w:w="20" w:type="dxa"/>
            </w:tcMar>
          </w:tcPr>
          <w:p w14:paraId="7B66EEBF" w14:textId="77777777" w:rsidR="0040300B" w:rsidRDefault="00BB2D44">
            <w:pPr>
              <w:textAlignment w:val="top"/>
            </w:pPr>
            <w:r>
              <w:rPr>
                <w:rFonts w:ascii="Times New Roman" w:eastAsia="宋体" w:hAnsi="Times New Roman"/>
                <w:color w:val="000000"/>
                <w:sz w:val="20"/>
                <w:szCs w:val="20"/>
              </w:rPr>
              <w:t>2021 (remaining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EC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EC1" w14:textId="77777777" w:rsidR="0040300B" w:rsidRDefault="00BB2D44">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EC2" w14:textId="77777777" w:rsidR="0040300B" w:rsidRDefault="0040300B">
            <w:pPr>
              <w:jc w:val="right"/>
              <w:rPr>
                <w:rFonts w:ascii="宋体"/>
              </w:rPr>
            </w:pPr>
          </w:p>
        </w:tc>
      </w:tr>
      <w:tr w:rsidR="0040300B" w14:paraId="7B66EEC7" w14:textId="77777777">
        <w:tc>
          <w:tcPr>
            <w:tcW w:w="0" w:type="auto"/>
            <w:gridSpan w:val="3"/>
            <w:shd w:val="clear" w:color="auto" w:fill="FFFFFF"/>
            <w:tcMar>
              <w:top w:w="40" w:type="dxa"/>
              <w:left w:w="20" w:type="dxa"/>
              <w:bottom w:w="40" w:type="dxa"/>
              <w:right w:w="20" w:type="dxa"/>
            </w:tcMar>
          </w:tcPr>
          <w:p w14:paraId="7B66EEC4" w14:textId="77777777" w:rsidR="0040300B" w:rsidRDefault="00BB2D44">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B66EEC5" w14:textId="77777777" w:rsidR="0040300B" w:rsidRDefault="00BB2D44">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7B66EEC6" w14:textId="77777777" w:rsidR="0040300B" w:rsidRDefault="0040300B">
            <w:pPr>
              <w:jc w:val="right"/>
              <w:rPr>
                <w:rFonts w:ascii="宋体"/>
              </w:rPr>
            </w:pPr>
          </w:p>
        </w:tc>
      </w:tr>
      <w:tr w:rsidR="0040300B" w14:paraId="7B66EECB" w14:textId="77777777">
        <w:tc>
          <w:tcPr>
            <w:tcW w:w="0" w:type="auto"/>
            <w:gridSpan w:val="3"/>
            <w:shd w:val="clear" w:color="auto" w:fill="CCEEFF"/>
            <w:tcMar>
              <w:top w:w="40" w:type="dxa"/>
              <w:left w:w="20" w:type="dxa"/>
              <w:bottom w:w="40" w:type="dxa"/>
              <w:right w:w="20" w:type="dxa"/>
            </w:tcMar>
          </w:tcPr>
          <w:p w14:paraId="7B66EEC8" w14:textId="77777777" w:rsidR="0040300B" w:rsidRDefault="00BB2D44">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7B66EEC9" w14:textId="77777777" w:rsidR="0040300B" w:rsidRDefault="00BB2D44">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7B66EECA" w14:textId="77777777" w:rsidR="0040300B" w:rsidRDefault="0040300B">
            <w:pPr>
              <w:jc w:val="right"/>
              <w:rPr>
                <w:rFonts w:ascii="宋体"/>
              </w:rPr>
            </w:pPr>
          </w:p>
        </w:tc>
      </w:tr>
      <w:tr w:rsidR="0040300B" w14:paraId="7B66EECF" w14:textId="77777777">
        <w:tc>
          <w:tcPr>
            <w:tcW w:w="0" w:type="auto"/>
            <w:gridSpan w:val="3"/>
            <w:shd w:val="clear" w:color="auto" w:fill="FFFFFF"/>
            <w:tcMar>
              <w:top w:w="40" w:type="dxa"/>
              <w:left w:w="20" w:type="dxa"/>
              <w:bottom w:w="40" w:type="dxa"/>
              <w:right w:w="20" w:type="dxa"/>
            </w:tcMar>
          </w:tcPr>
          <w:p w14:paraId="7B66EECC" w14:textId="77777777" w:rsidR="0040300B" w:rsidRDefault="00BB2D44">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B66EECD"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B66EECE" w14:textId="77777777" w:rsidR="0040300B" w:rsidRDefault="0040300B">
            <w:pPr>
              <w:jc w:val="right"/>
              <w:rPr>
                <w:rFonts w:ascii="宋体"/>
              </w:rPr>
            </w:pPr>
          </w:p>
        </w:tc>
      </w:tr>
      <w:tr w:rsidR="0040300B" w14:paraId="7B66EED4" w14:textId="77777777">
        <w:tc>
          <w:tcPr>
            <w:tcW w:w="0" w:type="auto"/>
            <w:gridSpan w:val="3"/>
            <w:shd w:val="clear" w:color="auto" w:fill="CCEEFF"/>
            <w:tcMar>
              <w:top w:w="40" w:type="dxa"/>
              <w:left w:w="380" w:type="dxa"/>
              <w:bottom w:w="40" w:type="dxa"/>
              <w:right w:w="20" w:type="dxa"/>
            </w:tcMar>
          </w:tcPr>
          <w:p w14:paraId="7B66EED0"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ED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ED2" w14:textId="77777777" w:rsidR="0040300B" w:rsidRDefault="00BB2D44">
            <w:pPr>
              <w:jc w:val="right"/>
              <w:textAlignment w:val="bottom"/>
            </w:pPr>
            <w:r>
              <w:rPr>
                <w:rFonts w:ascii="Times New Roman" w:eastAsia="宋体" w:hAnsi="Times New Roman"/>
                <w:color w:val="000000"/>
                <w:sz w:val="20"/>
                <w:szCs w:val="20"/>
              </w:rPr>
              <w:t>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ED3" w14:textId="77777777" w:rsidR="0040300B" w:rsidRDefault="0040300B">
            <w:pPr>
              <w:jc w:val="right"/>
              <w:rPr>
                <w:rFonts w:ascii="宋体"/>
              </w:rPr>
            </w:pPr>
          </w:p>
        </w:tc>
      </w:tr>
    </w:tbl>
    <w:p w14:paraId="7B66EED5" w14:textId="77777777" w:rsidR="0040300B" w:rsidRDefault="0040300B"/>
    <w:p w14:paraId="7B66EED6" w14:textId="77777777" w:rsidR="0040300B" w:rsidRDefault="00BB2D44">
      <w:pPr>
        <w:jc w:val="center"/>
      </w:pPr>
      <w:r>
        <w:rPr>
          <w:rFonts w:ascii="Times New Roman" w:eastAsia="宋体" w:hAnsi="Times New Roman"/>
          <w:color w:val="000000"/>
          <w:sz w:val="20"/>
          <w:szCs w:val="20"/>
        </w:rPr>
        <w:t>18</w:t>
      </w:r>
    </w:p>
    <w:p w14:paraId="7B66EED7" w14:textId="77777777" w:rsidR="0040300B" w:rsidRDefault="00BB2D44">
      <w:r>
        <w:pict w14:anchorId="7B671C22">
          <v:rect id="_x0000_i1042" style="width:415.3pt;height:1.5pt" o:hralign="center" o:hrstd="t" o:hr="t" fillcolor="#a0a0a0" stroked="f"/>
        </w:pict>
      </w:r>
    </w:p>
    <w:p w14:paraId="7B66EED8" w14:textId="77777777" w:rsidR="0040300B" w:rsidRDefault="00BB2D44">
      <w:hyperlink r:id="rId64" w:anchor="i52d5b40dbad7426a9806a2fd5167029f_7" w:history="1">
        <w:r>
          <w:rPr>
            <w:rStyle w:val="a5"/>
            <w:rFonts w:ascii="Times New Roman" w:eastAsia="宋体" w:hAnsi="Times New Roman"/>
            <w:sz w:val="18"/>
            <w:szCs w:val="18"/>
          </w:rPr>
          <w:t>Table of Contents</w:t>
        </w:r>
      </w:hyperlink>
    </w:p>
    <w:p w14:paraId="7B66EED9" w14:textId="77777777" w:rsidR="0040300B" w:rsidRDefault="00BB2D44">
      <w:pPr>
        <w:jc w:val="center"/>
      </w:pPr>
      <w:r>
        <w:rPr>
          <w:rFonts w:ascii="Times New Roman" w:eastAsia="宋体" w:hAnsi="Times New Roman"/>
          <w:b/>
          <w:bCs/>
          <w:color w:val="000000"/>
          <w:sz w:val="18"/>
          <w:szCs w:val="18"/>
        </w:rPr>
        <w:t>CISCO SYSTEMS, INC.</w:t>
      </w:r>
    </w:p>
    <w:p w14:paraId="7B66EEDA"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EEDB" w14:textId="77777777" w:rsidR="0040300B" w:rsidRDefault="00BB2D44">
      <w:pPr>
        <w:jc w:val="center"/>
      </w:pPr>
      <w:r>
        <w:rPr>
          <w:rFonts w:ascii="Times New Roman" w:eastAsia="宋体" w:hAnsi="Times New Roman"/>
          <w:b/>
          <w:bCs/>
          <w:color w:val="000000"/>
          <w:sz w:val="18"/>
          <w:szCs w:val="18"/>
        </w:rPr>
        <w:t xml:space="preserve">(Unaudited) </w:t>
      </w:r>
    </w:p>
    <w:p w14:paraId="7B66EEDC" w14:textId="77777777" w:rsidR="0040300B" w:rsidRDefault="0040300B">
      <w:pPr>
        <w:jc w:val="center"/>
      </w:pPr>
    </w:p>
    <w:p w14:paraId="7B66EEDD" w14:textId="77777777" w:rsidR="0040300B" w:rsidRDefault="00BB2D44">
      <w:pPr>
        <w:ind w:hanging="360"/>
      </w:pPr>
      <w:r>
        <w:rPr>
          <w:rFonts w:ascii="Times New Roman" w:eastAsia="宋体" w:hAnsi="Times New Roman"/>
          <w:b/>
          <w:bCs/>
          <w:color w:val="000000"/>
          <w:sz w:val="20"/>
          <w:szCs w:val="20"/>
        </w:rPr>
        <w:t xml:space="preserve">9.Financing Receivables </w:t>
      </w:r>
    </w:p>
    <w:p w14:paraId="7B66EEDE" w14:textId="77777777" w:rsidR="0040300B" w:rsidRDefault="00BB2D44">
      <w:pPr>
        <w:spacing w:before="100" w:after="100"/>
        <w:ind w:hanging="360"/>
      </w:pPr>
      <w:r>
        <w:rPr>
          <w:rFonts w:ascii="Times New Roman" w:eastAsia="宋体" w:hAnsi="Times New Roman"/>
          <w:b/>
          <w:bCs/>
          <w:color w:val="000000"/>
          <w:sz w:val="20"/>
          <w:szCs w:val="20"/>
        </w:rPr>
        <w:t xml:space="preserve">(a)Financing Receivables </w:t>
      </w:r>
    </w:p>
    <w:p w14:paraId="7B66EEDF" w14:textId="77777777" w:rsidR="0040300B" w:rsidRDefault="00BB2D44">
      <w:pPr>
        <w:spacing w:before="120"/>
        <w:jc w:val="both"/>
      </w:pPr>
      <w:r>
        <w:rPr>
          <w:rFonts w:ascii="Times New Roman" w:eastAsia="宋体" w:hAnsi="Times New Roman"/>
          <w:color w:val="000000"/>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olor w:val="000000"/>
          <w:sz w:val="20"/>
          <w:szCs w:val="20"/>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olor w:val="000000"/>
          <w:sz w:val="20"/>
          <w:szCs w:val="20"/>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olor w:val="000000"/>
          <w:sz w:val="20"/>
          <w:szCs w:val="20"/>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olor w:val="000000"/>
          <w:sz w:val="20"/>
          <w:szCs w:val="20"/>
        </w:rPr>
        <w:t xml:space="preserve">cally ranges from one year to three years. </w:t>
      </w:r>
    </w:p>
    <w:p w14:paraId="7B66EEE0" w14:textId="77777777" w:rsidR="0040300B" w:rsidRDefault="00BB2D44">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40300B" w14:paraId="7B66EEF9" w14:textId="77777777">
        <w:tc>
          <w:tcPr>
            <w:tcW w:w="50" w:type="pct"/>
            <w:shd w:val="clear" w:color="auto" w:fill="auto"/>
          </w:tcPr>
          <w:p w14:paraId="7B66EEE1" w14:textId="77777777" w:rsidR="0040300B" w:rsidRDefault="0040300B">
            <w:pPr>
              <w:rPr>
                <w:rFonts w:ascii="宋体"/>
              </w:rPr>
            </w:pPr>
          </w:p>
        </w:tc>
        <w:tc>
          <w:tcPr>
            <w:tcW w:w="1787" w:type="pct"/>
            <w:shd w:val="clear" w:color="auto" w:fill="auto"/>
          </w:tcPr>
          <w:p w14:paraId="7B66EEE2" w14:textId="77777777" w:rsidR="0040300B" w:rsidRDefault="0040300B">
            <w:pPr>
              <w:rPr>
                <w:rFonts w:ascii="宋体"/>
              </w:rPr>
            </w:pPr>
          </w:p>
        </w:tc>
        <w:tc>
          <w:tcPr>
            <w:tcW w:w="5" w:type="pct"/>
            <w:shd w:val="clear" w:color="auto" w:fill="auto"/>
          </w:tcPr>
          <w:p w14:paraId="7B66EEE3" w14:textId="77777777" w:rsidR="0040300B" w:rsidRDefault="0040300B">
            <w:pPr>
              <w:rPr>
                <w:rFonts w:ascii="宋体"/>
              </w:rPr>
            </w:pPr>
          </w:p>
        </w:tc>
        <w:tc>
          <w:tcPr>
            <w:tcW w:w="50" w:type="pct"/>
            <w:shd w:val="clear" w:color="auto" w:fill="auto"/>
          </w:tcPr>
          <w:p w14:paraId="7B66EEE4" w14:textId="77777777" w:rsidR="0040300B" w:rsidRDefault="0040300B">
            <w:pPr>
              <w:rPr>
                <w:rFonts w:ascii="宋体"/>
              </w:rPr>
            </w:pPr>
          </w:p>
        </w:tc>
        <w:tc>
          <w:tcPr>
            <w:tcW w:w="697" w:type="pct"/>
            <w:shd w:val="clear" w:color="auto" w:fill="auto"/>
          </w:tcPr>
          <w:p w14:paraId="7B66EEE5" w14:textId="77777777" w:rsidR="0040300B" w:rsidRDefault="0040300B">
            <w:pPr>
              <w:rPr>
                <w:rFonts w:ascii="宋体"/>
              </w:rPr>
            </w:pPr>
          </w:p>
        </w:tc>
        <w:tc>
          <w:tcPr>
            <w:tcW w:w="5" w:type="pct"/>
            <w:shd w:val="clear" w:color="auto" w:fill="auto"/>
          </w:tcPr>
          <w:p w14:paraId="7B66EEE6" w14:textId="77777777" w:rsidR="0040300B" w:rsidRDefault="0040300B">
            <w:pPr>
              <w:rPr>
                <w:rFonts w:ascii="宋体"/>
              </w:rPr>
            </w:pPr>
          </w:p>
        </w:tc>
        <w:tc>
          <w:tcPr>
            <w:tcW w:w="5" w:type="pct"/>
            <w:shd w:val="clear" w:color="auto" w:fill="auto"/>
          </w:tcPr>
          <w:p w14:paraId="7B66EEE7" w14:textId="77777777" w:rsidR="0040300B" w:rsidRDefault="0040300B">
            <w:pPr>
              <w:rPr>
                <w:rFonts w:ascii="宋体"/>
              </w:rPr>
            </w:pPr>
          </w:p>
        </w:tc>
        <w:tc>
          <w:tcPr>
            <w:tcW w:w="26" w:type="pct"/>
            <w:shd w:val="clear" w:color="auto" w:fill="auto"/>
          </w:tcPr>
          <w:p w14:paraId="7B66EEE8" w14:textId="77777777" w:rsidR="0040300B" w:rsidRDefault="0040300B">
            <w:pPr>
              <w:rPr>
                <w:rFonts w:ascii="宋体"/>
              </w:rPr>
            </w:pPr>
          </w:p>
        </w:tc>
        <w:tc>
          <w:tcPr>
            <w:tcW w:w="5" w:type="pct"/>
            <w:shd w:val="clear" w:color="auto" w:fill="auto"/>
          </w:tcPr>
          <w:p w14:paraId="7B66EEE9" w14:textId="77777777" w:rsidR="0040300B" w:rsidRDefault="0040300B">
            <w:pPr>
              <w:rPr>
                <w:rFonts w:ascii="宋体"/>
              </w:rPr>
            </w:pPr>
          </w:p>
        </w:tc>
        <w:tc>
          <w:tcPr>
            <w:tcW w:w="50" w:type="pct"/>
            <w:shd w:val="clear" w:color="auto" w:fill="auto"/>
          </w:tcPr>
          <w:p w14:paraId="7B66EEEA" w14:textId="77777777" w:rsidR="0040300B" w:rsidRDefault="0040300B">
            <w:pPr>
              <w:rPr>
                <w:rFonts w:ascii="宋体"/>
              </w:rPr>
            </w:pPr>
          </w:p>
        </w:tc>
        <w:tc>
          <w:tcPr>
            <w:tcW w:w="697" w:type="pct"/>
            <w:shd w:val="clear" w:color="auto" w:fill="auto"/>
          </w:tcPr>
          <w:p w14:paraId="7B66EEEB" w14:textId="77777777" w:rsidR="0040300B" w:rsidRDefault="0040300B">
            <w:pPr>
              <w:rPr>
                <w:rFonts w:ascii="宋体"/>
              </w:rPr>
            </w:pPr>
          </w:p>
        </w:tc>
        <w:tc>
          <w:tcPr>
            <w:tcW w:w="5" w:type="pct"/>
            <w:shd w:val="clear" w:color="auto" w:fill="auto"/>
          </w:tcPr>
          <w:p w14:paraId="7B66EEEC" w14:textId="77777777" w:rsidR="0040300B" w:rsidRDefault="0040300B">
            <w:pPr>
              <w:rPr>
                <w:rFonts w:ascii="宋体"/>
              </w:rPr>
            </w:pPr>
          </w:p>
        </w:tc>
        <w:tc>
          <w:tcPr>
            <w:tcW w:w="5" w:type="pct"/>
            <w:shd w:val="clear" w:color="auto" w:fill="auto"/>
          </w:tcPr>
          <w:p w14:paraId="7B66EEED" w14:textId="77777777" w:rsidR="0040300B" w:rsidRDefault="0040300B">
            <w:pPr>
              <w:rPr>
                <w:rFonts w:ascii="宋体"/>
              </w:rPr>
            </w:pPr>
          </w:p>
        </w:tc>
        <w:tc>
          <w:tcPr>
            <w:tcW w:w="26" w:type="pct"/>
            <w:shd w:val="clear" w:color="auto" w:fill="auto"/>
          </w:tcPr>
          <w:p w14:paraId="7B66EEEE" w14:textId="77777777" w:rsidR="0040300B" w:rsidRDefault="0040300B">
            <w:pPr>
              <w:rPr>
                <w:rFonts w:ascii="宋体"/>
              </w:rPr>
            </w:pPr>
          </w:p>
        </w:tc>
        <w:tc>
          <w:tcPr>
            <w:tcW w:w="5" w:type="pct"/>
            <w:shd w:val="clear" w:color="auto" w:fill="auto"/>
          </w:tcPr>
          <w:p w14:paraId="7B66EEEF" w14:textId="77777777" w:rsidR="0040300B" w:rsidRDefault="0040300B">
            <w:pPr>
              <w:rPr>
                <w:rFonts w:ascii="宋体"/>
              </w:rPr>
            </w:pPr>
          </w:p>
        </w:tc>
        <w:tc>
          <w:tcPr>
            <w:tcW w:w="50" w:type="pct"/>
            <w:shd w:val="clear" w:color="auto" w:fill="auto"/>
          </w:tcPr>
          <w:p w14:paraId="7B66EEF0" w14:textId="77777777" w:rsidR="0040300B" w:rsidRDefault="0040300B">
            <w:pPr>
              <w:rPr>
                <w:rFonts w:ascii="宋体"/>
              </w:rPr>
            </w:pPr>
          </w:p>
        </w:tc>
        <w:tc>
          <w:tcPr>
            <w:tcW w:w="734" w:type="pct"/>
            <w:shd w:val="clear" w:color="auto" w:fill="auto"/>
          </w:tcPr>
          <w:p w14:paraId="7B66EEF1" w14:textId="77777777" w:rsidR="0040300B" w:rsidRDefault="0040300B">
            <w:pPr>
              <w:rPr>
                <w:rFonts w:ascii="宋体"/>
              </w:rPr>
            </w:pPr>
          </w:p>
        </w:tc>
        <w:tc>
          <w:tcPr>
            <w:tcW w:w="5" w:type="pct"/>
            <w:shd w:val="clear" w:color="auto" w:fill="auto"/>
          </w:tcPr>
          <w:p w14:paraId="7B66EEF2" w14:textId="77777777" w:rsidR="0040300B" w:rsidRDefault="0040300B">
            <w:pPr>
              <w:rPr>
                <w:rFonts w:ascii="宋体"/>
              </w:rPr>
            </w:pPr>
          </w:p>
        </w:tc>
        <w:tc>
          <w:tcPr>
            <w:tcW w:w="5" w:type="pct"/>
            <w:shd w:val="clear" w:color="auto" w:fill="auto"/>
          </w:tcPr>
          <w:p w14:paraId="7B66EEF3" w14:textId="77777777" w:rsidR="0040300B" w:rsidRDefault="0040300B">
            <w:pPr>
              <w:rPr>
                <w:rFonts w:ascii="宋体"/>
              </w:rPr>
            </w:pPr>
          </w:p>
        </w:tc>
        <w:tc>
          <w:tcPr>
            <w:tcW w:w="26" w:type="pct"/>
            <w:shd w:val="clear" w:color="auto" w:fill="auto"/>
          </w:tcPr>
          <w:p w14:paraId="7B66EEF4" w14:textId="77777777" w:rsidR="0040300B" w:rsidRDefault="0040300B">
            <w:pPr>
              <w:rPr>
                <w:rFonts w:ascii="宋体"/>
              </w:rPr>
            </w:pPr>
          </w:p>
        </w:tc>
        <w:tc>
          <w:tcPr>
            <w:tcW w:w="5" w:type="pct"/>
            <w:shd w:val="clear" w:color="auto" w:fill="auto"/>
          </w:tcPr>
          <w:p w14:paraId="7B66EEF5" w14:textId="77777777" w:rsidR="0040300B" w:rsidRDefault="0040300B">
            <w:pPr>
              <w:rPr>
                <w:rFonts w:ascii="宋体"/>
              </w:rPr>
            </w:pPr>
          </w:p>
        </w:tc>
        <w:tc>
          <w:tcPr>
            <w:tcW w:w="50" w:type="pct"/>
            <w:shd w:val="clear" w:color="auto" w:fill="auto"/>
          </w:tcPr>
          <w:p w14:paraId="7B66EEF6" w14:textId="77777777" w:rsidR="0040300B" w:rsidRDefault="0040300B">
            <w:pPr>
              <w:rPr>
                <w:rFonts w:ascii="宋体"/>
              </w:rPr>
            </w:pPr>
          </w:p>
        </w:tc>
        <w:tc>
          <w:tcPr>
            <w:tcW w:w="698" w:type="pct"/>
            <w:shd w:val="clear" w:color="auto" w:fill="auto"/>
          </w:tcPr>
          <w:p w14:paraId="7B66EEF7" w14:textId="77777777" w:rsidR="0040300B" w:rsidRDefault="0040300B">
            <w:pPr>
              <w:rPr>
                <w:rFonts w:ascii="宋体"/>
              </w:rPr>
            </w:pPr>
          </w:p>
        </w:tc>
        <w:tc>
          <w:tcPr>
            <w:tcW w:w="5" w:type="pct"/>
            <w:shd w:val="clear" w:color="auto" w:fill="auto"/>
          </w:tcPr>
          <w:p w14:paraId="7B66EEF8" w14:textId="77777777" w:rsidR="0040300B" w:rsidRDefault="0040300B">
            <w:pPr>
              <w:rPr>
                <w:rFonts w:ascii="宋体"/>
              </w:rPr>
            </w:pPr>
          </w:p>
        </w:tc>
      </w:tr>
      <w:tr w:rsidR="0040300B" w14:paraId="7B66EF02" w14:textId="77777777">
        <w:tc>
          <w:tcPr>
            <w:tcW w:w="0" w:type="auto"/>
            <w:gridSpan w:val="3"/>
            <w:shd w:val="clear" w:color="auto" w:fill="auto"/>
            <w:tcMar>
              <w:top w:w="40" w:type="dxa"/>
              <w:left w:w="20" w:type="dxa"/>
              <w:bottom w:w="40" w:type="dxa"/>
              <w:right w:w="20" w:type="dxa"/>
            </w:tcMar>
            <w:vAlign w:val="bottom"/>
          </w:tcPr>
          <w:p w14:paraId="7B66EEFA" w14:textId="77777777" w:rsidR="0040300B" w:rsidRDefault="00BB2D44">
            <w:pPr>
              <w:textAlignment w:val="bottom"/>
            </w:pPr>
            <w:r>
              <w:rPr>
                <w:rFonts w:ascii="Times New Roman" w:eastAsia="宋体" w:hAnsi="Times New Roman"/>
                <w:color w:val="000000"/>
                <w:sz w:val="18"/>
                <w:szCs w:val="18"/>
                <w:u w:val="single"/>
              </w:rPr>
              <w:t>May 1, 2021</w:t>
            </w:r>
          </w:p>
        </w:tc>
        <w:tc>
          <w:tcPr>
            <w:tcW w:w="0" w:type="auto"/>
            <w:gridSpan w:val="3"/>
            <w:shd w:val="clear" w:color="auto" w:fill="auto"/>
            <w:tcMar>
              <w:top w:w="40" w:type="dxa"/>
              <w:left w:w="20" w:type="dxa"/>
              <w:bottom w:w="40" w:type="dxa"/>
              <w:right w:w="20" w:type="dxa"/>
            </w:tcMar>
            <w:vAlign w:val="bottom"/>
          </w:tcPr>
          <w:p w14:paraId="7B66EEFB" w14:textId="77777777" w:rsidR="0040300B" w:rsidRDefault="00BB2D44">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7B66EEF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EFD" w14:textId="77777777" w:rsidR="0040300B" w:rsidRDefault="00BB2D44">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7B66EEF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EFF" w14:textId="77777777" w:rsidR="0040300B" w:rsidRDefault="00BB2D44">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tcPr>
          <w:p w14:paraId="7B66EF0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F01"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6EF13" w14:textId="77777777">
        <w:tc>
          <w:tcPr>
            <w:tcW w:w="0" w:type="auto"/>
            <w:gridSpan w:val="3"/>
            <w:shd w:val="clear" w:color="auto" w:fill="CCEEFF"/>
            <w:tcMar>
              <w:top w:w="40" w:type="dxa"/>
              <w:left w:w="20" w:type="dxa"/>
              <w:bottom w:w="40" w:type="dxa"/>
              <w:right w:w="20" w:type="dxa"/>
            </w:tcMar>
          </w:tcPr>
          <w:p w14:paraId="7B66EF03" w14:textId="77777777" w:rsidR="0040300B" w:rsidRDefault="00BB2D44">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F0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05" w14:textId="77777777" w:rsidR="0040300B" w:rsidRDefault="00BB2D44">
            <w:pPr>
              <w:jc w:val="right"/>
              <w:textAlignment w:val="bottom"/>
            </w:pPr>
            <w:r>
              <w:rPr>
                <w:rFonts w:ascii="Times New Roman" w:eastAsia="宋体" w:hAnsi="Times New Roman"/>
                <w:color w:val="000000"/>
                <w:sz w:val="20"/>
                <w:szCs w:val="20"/>
              </w:rPr>
              <w:t>1,732 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0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0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0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09" w14:textId="77777777" w:rsidR="0040300B" w:rsidRDefault="00BB2D44">
            <w:pPr>
              <w:jc w:val="right"/>
              <w:textAlignment w:val="bottom"/>
            </w:pPr>
            <w:r>
              <w:rPr>
                <w:rFonts w:ascii="Times New Roman" w:eastAsia="宋体" w:hAnsi="Times New Roman"/>
                <w:color w:val="000000"/>
                <w:sz w:val="20"/>
                <w:szCs w:val="20"/>
              </w:rPr>
              <w:t>5,638 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0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0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0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0D" w14:textId="77777777" w:rsidR="0040300B" w:rsidRDefault="00BB2D44">
            <w:pPr>
              <w:jc w:val="right"/>
              <w:textAlignment w:val="bottom"/>
            </w:pPr>
            <w:r>
              <w:rPr>
                <w:rFonts w:ascii="Times New Roman" w:eastAsia="宋体" w:hAnsi="Times New Roman"/>
                <w:color w:val="000000"/>
                <w:sz w:val="20"/>
                <w:szCs w:val="20"/>
              </w:rPr>
              <w:t>2,461 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0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0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1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11" w14:textId="77777777" w:rsidR="0040300B" w:rsidRDefault="00BB2D44">
            <w:pPr>
              <w:jc w:val="right"/>
              <w:textAlignment w:val="bottom"/>
            </w:pPr>
            <w:r>
              <w:rPr>
                <w:rFonts w:ascii="Times New Roman" w:eastAsia="宋体" w:hAnsi="Times New Roman"/>
                <w:color w:val="000000"/>
                <w:sz w:val="20"/>
                <w:szCs w:val="20"/>
              </w:rPr>
              <w:t>9,831 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12" w14:textId="77777777" w:rsidR="0040300B" w:rsidRDefault="0040300B">
            <w:pPr>
              <w:jc w:val="right"/>
              <w:rPr>
                <w:rFonts w:ascii="宋体"/>
              </w:rPr>
            </w:pPr>
          </w:p>
        </w:tc>
      </w:tr>
      <w:tr w:rsidR="0040300B" w14:paraId="7B66EF20" w14:textId="77777777">
        <w:tc>
          <w:tcPr>
            <w:tcW w:w="0" w:type="auto"/>
            <w:gridSpan w:val="3"/>
            <w:shd w:val="clear" w:color="auto" w:fill="auto"/>
            <w:tcMar>
              <w:top w:w="40" w:type="dxa"/>
              <w:left w:w="20" w:type="dxa"/>
              <w:bottom w:w="40" w:type="dxa"/>
              <w:right w:w="20" w:type="dxa"/>
            </w:tcMar>
          </w:tcPr>
          <w:p w14:paraId="7B66EF14" w14:textId="77777777" w:rsidR="0040300B" w:rsidRDefault="00BB2D44">
            <w:pPr>
              <w:textAlignment w:val="top"/>
            </w:pPr>
            <w:r>
              <w:rPr>
                <w:rFonts w:ascii="Times New Roman" w:eastAsia="宋体" w:hAnsi="Times New Roman"/>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7B66EF15" w14:textId="77777777" w:rsidR="0040300B" w:rsidRDefault="00BB2D44">
            <w:pPr>
              <w:jc w:val="right"/>
              <w:textAlignment w:val="bottom"/>
            </w:pPr>
            <w:r>
              <w:rPr>
                <w:rFonts w:ascii="Times New Roman" w:eastAsia="宋体" w:hAnsi="Times New Roman"/>
                <w:color w:val="000000"/>
                <w:sz w:val="20"/>
                <w:szCs w:val="20"/>
              </w:rPr>
              <w:t>111 </w:t>
            </w:r>
          </w:p>
        </w:tc>
        <w:tc>
          <w:tcPr>
            <w:tcW w:w="0" w:type="auto"/>
            <w:shd w:val="clear" w:color="auto" w:fill="auto"/>
            <w:tcMar>
              <w:top w:w="40" w:type="dxa"/>
              <w:left w:w="0" w:type="dxa"/>
              <w:bottom w:w="40" w:type="dxa"/>
              <w:right w:w="20" w:type="dxa"/>
            </w:tcMar>
            <w:vAlign w:val="bottom"/>
          </w:tcPr>
          <w:p w14:paraId="7B66EF1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1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1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B66EF19"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1A"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1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B66EF1C"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1D"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1E" w14:textId="77777777" w:rsidR="0040300B" w:rsidRDefault="00BB2D44">
            <w:pPr>
              <w:jc w:val="right"/>
              <w:textAlignment w:val="bottom"/>
            </w:pPr>
            <w:r>
              <w:rPr>
                <w:rFonts w:ascii="Times New Roman" w:eastAsia="宋体" w:hAnsi="Times New Roman"/>
                <w:color w:val="000000"/>
                <w:sz w:val="20"/>
                <w:szCs w:val="20"/>
              </w:rPr>
              <w:t>111 </w:t>
            </w:r>
          </w:p>
        </w:tc>
        <w:tc>
          <w:tcPr>
            <w:tcW w:w="0" w:type="auto"/>
            <w:shd w:val="clear" w:color="auto" w:fill="auto"/>
            <w:tcMar>
              <w:top w:w="40" w:type="dxa"/>
              <w:left w:w="0" w:type="dxa"/>
              <w:bottom w:w="40" w:type="dxa"/>
              <w:right w:w="20" w:type="dxa"/>
            </w:tcMar>
            <w:vAlign w:val="bottom"/>
          </w:tcPr>
          <w:p w14:paraId="7B66EF1F" w14:textId="77777777" w:rsidR="0040300B" w:rsidRDefault="0040300B">
            <w:pPr>
              <w:jc w:val="right"/>
              <w:rPr>
                <w:rFonts w:ascii="宋体"/>
              </w:rPr>
            </w:pPr>
          </w:p>
        </w:tc>
      </w:tr>
      <w:tr w:rsidR="0040300B" w14:paraId="7B66EF2D" w14:textId="77777777">
        <w:tc>
          <w:tcPr>
            <w:tcW w:w="0" w:type="auto"/>
            <w:gridSpan w:val="3"/>
            <w:shd w:val="clear" w:color="auto" w:fill="CCEEFF"/>
            <w:tcMar>
              <w:top w:w="40" w:type="dxa"/>
              <w:left w:w="20" w:type="dxa"/>
              <w:bottom w:w="40" w:type="dxa"/>
              <w:right w:w="20" w:type="dxa"/>
            </w:tcMar>
          </w:tcPr>
          <w:p w14:paraId="7B66EF21" w14:textId="77777777" w:rsidR="0040300B" w:rsidRDefault="00BB2D44">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7B66EF22" w14:textId="77777777" w:rsidR="0040300B" w:rsidRDefault="00BB2D44">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7B66EF2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2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2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EF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2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2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EF2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2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2B" w14:textId="77777777" w:rsidR="0040300B" w:rsidRDefault="00BB2D44">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7B66EF2C" w14:textId="77777777" w:rsidR="0040300B" w:rsidRDefault="0040300B">
            <w:pPr>
              <w:jc w:val="right"/>
              <w:rPr>
                <w:rFonts w:ascii="宋体"/>
              </w:rPr>
            </w:pPr>
          </w:p>
        </w:tc>
      </w:tr>
      <w:tr w:rsidR="0040300B" w14:paraId="7B66EF3A" w14:textId="77777777">
        <w:tc>
          <w:tcPr>
            <w:tcW w:w="0" w:type="auto"/>
            <w:gridSpan w:val="3"/>
            <w:shd w:val="clear" w:color="auto" w:fill="auto"/>
            <w:tcMar>
              <w:top w:w="40" w:type="dxa"/>
              <w:left w:w="20" w:type="dxa"/>
              <w:bottom w:w="40" w:type="dxa"/>
              <w:right w:w="20" w:type="dxa"/>
            </w:tcMar>
          </w:tcPr>
          <w:p w14:paraId="7B66EF2E" w14:textId="77777777" w:rsidR="0040300B" w:rsidRDefault="00BB2D44">
            <w:pPr>
              <w:textAlignment w:val="top"/>
            </w:pPr>
            <w:r>
              <w:rPr>
                <w:rFonts w:ascii="Times New Roman" w:eastAsia="宋体" w:hAnsi="Times New Roman"/>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7B66EF2F" w14:textId="77777777" w:rsidR="0040300B" w:rsidRDefault="00BB2D44">
            <w:pPr>
              <w:jc w:val="right"/>
              <w:textAlignment w:val="bottom"/>
            </w:pPr>
            <w:r>
              <w:rPr>
                <w:rFonts w:ascii="Times New Roman" w:eastAsia="宋体" w:hAnsi="Times New Roman"/>
                <w:color w:val="000000"/>
                <w:sz w:val="20"/>
                <w:szCs w:val="20"/>
              </w:rPr>
              <w:t>(40)</w:t>
            </w:r>
          </w:p>
        </w:tc>
        <w:tc>
          <w:tcPr>
            <w:tcW w:w="0" w:type="auto"/>
            <w:shd w:val="clear" w:color="auto" w:fill="auto"/>
            <w:tcMar>
              <w:top w:w="40" w:type="dxa"/>
              <w:left w:w="0" w:type="dxa"/>
              <w:bottom w:w="40" w:type="dxa"/>
              <w:right w:w="20" w:type="dxa"/>
            </w:tcMar>
            <w:vAlign w:val="bottom"/>
          </w:tcPr>
          <w:p w14:paraId="7B66EF30"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31"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32" w14:textId="77777777" w:rsidR="0040300B" w:rsidRDefault="00BB2D44">
            <w:pPr>
              <w:jc w:val="right"/>
              <w:textAlignment w:val="bottom"/>
            </w:pPr>
            <w:r>
              <w:rPr>
                <w:rFonts w:ascii="Times New Roman" w:eastAsia="宋体" w:hAnsi="Times New Roman"/>
                <w:color w:val="000000"/>
                <w:sz w:val="20"/>
                <w:szCs w:val="20"/>
              </w:rPr>
              <w:t>(91)</w:t>
            </w:r>
          </w:p>
        </w:tc>
        <w:tc>
          <w:tcPr>
            <w:tcW w:w="0" w:type="auto"/>
            <w:shd w:val="clear" w:color="auto" w:fill="auto"/>
            <w:tcMar>
              <w:top w:w="40" w:type="dxa"/>
              <w:left w:w="0" w:type="dxa"/>
              <w:bottom w:w="40" w:type="dxa"/>
              <w:right w:w="20" w:type="dxa"/>
            </w:tcMar>
            <w:vAlign w:val="bottom"/>
          </w:tcPr>
          <w:p w14:paraId="7B66EF3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34"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35" w14:textId="77777777" w:rsidR="0040300B" w:rsidRDefault="00BB2D44">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7B66EF3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3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38" w14:textId="77777777" w:rsidR="0040300B" w:rsidRDefault="00BB2D44">
            <w:pPr>
              <w:jc w:val="right"/>
              <w:textAlignment w:val="bottom"/>
            </w:pPr>
            <w:r>
              <w:rPr>
                <w:rFonts w:ascii="Times New Roman" w:eastAsia="宋体" w:hAnsi="Times New Roman"/>
                <w:color w:val="000000"/>
                <w:sz w:val="20"/>
                <w:szCs w:val="20"/>
              </w:rPr>
              <w:t>(136)</w:t>
            </w:r>
          </w:p>
        </w:tc>
        <w:tc>
          <w:tcPr>
            <w:tcW w:w="0" w:type="auto"/>
            <w:shd w:val="clear" w:color="auto" w:fill="auto"/>
            <w:tcMar>
              <w:top w:w="40" w:type="dxa"/>
              <w:left w:w="0" w:type="dxa"/>
              <w:bottom w:w="40" w:type="dxa"/>
              <w:right w:w="20" w:type="dxa"/>
            </w:tcMar>
            <w:vAlign w:val="bottom"/>
          </w:tcPr>
          <w:p w14:paraId="7B66EF39" w14:textId="77777777" w:rsidR="0040300B" w:rsidRDefault="0040300B">
            <w:pPr>
              <w:jc w:val="right"/>
              <w:rPr>
                <w:rFonts w:ascii="宋体"/>
              </w:rPr>
            </w:pPr>
          </w:p>
        </w:tc>
      </w:tr>
      <w:tr w:rsidR="0040300B" w14:paraId="7B66EF4B" w14:textId="77777777">
        <w:tc>
          <w:tcPr>
            <w:tcW w:w="0" w:type="auto"/>
            <w:gridSpan w:val="3"/>
            <w:shd w:val="clear" w:color="auto" w:fill="CCEEFF"/>
            <w:tcMar>
              <w:top w:w="40" w:type="dxa"/>
              <w:left w:w="740" w:type="dxa"/>
              <w:bottom w:w="40" w:type="dxa"/>
              <w:right w:w="20" w:type="dxa"/>
            </w:tcMar>
          </w:tcPr>
          <w:p w14:paraId="7B66EF3B" w14:textId="77777777" w:rsidR="0040300B" w:rsidRDefault="00BB2D44">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F3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3D" w14:textId="77777777" w:rsidR="0040300B" w:rsidRDefault="00BB2D44">
            <w:pPr>
              <w:jc w:val="right"/>
              <w:textAlignment w:val="bottom"/>
            </w:pPr>
            <w:r>
              <w:rPr>
                <w:rFonts w:ascii="Times New Roman" w:eastAsia="宋体" w:hAnsi="Times New Roman"/>
                <w:color w:val="000000"/>
                <w:sz w:val="20"/>
                <w:szCs w:val="20"/>
              </w:rPr>
              <w:t>1,713 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3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3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4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41" w14:textId="77777777" w:rsidR="0040300B" w:rsidRDefault="00BB2D44">
            <w:pPr>
              <w:jc w:val="right"/>
              <w:textAlignment w:val="bottom"/>
            </w:pPr>
            <w:r>
              <w:rPr>
                <w:rFonts w:ascii="Times New Roman" w:eastAsia="宋体" w:hAnsi="Times New Roman"/>
                <w:color w:val="000000"/>
                <w:sz w:val="20"/>
                <w:szCs w:val="20"/>
              </w:rPr>
              <w:t>5,547 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4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4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4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45" w14:textId="77777777" w:rsidR="0040300B" w:rsidRDefault="00BB2D44">
            <w:pPr>
              <w:jc w:val="right"/>
              <w:textAlignment w:val="bottom"/>
            </w:pPr>
            <w:r>
              <w:rPr>
                <w:rFonts w:ascii="Times New Roman" w:eastAsia="宋体" w:hAnsi="Times New Roman"/>
                <w:color w:val="000000"/>
                <w:sz w:val="20"/>
                <w:szCs w:val="20"/>
              </w:rPr>
              <w:t>2,456 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4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4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4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49" w14:textId="77777777" w:rsidR="0040300B" w:rsidRDefault="00BB2D44">
            <w:pPr>
              <w:jc w:val="right"/>
              <w:textAlignment w:val="bottom"/>
            </w:pPr>
            <w:r>
              <w:rPr>
                <w:rFonts w:ascii="Times New Roman" w:eastAsia="宋体" w:hAnsi="Times New Roman"/>
                <w:color w:val="000000"/>
                <w:sz w:val="20"/>
                <w:szCs w:val="20"/>
              </w:rPr>
              <w:t>9,716 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4A" w14:textId="77777777" w:rsidR="0040300B" w:rsidRDefault="0040300B">
            <w:pPr>
              <w:jc w:val="right"/>
              <w:rPr>
                <w:rFonts w:ascii="宋体"/>
              </w:rPr>
            </w:pPr>
          </w:p>
        </w:tc>
      </w:tr>
      <w:tr w:rsidR="0040300B" w14:paraId="7B66EF54" w14:textId="77777777">
        <w:tc>
          <w:tcPr>
            <w:tcW w:w="0" w:type="auto"/>
            <w:gridSpan w:val="3"/>
            <w:shd w:val="clear" w:color="auto" w:fill="auto"/>
            <w:tcMar>
              <w:top w:w="40" w:type="dxa"/>
              <w:left w:w="20" w:type="dxa"/>
              <w:bottom w:w="40" w:type="dxa"/>
              <w:right w:w="20" w:type="dxa"/>
            </w:tcMar>
          </w:tcPr>
          <w:p w14:paraId="7B66EF4C" w14:textId="77777777" w:rsidR="0040300B" w:rsidRDefault="00BB2D44">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tcPr>
          <w:p w14:paraId="7B66EF4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F4E"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F4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F50"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F5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EF52" w14:textId="77777777" w:rsidR="0040300B" w:rsidRDefault="0040300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B66EF53" w14:textId="77777777" w:rsidR="0040300B" w:rsidRDefault="0040300B">
            <w:pPr>
              <w:rPr>
                <w:rFonts w:ascii="宋体"/>
              </w:rPr>
            </w:pPr>
          </w:p>
        </w:tc>
      </w:tr>
      <w:tr w:rsidR="0040300B" w14:paraId="7B66EF65" w14:textId="77777777">
        <w:tc>
          <w:tcPr>
            <w:tcW w:w="0" w:type="auto"/>
            <w:gridSpan w:val="3"/>
            <w:shd w:val="clear" w:color="auto" w:fill="CCEEFF"/>
            <w:tcMar>
              <w:top w:w="40" w:type="dxa"/>
              <w:left w:w="380" w:type="dxa"/>
              <w:bottom w:w="40" w:type="dxa"/>
              <w:right w:w="20" w:type="dxa"/>
            </w:tcMar>
          </w:tcPr>
          <w:p w14:paraId="7B66EF55" w14:textId="77777777" w:rsidR="0040300B" w:rsidRDefault="00BB2D44">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7B66EF5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57" w14:textId="77777777" w:rsidR="0040300B" w:rsidRDefault="00BB2D44">
            <w:pPr>
              <w:jc w:val="right"/>
              <w:textAlignment w:val="bottom"/>
            </w:pPr>
            <w:r>
              <w:rPr>
                <w:rFonts w:ascii="Times New Roman" w:eastAsia="宋体" w:hAnsi="Times New Roman"/>
                <w:color w:val="000000"/>
                <w:sz w:val="20"/>
                <w:szCs w:val="20"/>
              </w:rPr>
              <w:t>783 </w:t>
            </w:r>
          </w:p>
        </w:tc>
        <w:tc>
          <w:tcPr>
            <w:tcW w:w="0" w:type="auto"/>
            <w:shd w:val="clear" w:color="auto" w:fill="CCEEFF"/>
            <w:tcMar>
              <w:top w:w="40" w:type="dxa"/>
              <w:left w:w="0" w:type="dxa"/>
              <w:bottom w:w="40" w:type="dxa"/>
              <w:right w:w="20" w:type="dxa"/>
            </w:tcMar>
            <w:vAlign w:val="bottom"/>
          </w:tcPr>
          <w:p w14:paraId="7B66EF5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59"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F5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5B" w14:textId="77777777" w:rsidR="0040300B" w:rsidRDefault="00BB2D44">
            <w:pPr>
              <w:jc w:val="right"/>
              <w:textAlignment w:val="bottom"/>
            </w:pPr>
            <w:r>
              <w:rPr>
                <w:rFonts w:ascii="Times New Roman" w:eastAsia="宋体" w:hAnsi="Times New Roman"/>
                <w:color w:val="000000"/>
                <w:sz w:val="20"/>
                <w:szCs w:val="20"/>
              </w:rPr>
              <w:t>2,609 </w:t>
            </w:r>
          </w:p>
        </w:tc>
        <w:tc>
          <w:tcPr>
            <w:tcW w:w="0" w:type="auto"/>
            <w:shd w:val="clear" w:color="auto" w:fill="CCEEFF"/>
            <w:tcMar>
              <w:top w:w="40" w:type="dxa"/>
              <w:left w:w="0" w:type="dxa"/>
              <w:bottom w:w="40" w:type="dxa"/>
              <w:right w:w="20" w:type="dxa"/>
            </w:tcMar>
            <w:vAlign w:val="bottom"/>
          </w:tcPr>
          <w:p w14:paraId="7B66EF5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5D"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F5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5F" w14:textId="77777777" w:rsidR="0040300B" w:rsidRDefault="00BB2D44">
            <w:pPr>
              <w:jc w:val="right"/>
              <w:textAlignment w:val="bottom"/>
            </w:pPr>
            <w:r>
              <w:rPr>
                <w:rFonts w:ascii="Times New Roman" w:eastAsia="宋体" w:hAnsi="Times New Roman"/>
                <w:color w:val="000000"/>
                <w:sz w:val="20"/>
                <w:szCs w:val="20"/>
              </w:rPr>
              <w:t>1,256 </w:t>
            </w:r>
          </w:p>
        </w:tc>
        <w:tc>
          <w:tcPr>
            <w:tcW w:w="0" w:type="auto"/>
            <w:shd w:val="clear" w:color="auto" w:fill="CCEEFF"/>
            <w:tcMar>
              <w:top w:w="40" w:type="dxa"/>
              <w:left w:w="0" w:type="dxa"/>
              <w:bottom w:w="40" w:type="dxa"/>
              <w:right w:w="20" w:type="dxa"/>
            </w:tcMar>
            <w:vAlign w:val="bottom"/>
          </w:tcPr>
          <w:p w14:paraId="7B66EF6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61"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F6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63" w14:textId="77777777" w:rsidR="0040300B" w:rsidRDefault="00BB2D44">
            <w:pPr>
              <w:jc w:val="right"/>
              <w:textAlignment w:val="bottom"/>
            </w:pPr>
            <w:r>
              <w:rPr>
                <w:rFonts w:ascii="Times New Roman" w:eastAsia="宋体" w:hAnsi="Times New Roman"/>
                <w:color w:val="000000"/>
                <w:sz w:val="20"/>
                <w:szCs w:val="20"/>
              </w:rPr>
              <w:t>4,648 </w:t>
            </w:r>
          </w:p>
        </w:tc>
        <w:tc>
          <w:tcPr>
            <w:tcW w:w="0" w:type="auto"/>
            <w:shd w:val="clear" w:color="auto" w:fill="CCEEFF"/>
            <w:tcMar>
              <w:top w:w="40" w:type="dxa"/>
              <w:left w:w="0" w:type="dxa"/>
              <w:bottom w:w="40" w:type="dxa"/>
              <w:right w:w="20" w:type="dxa"/>
            </w:tcMar>
            <w:vAlign w:val="bottom"/>
          </w:tcPr>
          <w:p w14:paraId="7B66EF64" w14:textId="77777777" w:rsidR="0040300B" w:rsidRDefault="0040300B">
            <w:pPr>
              <w:jc w:val="right"/>
              <w:rPr>
                <w:rFonts w:ascii="宋体"/>
              </w:rPr>
            </w:pPr>
          </w:p>
        </w:tc>
      </w:tr>
      <w:tr w:rsidR="0040300B" w14:paraId="7B66EF72" w14:textId="77777777">
        <w:tc>
          <w:tcPr>
            <w:tcW w:w="0" w:type="auto"/>
            <w:gridSpan w:val="3"/>
            <w:shd w:val="clear" w:color="auto" w:fill="auto"/>
            <w:tcMar>
              <w:top w:w="40" w:type="dxa"/>
              <w:left w:w="380" w:type="dxa"/>
              <w:bottom w:w="40" w:type="dxa"/>
              <w:right w:w="20" w:type="dxa"/>
            </w:tcMar>
          </w:tcPr>
          <w:p w14:paraId="7B66EF66" w14:textId="77777777" w:rsidR="0040300B" w:rsidRDefault="00BB2D44">
            <w:pPr>
              <w:textAlignment w:val="top"/>
            </w:pPr>
            <w:r>
              <w:rPr>
                <w:rFonts w:ascii="Times New Roman" w:eastAsia="宋体" w:hAnsi="Times New Roman"/>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7B66EF67" w14:textId="77777777" w:rsidR="0040300B" w:rsidRDefault="00BB2D44">
            <w:pPr>
              <w:jc w:val="right"/>
              <w:textAlignment w:val="bottom"/>
            </w:pPr>
            <w:r>
              <w:rPr>
                <w:rFonts w:ascii="Times New Roman" w:eastAsia="宋体" w:hAnsi="Times New Roman"/>
                <w:color w:val="000000"/>
                <w:sz w:val="20"/>
                <w:szCs w:val="20"/>
              </w:rPr>
              <w:t>930 </w:t>
            </w:r>
          </w:p>
        </w:tc>
        <w:tc>
          <w:tcPr>
            <w:tcW w:w="0" w:type="auto"/>
            <w:shd w:val="clear" w:color="auto" w:fill="auto"/>
            <w:tcMar>
              <w:top w:w="40" w:type="dxa"/>
              <w:left w:w="0" w:type="dxa"/>
              <w:bottom w:w="40" w:type="dxa"/>
              <w:right w:w="20" w:type="dxa"/>
            </w:tcMar>
            <w:vAlign w:val="bottom"/>
          </w:tcPr>
          <w:p w14:paraId="7B66EF68"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69"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6A" w14:textId="77777777" w:rsidR="0040300B" w:rsidRDefault="00BB2D44">
            <w:pPr>
              <w:jc w:val="right"/>
              <w:textAlignment w:val="bottom"/>
            </w:pPr>
            <w:r>
              <w:rPr>
                <w:rFonts w:ascii="Times New Roman" w:eastAsia="宋体" w:hAnsi="Times New Roman"/>
                <w:color w:val="000000"/>
                <w:sz w:val="20"/>
                <w:szCs w:val="20"/>
              </w:rPr>
              <w:t>2,938 </w:t>
            </w:r>
          </w:p>
        </w:tc>
        <w:tc>
          <w:tcPr>
            <w:tcW w:w="0" w:type="auto"/>
            <w:shd w:val="clear" w:color="auto" w:fill="auto"/>
            <w:tcMar>
              <w:top w:w="40" w:type="dxa"/>
              <w:left w:w="0" w:type="dxa"/>
              <w:bottom w:w="40" w:type="dxa"/>
              <w:right w:w="20" w:type="dxa"/>
            </w:tcMar>
            <w:vAlign w:val="bottom"/>
          </w:tcPr>
          <w:p w14:paraId="7B66EF6B"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6C"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6D" w14:textId="77777777" w:rsidR="0040300B" w:rsidRDefault="00BB2D44">
            <w:pPr>
              <w:jc w:val="right"/>
              <w:textAlignment w:val="bottom"/>
            </w:pPr>
            <w:r>
              <w:rPr>
                <w:rFonts w:ascii="Times New Roman" w:eastAsia="宋体" w:hAnsi="Times New Roman"/>
                <w:color w:val="000000"/>
                <w:sz w:val="20"/>
                <w:szCs w:val="20"/>
              </w:rPr>
              <w:t>1,200 </w:t>
            </w:r>
          </w:p>
        </w:tc>
        <w:tc>
          <w:tcPr>
            <w:tcW w:w="0" w:type="auto"/>
            <w:shd w:val="clear" w:color="auto" w:fill="auto"/>
            <w:tcMar>
              <w:top w:w="40" w:type="dxa"/>
              <w:left w:w="0" w:type="dxa"/>
              <w:bottom w:w="40" w:type="dxa"/>
              <w:right w:w="20" w:type="dxa"/>
            </w:tcMar>
            <w:vAlign w:val="bottom"/>
          </w:tcPr>
          <w:p w14:paraId="7B66EF6E"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EF6F"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EF70" w14:textId="77777777" w:rsidR="0040300B" w:rsidRDefault="00BB2D44">
            <w:pPr>
              <w:jc w:val="right"/>
              <w:textAlignment w:val="bottom"/>
            </w:pPr>
            <w:r>
              <w:rPr>
                <w:rFonts w:ascii="Times New Roman" w:eastAsia="宋体" w:hAnsi="Times New Roman"/>
                <w:color w:val="000000"/>
                <w:sz w:val="20"/>
                <w:szCs w:val="20"/>
              </w:rPr>
              <w:t>5,068 </w:t>
            </w:r>
          </w:p>
        </w:tc>
        <w:tc>
          <w:tcPr>
            <w:tcW w:w="0" w:type="auto"/>
            <w:shd w:val="clear" w:color="auto" w:fill="auto"/>
            <w:tcMar>
              <w:top w:w="40" w:type="dxa"/>
              <w:left w:w="0" w:type="dxa"/>
              <w:bottom w:w="40" w:type="dxa"/>
              <w:right w:w="20" w:type="dxa"/>
            </w:tcMar>
            <w:vAlign w:val="bottom"/>
          </w:tcPr>
          <w:p w14:paraId="7B66EF71" w14:textId="77777777" w:rsidR="0040300B" w:rsidRDefault="0040300B">
            <w:pPr>
              <w:jc w:val="right"/>
              <w:rPr>
                <w:rFonts w:ascii="宋体"/>
              </w:rPr>
            </w:pPr>
          </w:p>
        </w:tc>
      </w:tr>
      <w:tr w:rsidR="0040300B" w14:paraId="7B66EF83" w14:textId="77777777">
        <w:tc>
          <w:tcPr>
            <w:tcW w:w="0" w:type="auto"/>
            <w:gridSpan w:val="3"/>
            <w:shd w:val="clear" w:color="auto" w:fill="CCEEFF"/>
            <w:tcMar>
              <w:top w:w="40" w:type="dxa"/>
              <w:left w:w="740" w:type="dxa"/>
              <w:bottom w:w="40" w:type="dxa"/>
              <w:right w:w="20" w:type="dxa"/>
            </w:tcMar>
          </w:tcPr>
          <w:p w14:paraId="7B66EF73" w14:textId="77777777" w:rsidR="0040300B" w:rsidRDefault="00BB2D44">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F7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F75" w14:textId="77777777" w:rsidR="0040300B" w:rsidRDefault="00BB2D44">
            <w:pPr>
              <w:jc w:val="right"/>
              <w:textAlignment w:val="bottom"/>
            </w:pPr>
            <w:r>
              <w:rPr>
                <w:rFonts w:ascii="Times New Roman" w:eastAsia="宋体" w:hAnsi="Times New Roman"/>
                <w:color w:val="000000"/>
                <w:sz w:val="20"/>
                <w:szCs w:val="20"/>
              </w:rPr>
              <w:t>1,713 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F7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7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F7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F79" w14:textId="77777777" w:rsidR="0040300B" w:rsidRDefault="00BB2D44">
            <w:pPr>
              <w:jc w:val="right"/>
              <w:textAlignment w:val="bottom"/>
            </w:pPr>
            <w:r>
              <w:rPr>
                <w:rFonts w:ascii="Times New Roman" w:eastAsia="宋体" w:hAnsi="Times New Roman"/>
                <w:color w:val="000000"/>
                <w:sz w:val="20"/>
                <w:szCs w:val="20"/>
              </w:rPr>
              <w:t>5,547 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F7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7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F7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F7D" w14:textId="77777777" w:rsidR="0040300B" w:rsidRDefault="00BB2D44">
            <w:pPr>
              <w:jc w:val="right"/>
              <w:textAlignment w:val="bottom"/>
            </w:pPr>
            <w:r>
              <w:rPr>
                <w:rFonts w:ascii="Times New Roman" w:eastAsia="宋体" w:hAnsi="Times New Roman"/>
                <w:color w:val="000000"/>
                <w:sz w:val="20"/>
                <w:szCs w:val="20"/>
              </w:rPr>
              <w:t>2,456 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F7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7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EF8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EF81" w14:textId="77777777" w:rsidR="0040300B" w:rsidRDefault="00BB2D44">
            <w:pPr>
              <w:jc w:val="right"/>
              <w:textAlignment w:val="bottom"/>
            </w:pPr>
            <w:r>
              <w:rPr>
                <w:rFonts w:ascii="Times New Roman" w:eastAsia="宋体" w:hAnsi="Times New Roman"/>
                <w:color w:val="000000"/>
                <w:sz w:val="20"/>
                <w:szCs w:val="20"/>
              </w:rPr>
              <w:t>9,716 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EF82" w14:textId="77777777" w:rsidR="0040300B" w:rsidRDefault="0040300B">
            <w:pPr>
              <w:jc w:val="right"/>
              <w:rPr>
                <w:rFonts w:ascii="宋体"/>
              </w:rPr>
            </w:pPr>
          </w:p>
        </w:tc>
      </w:tr>
    </w:tbl>
    <w:p w14:paraId="7B66EF84" w14:textId="77777777" w:rsidR="0040300B" w:rsidRDefault="0040300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40300B" w14:paraId="7B66EF9D" w14:textId="77777777">
        <w:tc>
          <w:tcPr>
            <w:tcW w:w="50" w:type="pct"/>
            <w:shd w:val="clear" w:color="auto" w:fill="auto"/>
          </w:tcPr>
          <w:p w14:paraId="7B66EF85" w14:textId="77777777" w:rsidR="0040300B" w:rsidRDefault="0040300B">
            <w:pPr>
              <w:rPr>
                <w:rFonts w:ascii="宋体"/>
              </w:rPr>
            </w:pPr>
          </w:p>
        </w:tc>
        <w:tc>
          <w:tcPr>
            <w:tcW w:w="1787" w:type="pct"/>
            <w:shd w:val="clear" w:color="auto" w:fill="auto"/>
          </w:tcPr>
          <w:p w14:paraId="7B66EF86" w14:textId="77777777" w:rsidR="0040300B" w:rsidRDefault="0040300B">
            <w:pPr>
              <w:rPr>
                <w:rFonts w:ascii="宋体"/>
              </w:rPr>
            </w:pPr>
          </w:p>
        </w:tc>
        <w:tc>
          <w:tcPr>
            <w:tcW w:w="5" w:type="pct"/>
            <w:shd w:val="clear" w:color="auto" w:fill="auto"/>
          </w:tcPr>
          <w:p w14:paraId="7B66EF87" w14:textId="77777777" w:rsidR="0040300B" w:rsidRDefault="0040300B">
            <w:pPr>
              <w:rPr>
                <w:rFonts w:ascii="宋体"/>
              </w:rPr>
            </w:pPr>
          </w:p>
        </w:tc>
        <w:tc>
          <w:tcPr>
            <w:tcW w:w="50" w:type="pct"/>
            <w:shd w:val="clear" w:color="auto" w:fill="auto"/>
          </w:tcPr>
          <w:p w14:paraId="7B66EF88" w14:textId="77777777" w:rsidR="0040300B" w:rsidRDefault="0040300B">
            <w:pPr>
              <w:rPr>
                <w:rFonts w:ascii="宋体"/>
              </w:rPr>
            </w:pPr>
          </w:p>
        </w:tc>
        <w:tc>
          <w:tcPr>
            <w:tcW w:w="697" w:type="pct"/>
            <w:shd w:val="clear" w:color="auto" w:fill="auto"/>
          </w:tcPr>
          <w:p w14:paraId="7B66EF89" w14:textId="77777777" w:rsidR="0040300B" w:rsidRDefault="0040300B">
            <w:pPr>
              <w:rPr>
                <w:rFonts w:ascii="宋体"/>
              </w:rPr>
            </w:pPr>
          </w:p>
        </w:tc>
        <w:tc>
          <w:tcPr>
            <w:tcW w:w="5" w:type="pct"/>
            <w:shd w:val="clear" w:color="auto" w:fill="auto"/>
          </w:tcPr>
          <w:p w14:paraId="7B66EF8A" w14:textId="77777777" w:rsidR="0040300B" w:rsidRDefault="0040300B">
            <w:pPr>
              <w:rPr>
                <w:rFonts w:ascii="宋体"/>
              </w:rPr>
            </w:pPr>
          </w:p>
        </w:tc>
        <w:tc>
          <w:tcPr>
            <w:tcW w:w="5" w:type="pct"/>
            <w:shd w:val="clear" w:color="auto" w:fill="auto"/>
          </w:tcPr>
          <w:p w14:paraId="7B66EF8B" w14:textId="77777777" w:rsidR="0040300B" w:rsidRDefault="0040300B">
            <w:pPr>
              <w:rPr>
                <w:rFonts w:ascii="宋体"/>
              </w:rPr>
            </w:pPr>
          </w:p>
        </w:tc>
        <w:tc>
          <w:tcPr>
            <w:tcW w:w="26" w:type="pct"/>
            <w:shd w:val="clear" w:color="auto" w:fill="auto"/>
          </w:tcPr>
          <w:p w14:paraId="7B66EF8C" w14:textId="77777777" w:rsidR="0040300B" w:rsidRDefault="0040300B">
            <w:pPr>
              <w:rPr>
                <w:rFonts w:ascii="宋体"/>
              </w:rPr>
            </w:pPr>
          </w:p>
        </w:tc>
        <w:tc>
          <w:tcPr>
            <w:tcW w:w="5" w:type="pct"/>
            <w:shd w:val="clear" w:color="auto" w:fill="auto"/>
          </w:tcPr>
          <w:p w14:paraId="7B66EF8D" w14:textId="77777777" w:rsidR="0040300B" w:rsidRDefault="0040300B">
            <w:pPr>
              <w:rPr>
                <w:rFonts w:ascii="宋体"/>
              </w:rPr>
            </w:pPr>
          </w:p>
        </w:tc>
        <w:tc>
          <w:tcPr>
            <w:tcW w:w="50" w:type="pct"/>
            <w:shd w:val="clear" w:color="auto" w:fill="auto"/>
          </w:tcPr>
          <w:p w14:paraId="7B66EF8E" w14:textId="77777777" w:rsidR="0040300B" w:rsidRDefault="0040300B">
            <w:pPr>
              <w:rPr>
                <w:rFonts w:ascii="宋体"/>
              </w:rPr>
            </w:pPr>
          </w:p>
        </w:tc>
        <w:tc>
          <w:tcPr>
            <w:tcW w:w="697" w:type="pct"/>
            <w:shd w:val="clear" w:color="auto" w:fill="auto"/>
          </w:tcPr>
          <w:p w14:paraId="7B66EF8F" w14:textId="77777777" w:rsidR="0040300B" w:rsidRDefault="0040300B">
            <w:pPr>
              <w:rPr>
                <w:rFonts w:ascii="宋体"/>
              </w:rPr>
            </w:pPr>
          </w:p>
        </w:tc>
        <w:tc>
          <w:tcPr>
            <w:tcW w:w="5" w:type="pct"/>
            <w:shd w:val="clear" w:color="auto" w:fill="auto"/>
          </w:tcPr>
          <w:p w14:paraId="7B66EF90" w14:textId="77777777" w:rsidR="0040300B" w:rsidRDefault="0040300B">
            <w:pPr>
              <w:rPr>
                <w:rFonts w:ascii="宋体"/>
              </w:rPr>
            </w:pPr>
          </w:p>
        </w:tc>
        <w:tc>
          <w:tcPr>
            <w:tcW w:w="5" w:type="pct"/>
            <w:shd w:val="clear" w:color="auto" w:fill="auto"/>
          </w:tcPr>
          <w:p w14:paraId="7B66EF91" w14:textId="77777777" w:rsidR="0040300B" w:rsidRDefault="0040300B">
            <w:pPr>
              <w:rPr>
                <w:rFonts w:ascii="宋体"/>
              </w:rPr>
            </w:pPr>
          </w:p>
        </w:tc>
        <w:tc>
          <w:tcPr>
            <w:tcW w:w="26" w:type="pct"/>
            <w:shd w:val="clear" w:color="auto" w:fill="auto"/>
          </w:tcPr>
          <w:p w14:paraId="7B66EF92" w14:textId="77777777" w:rsidR="0040300B" w:rsidRDefault="0040300B">
            <w:pPr>
              <w:rPr>
                <w:rFonts w:ascii="宋体"/>
              </w:rPr>
            </w:pPr>
          </w:p>
        </w:tc>
        <w:tc>
          <w:tcPr>
            <w:tcW w:w="5" w:type="pct"/>
            <w:shd w:val="clear" w:color="auto" w:fill="auto"/>
          </w:tcPr>
          <w:p w14:paraId="7B66EF93" w14:textId="77777777" w:rsidR="0040300B" w:rsidRDefault="0040300B">
            <w:pPr>
              <w:rPr>
                <w:rFonts w:ascii="宋体"/>
              </w:rPr>
            </w:pPr>
          </w:p>
        </w:tc>
        <w:tc>
          <w:tcPr>
            <w:tcW w:w="50" w:type="pct"/>
            <w:shd w:val="clear" w:color="auto" w:fill="auto"/>
          </w:tcPr>
          <w:p w14:paraId="7B66EF94" w14:textId="77777777" w:rsidR="0040300B" w:rsidRDefault="0040300B">
            <w:pPr>
              <w:rPr>
                <w:rFonts w:ascii="宋体"/>
              </w:rPr>
            </w:pPr>
          </w:p>
        </w:tc>
        <w:tc>
          <w:tcPr>
            <w:tcW w:w="734" w:type="pct"/>
            <w:shd w:val="clear" w:color="auto" w:fill="auto"/>
          </w:tcPr>
          <w:p w14:paraId="7B66EF95" w14:textId="77777777" w:rsidR="0040300B" w:rsidRDefault="0040300B">
            <w:pPr>
              <w:rPr>
                <w:rFonts w:ascii="宋体"/>
              </w:rPr>
            </w:pPr>
          </w:p>
        </w:tc>
        <w:tc>
          <w:tcPr>
            <w:tcW w:w="5" w:type="pct"/>
            <w:shd w:val="clear" w:color="auto" w:fill="auto"/>
          </w:tcPr>
          <w:p w14:paraId="7B66EF96" w14:textId="77777777" w:rsidR="0040300B" w:rsidRDefault="0040300B">
            <w:pPr>
              <w:rPr>
                <w:rFonts w:ascii="宋体"/>
              </w:rPr>
            </w:pPr>
          </w:p>
        </w:tc>
        <w:tc>
          <w:tcPr>
            <w:tcW w:w="5" w:type="pct"/>
            <w:shd w:val="clear" w:color="auto" w:fill="auto"/>
          </w:tcPr>
          <w:p w14:paraId="7B66EF97" w14:textId="77777777" w:rsidR="0040300B" w:rsidRDefault="0040300B">
            <w:pPr>
              <w:rPr>
                <w:rFonts w:ascii="宋体"/>
              </w:rPr>
            </w:pPr>
          </w:p>
        </w:tc>
        <w:tc>
          <w:tcPr>
            <w:tcW w:w="26" w:type="pct"/>
            <w:shd w:val="clear" w:color="auto" w:fill="auto"/>
          </w:tcPr>
          <w:p w14:paraId="7B66EF98" w14:textId="77777777" w:rsidR="0040300B" w:rsidRDefault="0040300B">
            <w:pPr>
              <w:rPr>
                <w:rFonts w:ascii="宋体"/>
              </w:rPr>
            </w:pPr>
          </w:p>
        </w:tc>
        <w:tc>
          <w:tcPr>
            <w:tcW w:w="5" w:type="pct"/>
            <w:shd w:val="clear" w:color="auto" w:fill="auto"/>
          </w:tcPr>
          <w:p w14:paraId="7B66EF99" w14:textId="77777777" w:rsidR="0040300B" w:rsidRDefault="0040300B">
            <w:pPr>
              <w:rPr>
                <w:rFonts w:ascii="宋体"/>
              </w:rPr>
            </w:pPr>
          </w:p>
        </w:tc>
        <w:tc>
          <w:tcPr>
            <w:tcW w:w="50" w:type="pct"/>
            <w:shd w:val="clear" w:color="auto" w:fill="auto"/>
          </w:tcPr>
          <w:p w14:paraId="7B66EF9A" w14:textId="77777777" w:rsidR="0040300B" w:rsidRDefault="0040300B">
            <w:pPr>
              <w:rPr>
                <w:rFonts w:ascii="宋体"/>
              </w:rPr>
            </w:pPr>
          </w:p>
        </w:tc>
        <w:tc>
          <w:tcPr>
            <w:tcW w:w="698" w:type="pct"/>
            <w:shd w:val="clear" w:color="auto" w:fill="auto"/>
          </w:tcPr>
          <w:p w14:paraId="7B66EF9B" w14:textId="77777777" w:rsidR="0040300B" w:rsidRDefault="0040300B">
            <w:pPr>
              <w:rPr>
                <w:rFonts w:ascii="宋体"/>
              </w:rPr>
            </w:pPr>
          </w:p>
        </w:tc>
        <w:tc>
          <w:tcPr>
            <w:tcW w:w="5" w:type="pct"/>
            <w:shd w:val="clear" w:color="auto" w:fill="auto"/>
          </w:tcPr>
          <w:p w14:paraId="7B66EF9C" w14:textId="77777777" w:rsidR="0040300B" w:rsidRDefault="0040300B">
            <w:pPr>
              <w:rPr>
                <w:rFonts w:ascii="宋体"/>
              </w:rPr>
            </w:pPr>
          </w:p>
        </w:tc>
      </w:tr>
      <w:tr w:rsidR="0040300B" w14:paraId="7B66EFA6" w14:textId="77777777">
        <w:tc>
          <w:tcPr>
            <w:tcW w:w="0" w:type="auto"/>
            <w:gridSpan w:val="3"/>
            <w:shd w:val="clear" w:color="auto" w:fill="auto"/>
            <w:tcMar>
              <w:top w:w="40" w:type="dxa"/>
              <w:left w:w="20" w:type="dxa"/>
              <w:bottom w:w="40" w:type="dxa"/>
              <w:right w:w="20" w:type="dxa"/>
            </w:tcMar>
            <w:vAlign w:val="bottom"/>
          </w:tcPr>
          <w:p w14:paraId="7B66EF9E" w14:textId="77777777" w:rsidR="0040300B" w:rsidRDefault="00BB2D44">
            <w:pPr>
              <w:textAlignment w:val="bottom"/>
            </w:pPr>
            <w:r>
              <w:rPr>
                <w:rFonts w:ascii="Times New Roman" w:eastAsia="宋体" w:hAnsi="Times New Roman"/>
                <w:color w:val="000000"/>
                <w:sz w:val="18"/>
                <w:szCs w:val="18"/>
                <w:u w:val="single"/>
              </w:rPr>
              <w:t>July 25, 2020</w:t>
            </w:r>
          </w:p>
        </w:tc>
        <w:tc>
          <w:tcPr>
            <w:tcW w:w="0" w:type="auto"/>
            <w:gridSpan w:val="3"/>
            <w:shd w:val="clear" w:color="auto" w:fill="auto"/>
            <w:tcMar>
              <w:top w:w="40" w:type="dxa"/>
              <w:left w:w="20" w:type="dxa"/>
              <w:bottom w:w="40" w:type="dxa"/>
              <w:right w:w="20" w:type="dxa"/>
            </w:tcMar>
            <w:vAlign w:val="bottom"/>
          </w:tcPr>
          <w:p w14:paraId="7B66EF9F" w14:textId="77777777" w:rsidR="0040300B" w:rsidRDefault="00BB2D44">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7B66EFA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FA1" w14:textId="77777777" w:rsidR="0040300B" w:rsidRDefault="00BB2D44">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tcPr>
          <w:p w14:paraId="7B66EFA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FA3" w14:textId="77777777" w:rsidR="0040300B" w:rsidRDefault="00BB2D44">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tcPr>
          <w:p w14:paraId="7B66EFA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EFA5"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6EFB7" w14:textId="77777777">
        <w:tc>
          <w:tcPr>
            <w:tcW w:w="0" w:type="auto"/>
            <w:gridSpan w:val="3"/>
            <w:shd w:val="clear" w:color="auto" w:fill="CCEEFF"/>
            <w:tcMar>
              <w:top w:w="40" w:type="dxa"/>
              <w:left w:w="20" w:type="dxa"/>
              <w:bottom w:w="40" w:type="dxa"/>
              <w:right w:w="20" w:type="dxa"/>
            </w:tcMar>
          </w:tcPr>
          <w:p w14:paraId="7B66EFA7" w14:textId="77777777" w:rsidR="0040300B" w:rsidRDefault="00BB2D44">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FA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A9" w14:textId="77777777" w:rsidR="0040300B" w:rsidRDefault="00BB2D44">
            <w:pPr>
              <w:jc w:val="right"/>
              <w:textAlignment w:val="bottom"/>
            </w:pPr>
            <w:r>
              <w:rPr>
                <w:rFonts w:ascii="Times New Roman" w:eastAsia="宋体" w:hAnsi="Times New Roman"/>
                <w:color w:val="000000"/>
                <w:sz w:val="20"/>
                <w:szCs w:val="20"/>
              </w:rPr>
              <w:t>2,127 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A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A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AD" w14:textId="77777777" w:rsidR="0040300B" w:rsidRDefault="00BB2D44">
            <w:pPr>
              <w:jc w:val="right"/>
              <w:textAlignment w:val="bottom"/>
            </w:pPr>
            <w:r>
              <w:rPr>
                <w:rFonts w:ascii="Times New Roman" w:eastAsia="宋体" w:hAnsi="Times New Roman"/>
                <w:color w:val="000000"/>
                <w:sz w:val="20"/>
                <w:szCs w:val="20"/>
              </w:rPr>
              <w:t>5,937 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A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A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B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B1" w14:textId="77777777" w:rsidR="0040300B" w:rsidRDefault="00BB2D44">
            <w:pPr>
              <w:jc w:val="right"/>
              <w:textAlignment w:val="bottom"/>
            </w:pPr>
            <w:r>
              <w:rPr>
                <w:rFonts w:ascii="Times New Roman" w:eastAsia="宋体" w:hAnsi="Times New Roman"/>
                <w:color w:val="000000"/>
                <w:sz w:val="20"/>
                <w:szCs w:val="20"/>
              </w:rPr>
              <w:t>2,830 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B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B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B5" w14:textId="77777777" w:rsidR="0040300B" w:rsidRDefault="00BB2D44">
            <w:pPr>
              <w:jc w:val="right"/>
              <w:textAlignment w:val="bottom"/>
            </w:pPr>
            <w:r>
              <w:rPr>
                <w:rFonts w:ascii="Times New Roman" w:eastAsia="宋体" w:hAnsi="Times New Roman"/>
                <w:color w:val="000000"/>
                <w:sz w:val="20"/>
                <w:szCs w:val="20"/>
              </w:rPr>
              <w:t>10,894 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B6" w14:textId="77777777" w:rsidR="0040300B" w:rsidRDefault="0040300B">
            <w:pPr>
              <w:jc w:val="right"/>
              <w:rPr>
                <w:rFonts w:ascii="宋体"/>
              </w:rPr>
            </w:pPr>
          </w:p>
        </w:tc>
      </w:tr>
      <w:tr w:rsidR="0040300B" w14:paraId="7B66EFC4" w14:textId="77777777">
        <w:tc>
          <w:tcPr>
            <w:tcW w:w="0" w:type="auto"/>
            <w:gridSpan w:val="3"/>
            <w:shd w:val="clear" w:color="auto" w:fill="FFFFFF"/>
            <w:tcMar>
              <w:top w:w="40" w:type="dxa"/>
              <w:left w:w="20" w:type="dxa"/>
              <w:bottom w:w="40" w:type="dxa"/>
              <w:right w:w="20" w:type="dxa"/>
            </w:tcMar>
          </w:tcPr>
          <w:p w14:paraId="7B66EFB8" w14:textId="77777777" w:rsidR="0040300B" w:rsidRDefault="00BB2D44">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7B66EFB9" w14:textId="77777777" w:rsidR="0040300B" w:rsidRDefault="00BB2D44">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7B66EFB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B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B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FB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B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B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EFC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C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C2" w14:textId="77777777" w:rsidR="0040300B" w:rsidRDefault="00BB2D44">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7B66EFC3" w14:textId="77777777" w:rsidR="0040300B" w:rsidRDefault="0040300B">
            <w:pPr>
              <w:jc w:val="right"/>
              <w:rPr>
                <w:rFonts w:ascii="宋体"/>
              </w:rPr>
            </w:pPr>
          </w:p>
        </w:tc>
      </w:tr>
      <w:tr w:rsidR="0040300B" w14:paraId="7B66EFD1" w14:textId="77777777">
        <w:tc>
          <w:tcPr>
            <w:tcW w:w="0" w:type="auto"/>
            <w:gridSpan w:val="3"/>
            <w:shd w:val="clear" w:color="auto" w:fill="CCEEFF"/>
            <w:tcMar>
              <w:top w:w="40" w:type="dxa"/>
              <w:left w:w="20" w:type="dxa"/>
              <w:bottom w:w="40" w:type="dxa"/>
              <w:right w:w="20" w:type="dxa"/>
            </w:tcMar>
          </w:tcPr>
          <w:p w14:paraId="7B66EFC5" w14:textId="77777777" w:rsidR="0040300B" w:rsidRDefault="00BB2D44">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7B66EFC6" w14:textId="77777777" w:rsidR="0040300B" w:rsidRDefault="00BB2D44">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7B66EF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C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C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EF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C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C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EFC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C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EFCF" w14:textId="77777777" w:rsidR="0040300B" w:rsidRDefault="00BB2D44">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7B66EFD0" w14:textId="77777777" w:rsidR="0040300B" w:rsidRDefault="0040300B">
            <w:pPr>
              <w:jc w:val="right"/>
              <w:rPr>
                <w:rFonts w:ascii="宋体"/>
              </w:rPr>
            </w:pPr>
          </w:p>
        </w:tc>
      </w:tr>
      <w:tr w:rsidR="0040300B" w14:paraId="7B66EFDE" w14:textId="77777777">
        <w:tc>
          <w:tcPr>
            <w:tcW w:w="0" w:type="auto"/>
            <w:gridSpan w:val="3"/>
            <w:shd w:val="clear" w:color="auto" w:fill="FFFFFF"/>
            <w:tcMar>
              <w:top w:w="40" w:type="dxa"/>
              <w:left w:w="20" w:type="dxa"/>
              <w:bottom w:w="40" w:type="dxa"/>
              <w:right w:w="20" w:type="dxa"/>
            </w:tcMar>
          </w:tcPr>
          <w:p w14:paraId="7B66EFD2" w14:textId="77777777" w:rsidR="0040300B" w:rsidRDefault="00BB2D44">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7B66EFD3" w14:textId="77777777" w:rsidR="0040300B" w:rsidRDefault="00BB2D44">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7B66EFD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D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D6" w14:textId="77777777" w:rsidR="0040300B" w:rsidRDefault="00BB2D44">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7B66EFD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D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D9" w14:textId="77777777" w:rsidR="0040300B" w:rsidRDefault="00BB2D44">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B66EFD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EFD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EFDC" w14:textId="77777777" w:rsidR="0040300B" w:rsidRDefault="00BB2D44">
            <w:pPr>
              <w:jc w:val="right"/>
              <w:textAlignment w:val="bottom"/>
            </w:pPr>
            <w:r>
              <w:rPr>
                <w:rFonts w:ascii="Times New Roman" w:eastAsia="宋体" w:hAnsi="Times New Roman"/>
                <w:color w:val="000000"/>
                <w:sz w:val="20"/>
                <w:szCs w:val="20"/>
              </w:rPr>
              <w:t>(138)</w:t>
            </w:r>
          </w:p>
        </w:tc>
        <w:tc>
          <w:tcPr>
            <w:tcW w:w="0" w:type="auto"/>
            <w:shd w:val="clear" w:color="auto" w:fill="FFFFFF"/>
            <w:tcMar>
              <w:top w:w="40" w:type="dxa"/>
              <w:left w:w="0" w:type="dxa"/>
              <w:bottom w:w="40" w:type="dxa"/>
              <w:right w:w="20" w:type="dxa"/>
            </w:tcMar>
            <w:vAlign w:val="bottom"/>
          </w:tcPr>
          <w:p w14:paraId="7B66EFDD" w14:textId="77777777" w:rsidR="0040300B" w:rsidRDefault="0040300B">
            <w:pPr>
              <w:jc w:val="right"/>
              <w:rPr>
                <w:rFonts w:ascii="宋体"/>
              </w:rPr>
            </w:pPr>
          </w:p>
        </w:tc>
      </w:tr>
      <w:tr w:rsidR="0040300B" w14:paraId="7B66EFEF" w14:textId="77777777">
        <w:tc>
          <w:tcPr>
            <w:tcW w:w="0" w:type="auto"/>
            <w:gridSpan w:val="3"/>
            <w:shd w:val="clear" w:color="auto" w:fill="CCEEFF"/>
            <w:tcMar>
              <w:top w:w="40" w:type="dxa"/>
              <w:left w:w="740" w:type="dxa"/>
              <w:bottom w:w="40" w:type="dxa"/>
              <w:right w:w="20" w:type="dxa"/>
            </w:tcMar>
          </w:tcPr>
          <w:p w14:paraId="7B66EFDF" w14:textId="77777777" w:rsidR="0040300B" w:rsidRDefault="00BB2D44">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EFE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E1" w14:textId="77777777" w:rsidR="0040300B" w:rsidRDefault="00BB2D44">
            <w:pPr>
              <w:jc w:val="right"/>
              <w:textAlignment w:val="bottom"/>
            </w:pPr>
            <w:r>
              <w:rPr>
                <w:rFonts w:ascii="Times New Roman" w:eastAsia="宋体" w:hAnsi="Times New Roman"/>
                <w:color w:val="000000"/>
                <w:sz w:val="20"/>
                <w:szCs w:val="20"/>
              </w:rPr>
              <w:t>2,088 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E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E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E5" w14:textId="77777777" w:rsidR="0040300B" w:rsidRDefault="00BB2D44">
            <w:pPr>
              <w:jc w:val="right"/>
              <w:textAlignment w:val="bottom"/>
            </w:pPr>
            <w:r>
              <w:rPr>
                <w:rFonts w:ascii="Times New Roman" w:eastAsia="宋体" w:hAnsi="Times New Roman"/>
                <w:color w:val="000000"/>
                <w:sz w:val="20"/>
                <w:szCs w:val="20"/>
              </w:rPr>
              <w:t>5,856 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E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E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E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E9" w14:textId="77777777" w:rsidR="0040300B" w:rsidRDefault="00BB2D44">
            <w:pPr>
              <w:jc w:val="right"/>
              <w:textAlignment w:val="bottom"/>
            </w:pPr>
            <w:r>
              <w:rPr>
                <w:rFonts w:ascii="Times New Roman" w:eastAsia="宋体" w:hAnsi="Times New Roman"/>
                <w:color w:val="000000"/>
                <w:sz w:val="20"/>
                <w:szCs w:val="20"/>
              </w:rPr>
              <w:t>2,821 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E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E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EFE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EFED" w14:textId="77777777" w:rsidR="0040300B" w:rsidRDefault="00BB2D44">
            <w:pPr>
              <w:jc w:val="right"/>
              <w:textAlignment w:val="bottom"/>
            </w:pPr>
            <w:r>
              <w:rPr>
                <w:rFonts w:ascii="Times New Roman" w:eastAsia="宋体" w:hAnsi="Times New Roman"/>
                <w:color w:val="000000"/>
                <w:sz w:val="20"/>
                <w:szCs w:val="20"/>
              </w:rPr>
              <w:t>10,765 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EFEE" w14:textId="77777777" w:rsidR="0040300B" w:rsidRDefault="0040300B">
            <w:pPr>
              <w:jc w:val="right"/>
              <w:rPr>
                <w:rFonts w:ascii="宋体"/>
              </w:rPr>
            </w:pPr>
          </w:p>
        </w:tc>
      </w:tr>
      <w:tr w:rsidR="0040300B" w14:paraId="7B66EFF8" w14:textId="77777777">
        <w:tc>
          <w:tcPr>
            <w:tcW w:w="0" w:type="auto"/>
            <w:gridSpan w:val="3"/>
            <w:shd w:val="clear" w:color="auto" w:fill="FFFFFF"/>
            <w:tcMar>
              <w:top w:w="40" w:type="dxa"/>
              <w:left w:w="20" w:type="dxa"/>
              <w:bottom w:w="40" w:type="dxa"/>
              <w:right w:w="20" w:type="dxa"/>
            </w:tcMar>
          </w:tcPr>
          <w:p w14:paraId="7B66EFF0" w14:textId="77777777" w:rsidR="0040300B" w:rsidRDefault="00BB2D44">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tcPr>
          <w:p w14:paraId="7B66EFF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FF2" w14:textId="77777777" w:rsidR="0040300B" w:rsidRDefault="0040300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B66EFF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FF4" w14:textId="77777777" w:rsidR="0040300B" w:rsidRDefault="0040300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B66EFF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EFF6" w14:textId="77777777" w:rsidR="0040300B" w:rsidRDefault="0040300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B66EFF7" w14:textId="77777777" w:rsidR="0040300B" w:rsidRDefault="0040300B">
            <w:pPr>
              <w:rPr>
                <w:rFonts w:ascii="宋体"/>
              </w:rPr>
            </w:pPr>
          </w:p>
        </w:tc>
      </w:tr>
      <w:tr w:rsidR="0040300B" w14:paraId="7B66F009" w14:textId="77777777">
        <w:tc>
          <w:tcPr>
            <w:tcW w:w="0" w:type="auto"/>
            <w:gridSpan w:val="3"/>
            <w:shd w:val="clear" w:color="auto" w:fill="CCEEFF"/>
            <w:tcMar>
              <w:top w:w="40" w:type="dxa"/>
              <w:left w:w="380" w:type="dxa"/>
              <w:bottom w:w="40" w:type="dxa"/>
              <w:right w:w="20" w:type="dxa"/>
            </w:tcMar>
          </w:tcPr>
          <w:p w14:paraId="7B66EFF9" w14:textId="77777777" w:rsidR="0040300B" w:rsidRDefault="00BB2D44">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7B66EFF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FB" w14:textId="77777777" w:rsidR="0040300B" w:rsidRDefault="00BB2D44">
            <w:pPr>
              <w:jc w:val="right"/>
              <w:textAlignment w:val="bottom"/>
            </w:pPr>
            <w:r>
              <w:rPr>
                <w:rFonts w:ascii="Times New Roman" w:eastAsia="宋体" w:hAnsi="Times New Roman"/>
                <w:color w:val="000000"/>
                <w:sz w:val="20"/>
                <w:szCs w:val="20"/>
              </w:rPr>
              <w:t>918 </w:t>
            </w:r>
          </w:p>
        </w:tc>
        <w:tc>
          <w:tcPr>
            <w:tcW w:w="0" w:type="auto"/>
            <w:shd w:val="clear" w:color="auto" w:fill="CCEEFF"/>
            <w:tcMar>
              <w:top w:w="40" w:type="dxa"/>
              <w:left w:w="0" w:type="dxa"/>
              <w:bottom w:w="40" w:type="dxa"/>
              <w:right w:w="20" w:type="dxa"/>
            </w:tcMar>
            <w:vAlign w:val="bottom"/>
          </w:tcPr>
          <w:p w14:paraId="7B66EFF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EFFD"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EFF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EFFF" w14:textId="77777777" w:rsidR="0040300B" w:rsidRDefault="00BB2D44">
            <w:pPr>
              <w:jc w:val="right"/>
              <w:textAlignment w:val="bottom"/>
            </w:pPr>
            <w:r>
              <w:rPr>
                <w:rFonts w:ascii="Times New Roman" w:eastAsia="宋体" w:hAnsi="Times New Roman"/>
                <w:color w:val="000000"/>
                <w:sz w:val="20"/>
                <w:szCs w:val="20"/>
              </w:rPr>
              <w:t>2,692 </w:t>
            </w:r>
          </w:p>
        </w:tc>
        <w:tc>
          <w:tcPr>
            <w:tcW w:w="0" w:type="auto"/>
            <w:shd w:val="clear" w:color="auto" w:fill="CCEEFF"/>
            <w:tcMar>
              <w:top w:w="40" w:type="dxa"/>
              <w:left w:w="0" w:type="dxa"/>
              <w:bottom w:w="40" w:type="dxa"/>
              <w:right w:w="20" w:type="dxa"/>
            </w:tcMar>
            <w:vAlign w:val="bottom"/>
          </w:tcPr>
          <w:p w14:paraId="7B66F00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01"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00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003" w14:textId="77777777" w:rsidR="0040300B" w:rsidRDefault="00BB2D44">
            <w:pPr>
              <w:jc w:val="right"/>
              <w:textAlignment w:val="bottom"/>
            </w:pPr>
            <w:r>
              <w:rPr>
                <w:rFonts w:ascii="Times New Roman" w:eastAsia="宋体" w:hAnsi="Times New Roman"/>
                <w:color w:val="000000"/>
                <w:sz w:val="20"/>
                <w:szCs w:val="20"/>
              </w:rPr>
              <w:t>1,441 </w:t>
            </w:r>
          </w:p>
        </w:tc>
        <w:tc>
          <w:tcPr>
            <w:tcW w:w="0" w:type="auto"/>
            <w:shd w:val="clear" w:color="auto" w:fill="CCEEFF"/>
            <w:tcMar>
              <w:top w:w="40" w:type="dxa"/>
              <w:left w:w="0" w:type="dxa"/>
              <w:bottom w:w="40" w:type="dxa"/>
              <w:right w:w="20" w:type="dxa"/>
            </w:tcMar>
            <w:vAlign w:val="bottom"/>
          </w:tcPr>
          <w:p w14:paraId="7B66F00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05"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00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007" w14:textId="77777777" w:rsidR="0040300B" w:rsidRDefault="00BB2D44">
            <w:pPr>
              <w:jc w:val="right"/>
              <w:textAlignment w:val="bottom"/>
            </w:pPr>
            <w:r>
              <w:rPr>
                <w:rFonts w:ascii="Times New Roman" w:eastAsia="宋体" w:hAnsi="Times New Roman"/>
                <w:color w:val="000000"/>
                <w:sz w:val="20"/>
                <w:szCs w:val="20"/>
              </w:rPr>
              <w:t>5,051 </w:t>
            </w:r>
          </w:p>
        </w:tc>
        <w:tc>
          <w:tcPr>
            <w:tcW w:w="0" w:type="auto"/>
            <w:shd w:val="clear" w:color="auto" w:fill="CCEEFF"/>
            <w:tcMar>
              <w:top w:w="40" w:type="dxa"/>
              <w:left w:w="0" w:type="dxa"/>
              <w:bottom w:w="40" w:type="dxa"/>
              <w:right w:w="20" w:type="dxa"/>
            </w:tcMar>
            <w:vAlign w:val="bottom"/>
          </w:tcPr>
          <w:p w14:paraId="7B66F008" w14:textId="77777777" w:rsidR="0040300B" w:rsidRDefault="0040300B">
            <w:pPr>
              <w:jc w:val="right"/>
              <w:rPr>
                <w:rFonts w:ascii="宋体"/>
              </w:rPr>
            </w:pPr>
          </w:p>
        </w:tc>
      </w:tr>
      <w:tr w:rsidR="0040300B" w14:paraId="7B66F016" w14:textId="77777777">
        <w:tc>
          <w:tcPr>
            <w:tcW w:w="0" w:type="auto"/>
            <w:gridSpan w:val="3"/>
            <w:shd w:val="clear" w:color="auto" w:fill="FFFFFF"/>
            <w:tcMar>
              <w:top w:w="40" w:type="dxa"/>
              <w:left w:w="380" w:type="dxa"/>
              <w:bottom w:w="40" w:type="dxa"/>
              <w:right w:w="20" w:type="dxa"/>
            </w:tcMar>
          </w:tcPr>
          <w:p w14:paraId="7B66F00A" w14:textId="77777777" w:rsidR="0040300B" w:rsidRDefault="00BB2D44">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7B66F00B" w14:textId="77777777" w:rsidR="0040300B" w:rsidRDefault="00BB2D44">
            <w:pPr>
              <w:jc w:val="right"/>
              <w:textAlignment w:val="bottom"/>
            </w:pPr>
            <w:r>
              <w:rPr>
                <w:rFonts w:ascii="Times New Roman" w:eastAsia="宋体" w:hAnsi="Times New Roman"/>
                <w:color w:val="000000"/>
                <w:sz w:val="20"/>
                <w:szCs w:val="20"/>
              </w:rPr>
              <w:t>1,170 </w:t>
            </w:r>
          </w:p>
        </w:tc>
        <w:tc>
          <w:tcPr>
            <w:tcW w:w="0" w:type="auto"/>
            <w:shd w:val="clear" w:color="auto" w:fill="FFFFFF"/>
            <w:tcMar>
              <w:top w:w="40" w:type="dxa"/>
              <w:left w:w="0" w:type="dxa"/>
              <w:bottom w:w="40" w:type="dxa"/>
              <w:right w:w="20" w:type="dxa"/>
            </w:tcMar>
            <w:vAlign w:val="bottom"/>
          </w:tcPr>
          <w:p w14:paraId="7B66F00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0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0E" w14:textId="77777777" w:rsidR="0040300B" w:rsidRDefault="00BB2D44">
            <w:pPr>
              <w:jc w:val="right"/>
              <w:textAlignment w:val="bottom"/>
            </w:pPr>
            <w:r>
              <w:rPr>
                <w:rFonts w:ascii="Times New Roman" w:eastAsia="宋体" w:hAnsi="Times New Roman"/>
                <w:color w:val="000000"/>
                <w:sz w:val="20"/>
                <w:szCs w:val="20"/>
              </w:rPr>
              <w:t>3,164 </w:t>
            </w:r>
          </w:p>
        </w:tc>
        <w:tc>
          <w:tcPr>
            <w:tcW w:w="0" w:type="auto"/>
            <w:shd w:val="clear" w:color="auto" w:fill="FFFFFF"/>
            <w:tcMar>
              <w:top w:w="40" w:type="dxa"/>
              <w:left w:w="0" w:type="dxa"/>
              <w:bottom w:w="40" w:type="dxa"/>
              <w:right w:w="20" w:type="dxa"/>
            </w:tcMar>
            <w:vAlign w:val="bottom"/>
          </w:tcPr>
          <w:p w14:paraId="7B66F00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1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11" w14:textId="77777777" w:rsidR="0040300B" w:rsidRDefault="00BB2D44">
            <w:pPr>
              <w:jc w:val="right"/>
              <w:textAlignment w:val="bottom"/>
            </w:pPr>
            <w:r>
              <w:rPr>
                <w:rFonts w:ascii="Times New Roman" w:eastAsia="宋体" w:hAnsi="Times New Roman"/>
                <w:color w:val="000000"/>
                <w:sz w:val="20"/>
                <w:szCs w:val="20"/>
              </w:rPr>
              <w:t>1,380 </w:t>
            </w:r>
          </w:p>
        </w:tc>
        <w:tc>
          <w:tcPr>
            <w:tcW w:w="0" w:type="auto"/>
            <w:shd w:val="clear" w:color="auto" w:fill="FFFFFF"/>
            <w:tcMar>
              <w:top w:w="40" w:type="dxa"/>
              <w:left w:w="0" w:type="dxa"/>
              <w:bottom w:w="40" w:type="dxa"/>
              <w:right w:w="20" w:type="dxa"/>
            </w:tcMar>
            <w:vAlign w:val="bottom"/>
          </w:tcPr>
          <w:p w14:paraId="7B66F01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1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14" w14:textId="77777777" w:rsidR="0040300B" w:rsidRDefault="00BB2D44">
            <w:pPr>
              <w:jc w:val="right"/>
              <w:textAlignment w:val="bottom"/>
            </w:pPr>
            <w:r>
              <w:rPr>
                <w:rFonts w:ascii="Times New Roman" w:eastAsia="宋体" w:hAnsi="Times New Roman"/>
                <w:color w:val="000000"/>
                <w:sz w:val="20"/>
                <w:szCs w:val="20"/>
              </w:rPr>
              <w:t>5,714 </w:t>
            </w:r>
          </w:p>
        </w:tc>
        <w:tc>
          <w:tcPr>
            <w:tcW w:w="0" w:type="auto"/>
            <w:shd w:val="clear" w:color="auto" w:fill="FFFFFF"/>
            <w:tcMar>
              <w:top w:w="40" w:type="dxa"/>
              <w:left w:w="0" w:type="dxa"/>
              <w:bottom w:w="40" w:type="dxa"/>
              <w:right w:w="20" w:type="dxa"/>
            </w:tcMar>
            <w:vAlign w:val="bottom"/>
          </w:tcPr>
          <w:p w14:paraId="7B66F015" w14:textId="77777777" w:rsidR="0040300B" w:rsidRDefault="0040300B">
            <w:pPr>
              <w:jc w:val="right"/>
              <w:rPr>
                <w:rFonts w:ascii="宋体"/>
              </w:rPr>
            </w:pPr>
          </w:p>
        </w:tc>
      </w:tr>
      <w:tr w:rsidR="0040300B" w14:paraId="7B66F027" w14:textId="77777777">
        <w:tc>
          <w:tcPr>
            <w:tcW w:w="0" w:type="auto"/>
            <w:gridSpan w:val="3"/>
            <w:shd w:val="clear" w:color="auto" w:fill="CCEEFF"/>
            <w:tcMar>
              <w:top w:w="40" w:type="dxa"/>
              <w:left w:w="740" w:type="dxa"/>
              <w:bottom w:w="40" w:type="dxa"/>
              <w:right w:w="20" w:type="dxa"/>
            </w:tcMar>
          </w:tcPr>
          <w:p w14:paraId="7B66F017" w14:textId="77777777" w:rsidR="0040300B" w:rsidRDefault="00BB2D44">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01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019" w14:textId="77777777" w:rsidR="0040300B" w:rsidRDefault="00BB2D44">
            <w:pPr>
              <w:jc w:val="right"/>
              <w:textAlignment w:val="bottom"/>
            </w:pPr>
            <w:r>
              <w:rPr>
                <w:rFonts w:ascii="Times New Roman" w:eastAsia="宋体" w:hAnsi="Times New Roman"/>
                <w:color w:val="000000"/>
                <w:sz w:val="20"/>
                <w:szCs w:val="20"/>
              </w:rPr>
              <w:t>2,088 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01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1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01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01D" w14:textId="77777777" w:rsidR="0040300B" w:rsidRDefault="00BB2D44">
            <w:pPr>
              <w:jc w:val="right"/>
              <w:textAlignment w:val="bottom"/>
            </w:pPr>
            <w:r>
              <w:rPr>
                <w:rFonts w:ascii="Times New Roman" w:eastAsia="宋体" w:hAnsi="Times New Roman"/>
                <w:color w:val="000000"/>
                <w:sz w:val="20"/>
                <w:szCs w:val="20"/>
              </w:rPr>
              <w:t>5,856 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01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1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02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021" w14:textId="77777777" w:rsidR="0040300B" w:rsidRDefault="00BB2D44">
            <w:pPr>
              <w:jc w:val="right"/>
              <w:textAlignment w:val="bottom"/>
            </w:pPr>
            <w:r>
              <w:rPr>
                <w:rFonts w:ascii="Times New Roman" w:eastAsia="宋体" w:hAnsi="Times New Roman"/>
                <w:color w:val="000000"/>
                <w:sz w:val="20"/>
                <w:szCs w:val="20"/>
              </w:rPr>
              <w:t>2,821 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02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2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02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025" w14:textId="77777777" w:rsidR="0040300B" w:rsidRDefault="00BB2D44">
            <w:pPr>
              <w:jc w:val="right"/>
              <w:textAlignment w:val="bottom"/>
            </w:pPr>
            <w:r>
              <w:rPr>
                <w:rFonts w:ascii="Times New Roman" w:eastAsia="宋体" w:hAnsi="Times New Roman"/>
                <w:color w:val="000000"/>
                <w:sz w:val="20"/>
                <w:szCs w:val="20"/>
              </w:rPr>
              <w:t>10,765 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026" w14:textId="77777777" w:rsidR="0040300B" w:rsidRDefault="0040300B">
            <w:pPr>
              <w:jc w:val="right"/>
              <w:rPr>
                <w:rFonts w:ascii="宋体"/>
              </w:rPr>
            </w:pPr>
          </w:p>
        </w:tc>
      </w:tr>
    </w:tbl>
    <w:p w14:paraId="7B66F028" w14:textId="77777777" w:rsidR="0040300B" w:rsidRDefault="0040300B">
      <w:pPr>
        <w:jc w:val="both"/>
      </w:pPr>
    </w:p>
    <w:p w14:paraId="7B66F029" w14:textId="77777777" w:rsidR="0040300B" w:rsidRDefault="00BB2D44">
      <w:pPr>
        <w:jc w:val="center"/>
      </w:pPr>
      <w:r>
        <w:rPr>
          <w:rFonts w:ascii="Times New Roman" w:eastAsia="宋体" w:hAnsi="Times New Roman"/>
          <w:color w:val="000000"/>
          <w:sz w:val="20"/>
          <w:szCs w:val="20"/>
        </w:rPr>
        <w:t>19</w:t>
      </w:r>
    </w:p>
    <w:p w14:paraId="7B66F02A" w14:textId="77777777" w:rsidR="0040300B" w:rsidRDefault="00BB2D44">
      <w:r>
        <w:pict w14:anchorId="7B671C23">
          <v:rect id="_x0000_i1043" style="width:415.3pt;height:1.5pt" o:hralign="center" o:hrstd="t" o:hr="t" fillcolor="#a0a0a0" stroked="f"/>
        </w:pict>
      </w:r>
    </w:p>
    <w:p w14:paraId="7B66F02B" w14:textId="77777777" w:rsidR="0040300B" w:rsidRDefault="00BB2D44">
      <w:hyperlink r:id="rId65" w:anchor="i52d5b40dbad7426a9806a2fd5167029f_7" w:history="1">
        <w:r>
          <w:rPr>
            <w:rStyle w:val="a5"/>
            <w:rFonts w:ascii="Times New Roman" w:eastAsia="宋体" w:hAnsi="Times New Roman"/>
            <w:sz w:val="18"/>
            <w:szCs w:val="18"/>
          </w:rPr>
          <w:t>Table of Contents</w:t>
        </w:r>
      </w:hyperlink>
    </w:p>
    <w:p w14:paraId="7B66F02C" w14:textId="77777777" w:rsidR="0040300B" w:rsidRDefault="00BB2D44">
      <w:pPr>
        <w:jc w:val="center"/>
      </w:pPr>
      <w:r>
        <w:rPr>
          <w:rFonts w:ascii="Times New Roman" w:eastAsia="宋体" w:hAnsi="Times New Roman"/>
          <w:b/>
          <w:bCs/>
          <w:color w:val="000000"/>
          <w:sz w:val="18"/>
          <w:szCs w:val="18"/>
        </w:rPr>
        <w:t>CISCO SYSTEMS, INC.</w:t>
      </w:r>
    </w:p>
    <w:p w14:paraId="7B66F02D"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02E" w14:textId="77777777" w:rsidR="0040300B" w:rsidRDefault="00BB2D44">
      <w:pPr>
        <w:jc w:val="center"/>
      </w:pPr>
      <w:r>
        <w:rPr>
          <w:rFonts w:ascii="Times New Roman" w:eastAsia="宋体" w:hAnsi="Times New Roman"/>
          <w:b/>
          <w:bCs/>
          <w:color w:val="000000"/>
          <w:sz w:val="18"/>
          <w:szCs w:val="18"/>
        </w:rPr>
        <w:t xml:space="preserve">(Unaudited) </w:t>
      </w:r>
    </w:p>
    <w:p w14:paraId="7B66F02F" w14:textId="77777777" w:rsidR="0040300B" w:rsidRDefault="0040300B">
      <w:pPr>
        <w:jc w:val="center"/>
      </w:pPr>
    </w:p>
    <w:p w14:paraId="7B66F030" w14:textId="77777777" w:rsidR="0040300B" w:rsidRDefault="00BB2D44">
      <w:pPr>
        <w:ind w:hanging="360"/>
      </w:pPr>
      <w:r>
        <w:rPr>
          <w:rFonts w:ascii="Times New Roman" w:eastAsia="宋体" w:hAnsi="Times New Roman"/>
          <w:b/>
          <w:bCs/>
          <w:color w:val="000000"/>
          <w:sz w:val="20"/>
          <w:szCs w:val="20"/>
        </w:rPr>
        <w:t>(b)Credit Quality of Financing Receivables</w:t>
      </w:r>
    </w:p>
    <w:p w14:paraId="7B66F031" w14:textId="77777777" w:rsidR="0040300B" w:rsidRDefault="00BB2D44">
      <w:pPr>
        <w:spacing w:before="120"/>
        <w:jc w:val="both"/>
      </w:pPr>
      <w:r>
        <w:rPr>
          <w:rFonts w:ascii="Times New Roman" w:eastAsia="宋体" w:hAnsi="Times New Roman"/>
          <w:color w:val="000000"/>
          <w:sz w:val="20"/>
          <w:szCs w:val="20"/>
        </w:rPr>
        <w:t>Gross financing receivables</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categorized by our internal credit risk rating by period of origination as of May 1, 2021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4"/>
        <w:gridCol w:w="2695"/>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616"/>
        <w:gridCol w:w="36"/>
        <w:gridCol w:w="36"/>
        <w:gridCol w:w="36"/>
        <w:gridCol w:w="36"/>
        <w:gridCol w:w="120"/>
        <w:gridCol w:w="533"/>
        <w:gridCol w:w="36"/>
      </w:tblGrid>
      <w:tr w:rsidR="0040300B" w14:paraId="7B66F05C" w14:textId="77777777">
        <w:tc>
          <w:tcPr>
            <w:tcW w:w="50" w:type="pct"/>
            <w:shd w:val="clear" w:color="auto" w:fill="auto"/>
          </w:tcPr>
          <w:p w14:paraId="7B66F032" w14:textId="77777777" w:rsidR="0040300B" w:rsidRDefault="0040300B">
            <w:pPr>
              <w:rPr>
                <w:rFonts w:ascii="宋体"/>
              </w:rPr>
            </w:pPr>
          </w:p>
        </w:tc>
        <w:tc>
          <w:tcPr>
            <w:tcW w:w="1662" w:type="pct"/>
            <w:shd w:val="clear" w:color="auto" w:fill="auto"/>
          </w:tcPr>
          <w:p w14:paraId="7B66F033" w14:textId="77777777" w:rsidR="0040300B" w:rsidRDefault="0040300B">
            <w:pPr>
              <w:rPr>
                <w:rFonts w:ascii="宋体"/>
              </w:rPr>
            </w:pPr>
          </w:p>
        </w:tc>
        <w:tc>
          <w:tcPr>
            <w:tcW w:w="5" w:type="pct"/>
            <w:shd w:val="clear" w:color="auto" w:fill="auto"/>
          </w:tcPr>
          <w:p w14:paraId="7B66F034" w14:textId="77777777" w:rsidR="0040300B" w:rsidRDefault="0040300B">
            <w:pPr>
              <w:rPr>
                <w:rFonts w:ascii="宋体"/>
              </w:rPr>
            </w:pPr>
          </w:p>
        </w:tc>
        <w:tc>
          <w:tcPr>
            <w:tcW w:w="50" w:type="pct"/>
            <w:shd w:val="clear" w:color="auto" w:fill="auto"/>
          </w:tcPr>
          <w:p w14:paraId="7B66F035" w14:textId="77777777" w:rsidR="0040300B" w:rsidRDefault="0040300B">
            <w:pPr>
              <w:rPr>
                <w:rFonts w:ascii="宋体"/>
              </w:rPr>
            </w:pPr>
          </w:p>
        </w:tc>
        <w:tc>
          <w:tcPr>
            <w:tcW w:w="332" w:type="pct"/>
            <w:shd w:val="clear" w:color="auto" w:fill="auto"/>
          </w:tcPr>
          <w:p w14:paraId="7B66F036" w14:textId="77777777" w:rsidR="0040300B" w:rsidRDefault="0040300B">
            <w:pPr>
              <w:rPr>
                <w:rFonts w:ascii="宋体"/>
              </w:rPr>
            </w:pPr>
          </w:p>
        </w:tc>
        <w:tc>
          <w:tcPr>
            <w:tcW w:w="5" w:type="pct"/>
            <w:shd w:val="clear" w:color="auto" w:fill="auto"/>
          </w:tcPr>
          <w:p w14:paraId="7B66F037" w14:textId="77777777" w:rsidR="0040300B" w:rsidRDefault="0040300B">
            <w:pPr>
              <w:rPr>
                <w:rFonts w:ascii="宋体"/>
              </w:rPr>
            </w:pPr>
          </w:p>
        </w:tc>
        <w:tc>
          <w:tcPr>
            <w:tcW w:w="5" w:type="pct"/>
            <w:shd w:val="clear" w:color="auto" w:fill="auto"/>
          </w:tcPr>
          <w:p w14:paraId="7B66F038" w14:textId="77777777" w:rsidR="0040300B" w:rsidRDefault="0040300B">
            <w:pPr>
              <w:rPr>
                <w:rFonts w:ascii="宋体"/>
              </w:rPr>
            </w:pPr>
          </w:p>
        </w:tc>
        <w:tc>
          <w:tcPr>
            <w:tcW w:w="26" w:type="pct"/>
            <w:shd w:val="clear" w:color="auto" w:fill="auto"/>
          </w:tcPr>
          <w:p w14:paraId="7B66F039" w14:textId="77777777" w:rsidR="0040300B" w:rsidRDefault="0040300B">
            <w:pPr>
              <w:rPr>
                <w:rFonts w:ascii="宋体"/>
              </w:rPr>
            </w:pPr>
          </w:p>
        </w:tc>
        <w:tc>
          <w:tcPr>
            <w:tcW w:w="5" w:type="pct"/>
            <w:shd w:val="clear" w:color="auto" w:fill="auto"/>
          </w:tcPr>
          <w:p w14:paraId="7B66F03A" w14:textId="77777777" w:rsidR="0040300B" w:rsidRDefault="0040300B">
            <w:pPr>
              <w:rPr>
                <w:rFonts w:ascii="宋体"/>
              </w:rPr>
            </w:pPr>
          </w:p>
        </w:tc>
        <w:tc>
          <w:tcPr>
            <w:tcW w:w="50" w:type="pct"/>
            <w:shd w:val="clear" w:color="auto" w:fill="auto"/>
          </w:tcPr>
          <w:p w14:paraId="7B66F03B" w14:textId="77777777" w:rsidR="0040300B" w:rsidRDefault="0040300B">
            <w:pPr>
              <w:rPr>
                <w:rFonts w:ascii="宋体"/>
              </w:rPr>
            </w:pPr>
          </w:p>
        </w:tc>
        <w:tc>
          <w:tcPr>
            <w:tcW w:w="383" w:type="pct"/>
            <w:shd w:val="clear" w:color="auto" w:fill="auto"/>
          </w:tcPr>
          <w:p w14:paraId="7B66F03C" w14:textId="77777777" w:rsidR="0040300B" w:rsidRDefault="0040300B">
            <w:pPr>
              <w:rPr>
                <w:rFonts w:ascii="宋体"/>
              </w:rPr>
            </w:pPr>
          </w:p>
        </w:tc>
        <w:tc>
          <w:tcPr>
            <w:tcW w:w="5" w:type="pct"/>
            <w:shd w:val="clear" w:color="auto" w:fill="auto"/>
          </w:tcPr>
          <w:p w14:paraId="7B66F03D" w14:textId="77777777" w:rsidR="0040300B" w:rsidRDefault="0040300B">
            <w:pPr>
              <w:rPr>
                <w:rFonts w:ascii="宋体"/>
              </w:rPr>
            </w:pPr>
          </w:p>
        </w:tc>
        <w:tc>
          <w:tcPr>
            <w:tcW w:w="5" w:type="pct"/>
            <w:shd w:val="clear" w:color="auto" w:fill="auto"/>
          </w:tcPr>
          <w:p w14:paraId="7B66F03E" w14:textId="77777777" w:rsidR="0040300B" w:rsidRDefault="0040300B">
            <w:pPr>
              <w:rPr>
                <w:rFonts w:ascii="宋体"/>
              </w:rPr>
            </w:pPr>
          </w:p>
        </w:tc>
        <w:tc>
          <w:tcPr>
            <w:tcW w:w="26" w:type="pct"/>
            <w:shd w:val="clear" w:color="auto" w:fill="auto"/>
          </w:tcPr>
          <w:p w14:paraId="7B66F03F" w14:textId="77777777" w:rsidR="0040300B" w:rsidRDefault="0040300B">
            <w:pPr>
              <w:rPr>
                <w:rFonts w:ascii="宋体"/>
              </w:rPr>
            </w:pPr>
          </w:p>
        </w:tc>
        <w:tc>
          <w:tcPr>
            <w:tcW w:w="5" w:type="pct"/>
            <w:shd w:val="clear" w:color="auto" w:fill="auto"/>
          </w:tcPr>
          <w:p w14:paraId="7B66F040" w14:textId="77777777" w:rsidR="0040300B" w:rsidRDefault="0040300B">
            <w:pPr>
              <w:rPr>
                <w:rFonts w:ascii="宋体"/>
              </w:rPr>
            </w:pPr>
          </w:p>
        </w:tc>
        <w:tc>
          <w:tcPr>
            <w:tcW w:w="50" w:type="pct"/>
            <w:shd w:val="clear" w:color="auto" w:fill="auto"/>
          </w:tcPr>
          <w:p w14:paraId="7B66F041" w14:textId="77777777" w:rsidR="0040300B" w:rsidRDefault="0040300B">
            <w:pPr>
              <w:rPr>
                <w:rFonts w:ascii="宋体"/>
              </w:rPr>
            </w:pPr>
          </w:p>
        </w:tc>
        <w:tc>
          <w:tcPr>
            <w:tcW w:w="383" w:type="pct"/>
            <w:shd w:val="clear" w:color="auto" w:fill="auto"/>
          </w:tcPr>
          <w:p w14:paraId="7B66F042" w14:textId="77777777" w:rsidR="0040300B" w:rsidRDefault="0040300B">
            <w:pPr>
              <w:rPr>
                <w:rFonts w:ascii="宋体"/>
              </w:rPr>
            </w:pPr>
          </w:p>
        </w:tc>
        <w:tc>
          <w:tcPr>
            <w:tcW w:w="5" w:type="pct"/>
            <w:shd w:val="clear" w:color="auto" w:fill="auto"/>
          </w:tcPr>
          <w:p w14:paraId="7B66F043" w14:textId="77777777" w:rsidR="0040300B" w:rsidRDefault="0040300B">
            <w:pPr>
              <w:rPr>
                <w:rFonts w:ascii="宋体"/>
              </w:rPr>
            </w:pPr>
          </w:p>
        </w:tc>
        <w:tc>
          <w:tcPr>
            <w:tcW w:w="5" w:type="pct"/>
            <w:shd w:val="clear" w:color="auto" w:fill="auto"/>
          </w:tcPr>
          <w:p w14:paraId="7B66F044" w14:textId="77777777" w:rsidR="0040300B" w:rsidRDefault="0040300B">
            <w:pPr>
              <w:rPr>
                <w:rFonts w:ascii="宋体"/>
              </w:rPr>
            </w:pPr>
          </w:p>
        </w:tc>
        <w:tc>
          <w:tcPr>
            <w:tcW w:w="26" w:type="pct"/>
            <w:shd w:val="clear" w:color="auto" w:fill="auto"/>
          </w:tcPr>
          <w:p w14:paraId="7B66F045" w14:textId="77777777" w:rsidR="0040300B" w:rsidRDefault="0040300B">
            <w:pPr>
              <w:rPr>
                <w:rFonts w:ascii="宋体"/>
              </w:rPr>
            </w:pPr>
          </w:p>
        </w:tc>
        <w:tc>
          <w:tcPr>
            <w:tcW w:w="5" w:type="pct"/>
            <w:shd w:val="clear" w:color="auto" w:fill="auto"/>
          </w:tcPr>
          <w:p w14:paraId="7B66F046" w14:textId="77777777" w:rsidR="0040300B" w:rsidRDefault="0040300B">
            <w:pPr>
              <w:rPr>
                <w:rFonts w:ascii="宋体"/>
              </w:rPr>
            </w:pPr>
          </w:p>
        </w:tc>
        <w:tc>
          <w:tcPr>
            <w:tcW w:w="50" w:type="pct"/>
            <w:shd w:val="clear" w:color="auto" w:fill="auto"/>
          </w:tcPr>
          <w:p w14:paraId="7B66F047" w14:textId="77777777" w:rsidR="0040300B" w:rsidRDefault="0040300B">
            <w:pPr>
              <w:rPr>
                <w:rFonts w:ascii="宋体"/>
              </w:rPr>
            </w:pPr>
          </w:p>
        </w:tc>
        <w:tc>
          <w:tcPr>
            <w:tcW w:w="383" w:type="pct"/>
            <w:shd w:val="clear" w:color="auto" w:fill="auto"/>
          </w:tcPr>
          <w:p w14:paraId="7B66F048" w14:textId="77777777" w:rsidR="0040300B" w:rsidRDefault="0040300B">
            <w:pPr>
              <w:rPr>
                <w:rFonts w:ascii="宋体"/>
              </w:rPr>
            </w:pPr>
          </w:p>
        </w:tc>
        <w:tc>
          <w:tcPr>
            <w:tcW w:w="5" w:type="pct"/>
            <w:shd w:val="clear" w:color="auto" w:fill="auto"/>
          </w:tcPr>
          <w:p w14:paraId="7B66F049" w14:textId="77777777" w:rsidR="0040300B" w:rsidRDefault="0040300B">
            <w:pPr>
              <w:rPr>
                <w:rFonts w:ascii="宋体"/>
              </w:rPr>
            </w:pPr>
          </w:p>
        </w:tc>
        <w:tc>
          <w:tcPr>
            <w:tcW w:w="5" w:type="pct"/>
            <w:shd w:val="clear" w:color="auto" w:fill="auto"/>
          </w:tcPr>
          <w:p w14:paraId="7B66F04A" w14:textId="77777777" w:rsidR="0040300B" w:rsidRDefault="0040300B">
            <w:pPr>
              <w:rPr>
                <w:rFonts w:ascii="宋体"/>
              </w:rPr>
            </w:pPr>
          </w:p>
        </w:tc>
        <w:tc>
          <w:tcPr>
            <w:tcW w:w="19" w:type="pct"/>
            <w:shd w:val="clear" w:color="auto" w:fill="auto"/>
          </w:tcPr>
          <w:p w14:paraId="7B66F04B" w14:textId="77777777" w:rsidR="0040300B" w:rsidRDefault="0040300B">
            <w:pPr>
              <w:rPr>
                <w:rFonts w:ascii="宋体"/>
              </w:rPr>
            </w:pPr>
          </w:p>
        </w:tc>
        <w:tc>
          <w:tcPr>
            <w:tcW w:w="5" w:type="pct"/>
            <w:shd w:val="clear" w:color="auto" w:fill="auto"/>
          </w:tcPr>
          <w:p w14:paraId="7B66F04C" w14:textId="77777777" w:rsidR="0040300B" w:rsidRDefault="0040300B">
            <w:pPr>
              <w:rPr>
                <w:rFonts w:ascii="宋体"/>
              </w:rPr>
            </w:pPr>
          </w:p>
        </w:tc>
        <w:tc>
          <w:tcPr>
            <w:tcW w:w="50" w:type="pct"/>
            <w:shd w:val="clear" w:color="auto" w:fill="auto"/>
          </w:tcPr>
          <w:p w14:paraId="7B66F04D" w14:textId="77777777" w:rsidR="0040300B" w:rsidRDefault="0040300B">
            <w:pPr>
              <w:rPr>
                <w:rFonts w:ascii="宋体"/>
              </w:rPr>
            </w:pPr>
          </w:p>
        </w:tc>
        <w:tc>
          <w:tcPr>
            <w:tcW w:w="383" w:type="pct"/>
            <w:shd w:val="clear" w:color="auto" w:fill="auto"/>
          </w:tcPr>
          <w:p w14:paraId="7B66F04E" w14:textId="77777777" w:rsidR="0040300B" w:rsidRDefault="0040300B">
            <w:pPr>
              <w:rPr>
                <w:rFonts w:ascii="宋体"/>
              </w:rPr>
            </w:pPr>
          </w:p>
        </w:tc>
        <w:tc>
          <w:tcPr>
            <w:tcW w:w="5" w:type="pct"/>
            <w:shd w:val="clear" w:color="auto" w:fill="auto"/>
          </w:tcPr>
          <w:p w14:paraId="7B66F04F" w14:textId="77777777" w:rsidR="0040300B" w:rsidRDefault="0040300B">
            <w:pPr>
              <w:rPr>
                <w:rFonts w:ascii="宋体"/>
              </w:rPr>
            </w:pPr>
          </w:p>
        </w:tc>
        <w:tc>
          <w:tcPr>
            <w:tcW w:w="5" w:type="pct"/>
            <w:shd w:val="clear" w:color="auto" w:fill="auto"/>
          </w:tcPr>
          <w:p w14:paraId="7B66F050" w14:textId="77777777" w:rsidR="0040300B" w:rsidRDefault="0040300B">
            <w:pPr>
              <w:rPr>
                <w:rFonts w:ascii="宋体"/>
              </w:rPr>
            </w:pPr>
          </w:p>
        </w:tc>
        <w:tc>
          <w:tcPr>
            <w:tcW w:w="26" w:type="pct"/>
            <w:shd w:val="clear" w:color="auto" w:fill="auto"/>
          </w:tcPr>
          <w:p w14:paraId="7B66F051" w14:textId="77777777" w:rsidR="0040300B" w:rsidRDefault="0040300B">
            <w:pPr>
              <w:rPr>
                <w:rFonts w:ascii="宋体"/>
              </w:rPr>
            </w:pPr>
          </w:p>
        </w:tc>
        <w:tc>
          <w:tcPr>
            <w:tcW w:w="5" w:type="pct"/>
            <w:shd w:val="clear" w:color="auto" w:fill="auto"/>
          </w:tcPr>
          <w:p w14:paraId="7B66F052" w14:textId="77777777" w:rsidR="0040300B" w:rsidRDefault="0040300B">
            <w:pPr>
              <w:rPr>
                <w:rFonts w:ascii="宋体"/>
              </w:rPr>
            </w:pPr>
          </w:p>
        </w:tc>
        <w:tc>
          <w:tcPr>
            <w:tcW w:w="50" w:type="pct"/>
            <w:shd w:val="clear" w:color="auto" w:fill="auto"/>
          </w:tcPr>
          <w:p w14:paraId="7B66F053" w14:textId="77777777" w:rsidR="0040300B" w:rsidRDefault="0040300B">
            <w:pPr>
              <w:rPr>
                <w:rFonts w:ascii="宋体"/>
              </w:rPr>
            </w:pPr>
          </w:p>
        </w:tc>
        <w:tc>
          <w:tcPr>
            <w:tcW w:w="434" w:type="pct"/>
            <w:shd w:val="clear" w:color="auto" w:fill="auto"/>
          </w:tcPr>
          <w:p w14:paraId="7B66F054" w14:textId="77777777" w:rsidR="0040300B" w:rsidRDefault="0040300B">
            <w:pPr>
              <w:rPr>
                <w:rFonts w:ascii="宋体"/>
              </w:rPr>
            </w:pPr>
          </w:p>
        </w:tc>
        <w:tc>
          <w:tcPr>
            <w:tcW w:w="5" w:type="pct"/>
            <w:shd w:val="clear" w:color="auto" w:fill="auto"/>
          </w:tcPr>
          <w:p w14:paraId="7B66F055" w14:textId="77777777" w:rsidR="0040300B" w:rsidRDefault="0040300B">
            <w:pPr>
              <w:rPr>
                <w:rFonts w:ascii="宋体"/>
              </w:rPr>
            </w:pPr>
          </w:p>
        </w:tc>
        <w:tc>
          <w:tcPr>
            <w:tcW w:w="5" w:type="pct"/>
            <w:shd w:val="clear" w:color="auto" w:fill="auto"/>
          </w:tcPr>
          <w:p w14:paraId="7B66F056" w14:textId="77777777" w:rsidR="0040300B" w:rsidRDefault="0040300B">
            <w:pPr>
              <w:rPr>
                <w:rFonts w:ascii="宋体"/>
              </w:rPr>
            </w:pPr>
          </w:p>
        </w:tc>
        <w:tc>
          <w:tcPr>
            <w:tcW w:w="26" w:type="pct"/>
            <w:shd w:val="clear" w:color="auto" w:fill="auto"/>
          </w:tcPr>
          <w:p w14:paraId="7B66F057" w14:textId="77777777" w:rsidR="0040300B" w:rsidRDefault="0040300B">
            <w:pPr>
              <w:rPr>
                <w:rFonts w:ascii="宋体"/>
              </w:rPr>
            </w:pPr>
          </w:p>
        </w:tc>
        <w:tc>
          <w:tcPr>
            <w:tcW w:w="5" w:type="pct"/>
            <w:shd w:val="clear" w:color="auto" w:fill="auto"/>
          </w:tcPr>
          <w:p w14:paraId="7B66F058" w14:textId="77777777" w:rsidR="0040300B" w:rsidRDefault="0040300B">
            <w:pPr>
              <w:rPr>
                <w:rFonts w:ascii="宋体"/>
              </w:rPr>
            </w:pPr>
          </w:p>
        </w:tc>
        <w:tc>
          <w:tcPr>
            <w:tcW w:w="50" w:type="pct"/>
            <w:shd w:val="clear" w:color="auto" w:fill="auto"/>
          </w:tcPr>
          <w:p w14:paraId="7B66F059" w14:textId="77777777" w:rsidR="0040300B" w:rsidRDefault="0040300B">
            <w:pPr>
              <w:rPr>
                <w:rFonts w:ascii="宋体"/>
              </w:rPr>
            </w:pPr>
          </w:p>
        </w:tc>
        <w:tc>
          <w:tcPr>
            <w:tcW w:w="384" w:type="pct"/>
            <w:shd w:val="clear" w:color="auto" w:fill="auto"/>
          </w:tcPr>
          <w:p w14:paraId="7B66F05A" w14:textId="77777777" w:rsidR="0040300B" w:rsidRDefault="0040300B">
            <w:pPr>
              <w:rPr>
                <w:rFonts w:ascii="宋体"/>
              </w:rPr>
            </w:pPr>
          </w:p>
        </w:tc>
        <w:tc>
          <w:tcPr>
            <w:tcW w:w="5" w:type="pct"/>
            <w:shd w:val="clear" w:color="auto" w:fill="auto"/>
          </w:tcPr>
          <w:p w14:paraId="7B66F05B" w14:textId="77777777" w:rsidR="0040300B" w:rsidRDefault="0040300B">
            <w:pPr>
              <w:rPr>
                <w:rFonts w:ascii="宋体"/>
              </w:rPr>
            </w:pPr>
          </w:p>
        </w:tc>
      </w:tr>
      <w:tr w:rsidR="0040300B" w14:paraId="7B66F065" w14:textId="77777777">
        <w:tc>
          <w:tcPr>
            <w:tcW w:w="0" w:type="auto"/>
            <w:gridSpan w:val="3"/>
            <w:shd w:val="clear" w:color="auto" w:fill="auto"/>
            <w:tcMar>
              <w:top w:w="0" w:type="dxa"/>
              <w:left w:w="20" w:type="dxa"/>
              <w:bottom w:w="0" w:type="dxa"/>
              <w:right w:w="20" w:type="dxa"/>
            </w:tcMar>
          </w:tcPr>
          <w:p w14:paraId="7B66F05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05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05F"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060" w14:textId="77777777" w:rsidR="0040300B" w:rsidRDefault="00BB2D44">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tcPr>
          <w:p w14:paraId="7B66F06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062" w14:textId="77777777" w:rsidR="0040300B" w:rsidRDefault="00BB2D44">
            <w:pPr>
              <w:jc w:val="center"/>
              <w:textAlignment w:val="bottom"/>
            </w:pPr>
            <w:r>
              <w:rPr>
                <w:rFonts w:ascii="Times New Roman" w:eastAsia="宋体" w:hAnsi="Times New Roman"/>
                <w:color w:val="000000"/>
                <w:sz w:val="14"/>
                <w:szCs w:val="14"/>
              </w:rPr>
              <w:t>Nine Months Ended</w:t>
            </w:r>
          </w:p>
        </w:tc>
        <w:tc>
          <w:tcPr>
            <w:tcW w:w="0" w:type="auto"/>
            <w:gridSpan w:val="3"/>
            <w:shd w:val="clear" w:color="auto" w:fill="auto"/>
            <w:tcMar>
              <w:top w:w="0" w:type="dxa"/>
              <w:left w:w="20" w:type="dxa"/>
              <w:bottom w:w="0" w:type="dxa"/>
              <w:right w:w="20" w:type="dxa"/>
            </w:tcMar>
          </w:tcPr>
          <w:p w14:paraId="7B66F06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064" w14:textId="77777777" w:rsidR="0040300B" w:rsidRDefault="0040300B">
            <w:pPr>
              <w:rPr>
                <w:rFonts w:ascii="宋体"/>
              </w:rPr>
            </w:pPr>
          </w:p>
        </w:tc>
      </w:tr>
      <w:tr w:rsidR="0040300B" w14:paraId="7B66F074" w14:textId="77777777">
        <w:tc>
          <w:tcPr>
            <w:tcW w:w="0" w:type="auto"/>
            <w:gridSpan w:val="3"/>
            <w:shd w:val="clear" w:color="auto" w:fill="auto"/>
            <w:tcMar>
              <w:top w:w="40" w:type="dxa"/>
              <w:left w:w="20" w:type="dxa"/>
              <w:bottom w:w="40" w:type="dxa"/>
              <w:right w:w="20" w:type="dxa"/>
            </w:tcMar>
            <w:vAlign w:val="bottom"/>
          </w:tcPr>
          <w:p w14:paraId="7B66F066" w14:textId="77777777" w:rsidR="0040300B" w:rsidRDefault="00BB2D44">
            <w:pPr>
              <w:textAlignment w:val="bottom"/>
            </w:pPr>
            <w:r>
              <w:rPr>
                <w:rFonts w:ascii="Times New Roman" w:eastAsia="宋体" w:hAnsi="Times New Roman"/>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7B66F067" w14:textId="77777777" w:rsidR="0040300B" w:rsidRDefault="00BB2D44">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tcPr>
          <w:p w14:paraId="7B66F06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069" w14:textId="77777777" w:rsidR="0040300B" w:rsidRDefault="00BB2D44">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tcPr>
          <w:p w14:paraId="7B66F06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06B" w14:textId="77777777" w:rsidR="0040300B" w:rsidRDefault="00BB2D44">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tcPr>
          <w:p w14:paraId="7B66F06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06D" w14:textId="77777777" w:rsidR="0040300B" w:rsidRDefault="00BB2D44">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tcPr>
          <w:p w14:paraId="7B66F06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06F" w14:textId="77777777" w:rsidR="0040300B" w:rsidRDefault="00BB2D44">
            <w:pPr>
              <w:jc w:val="center"/>
              <w:textAlignment w:val="bottom"/>
            </w:pPr>
            <w:r>
              <w:rPr>
                <w:rFonts w:ascii="Times New Roman" w:eastAsia="宋体" w:hAnsi="Times New Roman"/>
                <w:color w:val="000000"/>
                <w:sz w:val="16"/>
                <w:szCs w:val="16"/>
              </w:rPr>
              <w:t>July 25, 2020</w:t>
            </w:r>
          </w:p>
        </w:tc>
        <w:tc>
          <w:tcPr>
            <w:tcW w:w="0" w:type="auto"/>
            <w:gridSpan w:val="3"/>
            <w:shd w:val="clear" w:color="auto" w:fill="auto"/>
            <w:tcMar>
              <w:top w:w="0" w:type="dxa"/>
              <w:left w:w="20" w:type="dxa"/>
              <w:bottom w:w="0" w:type="dxa"/>
              <w:right w:w="20" w:type="dxa"/>
            </w:tcMar>
          </w:tcPr>
          <w:p w14:paraId="7B66F07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071" w14:textId="77777777" w:rsidR="0040300B" w:rsidRDefault="00BB2D44">
            <w:pPr>
              <w:jc w:val="center"/>
              <w:textAlignment w:val="bottom"/>
            </w:pPr>
            <w:r>
              <w:rPr>
                <w:rFonts w:ascii="Times New Roman" w:eastAsia="宋体" w:hAnsi="Times New Roman"/>
                <w:color w:val="000000"/>
                <w:sz w:val="16"/>
                <w:szCs w:val="16"/>
              </w:rPr>
              <w:t>May 1, 2021</w:t>
            </w:r>
          </w:p>
        </w:tc>
        <w:tc>
          <w:tcPr>
            <w:tcW w:w="0" w:type="auto"/>
            <w:gridSpan w:val="3"/>
            <w:shd w:val="clear" w:color="auto" w:fill="auto"/>
            <w:tcMar>
              <w:top w:w="0" w:type="dxa"/>
              <w:left w:w="20" w:type="dxa"/>
              <w:bottom w:w="0" w:type="dxa"/>
              <w:right w:w="20" w:type="dxa"/>
            </w:tcMar>
          </w:tcPr>
          <w:p w14:paraId="7B66F07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073"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F083" w14:textId="77777777">
        <w:tc>
          <w:tcPr>
            <w:tcW w:w="0" w:type="auto"/>
            <w:gridSpan w:val="3"/>
            <w:shd w:val="clear" w:color="auto" w:fill="CCEEFF"/>
            <w:tcMar>
              <w:top w:w="40" w:type="dxa"/>
              <w:left w:w="20" w:type="dxa"/>
              <w:bottom w:w="40" w:type="dxa"/>
              <w:right w:w="20" w:type="dxa"/>
            </w:tcMar>
            <w:vAlign w:val="bottom"/>
          </w:tcPr>
          <w:p w14:paraId="7B66F075" w14:textId="77777777" w:rsidR="0040300B" w:rsidRDefault="00BB2D44">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tcPr>
          <w:p w14:paraId="7B66F07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7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7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7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7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7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7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7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7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7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8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8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082" w14:textId="77777777" w:rsidR="0040300B" w:rsidRDefault="0040300B">
            <w:pPr>
              <w:rPr>
                <w:rFonts w:ascii="宋体"/>
              </w:rPr>
            </w:pPr>
          </w:p>
        </w:tc>
      </w:tr>
      <w:tr w:rsidR="0040300B" w14:paraId="7B66F0A0" w14:textId="77777777">
        <w:tc>
          <w:tcPr>
            <w:tcW w:w="0" w:type="auto"/>
            <w:gridSpan w:val="3"/>
            <w:shd w:val="clear" w:color="auto" w:fill="FFFFFF"/>
            <w:tcMar>
              <w:top w:w="40" w:type="dxa"/>
              <w:left w:w="260" w:type="dxa"/>
              <w:bottom w:w="40" w:type="dxa"/>
              <w:right w:w="20" w:type="dxa"/>
            </w:tcMar>
          </w:tcPr>
          <w:p w14:paraId="7B66F084" w14:textId="77777777" w:rsidR="0040300B" w:rsidRDefault="00BB2D4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7B66F08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86"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B66F08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8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8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8A" w14:textId="77777777" w:rsidR="0040300B" w:rsidRDefault="00BB2D44">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7B66F08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8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8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8E" w14:textId="77777777" w:rsidR="0040300B" w:rsidRDefault="00BB2D44">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7B66F08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9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9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92" w14:textId="77777777" w:rsidR="0040300B" w:rsidRDefault="00BB2D44">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7B66F09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9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9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96" w14:textId="77777777" w:rsidR="0040300B" w:rsidRDefault="00BB2D44">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7B66F0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9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9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9A" w14:textId="77777777" w:rsidR="0040300B" w:rsidRDefault="00BB2D44">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7B66F09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9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09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09E" w14:textId="77777777" w:rsidR="0040300B" w:rsidRDefault="00BB2D44">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7B66F09F" w14:textId="77777777" w:rsidR="0040300B" w:rsidRDefault="0040300B">
            <w:pPr>
              <w:jc w:val="right"/>
              <w:rPr>
                <w:rFonts w:ascii="宋体"/>
              </w:rPr>
            </w:pPr>
          </w:p>
        </w:tc>
      </w:tr>
      <w:tr w:rsidR="0040300B" w14:paraId="7B66F0B6" w14:textId="77777777">
        <w:tc>
          <w:tcPr>
            <w:tcW w:w="0" w:type="auto"/>
            <w:gridSpan w:val="3"/>
            <w:shd w:val="clear" w:color="auto" w:fill="CCEEFF"/>
            <w:tcMar>
              <w:top w:w="40" w:type="dxa"/>
              <w:left w:w="260" w:type="dxa"/>
              <w:bottom w:w="40" w:type="dxa"/>
              <w:right w:w="20" w:type="dxa"/>
            </w:tcMar>
          </w:tcPr>
          <w:p w14:paraId="7B66F0A1" w14:textId="77777777" w:rsidR="0040300B" w:rsidRDefault="00BB2D4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7B66F0A2"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B66F0A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A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A5" w14:textId="77777777" w:rsidR="0040300B" w:rsidRDefault="00BB2D44">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7B66F0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A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A8" w14:textId="77777777" w:rsidR="0040300B" w:rsidRDefault="00BB2D44">
            <w:pPr>
              <w:jc w:val="right"/>
              <w:textAlignment w:val="bottom"/>
            </w:pPr>
            <w:r>
              <w:rPr>
                <w:rFonts w:ascii="Times New Roman" w:eastAsia="宋体" w:hAnsi="Times New Roman"/>
                <w:color w:val="000000"/>
                <w:sz w:val="20"/>
                <w:szCs w:val="20"/>
              </w:rPr>
              <w:t>92 </w:t>
            </w:r>
          </w:p>
        </w:tc>
        <w:tc>
          <w:tcPr>
            <w:tcW w:w="0" w:type="auto"/>
            <w:shd w:val="clear" w:color="auto" w:fill="CCEEFF"/>
            <w:tcMar>
              <w:top w:w="40" w:type="dxa"/>
              <w:left w:w="0" w:type="dxa"/>
              <w:bottom w:w="40" w:type="dxa"/>
              <w:right w:w="20" w:type="dxa"/>
            </w:tcMar>
            <w:vAlign w:val="bottom"/>
          </w:tcPr>
          <w:p w14:paraId="7B66F0A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A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AB" w14:textId="77777777" w:rsidR="0040300B" w:rsidRDefault="00BB2D44">
            <w:pPr>
              <w:jc w:val="right"/>
              <w:textAlignment w:val="bottom"/>
            </w:pPr>
            <w:r>
              <w:rPr>
                <w:rFonts w:ascii="Times New Roman" w:eastAsia="宋体" w:hAnsi="Times New Roman"/>
                <w:color w:val="000000"/>
                <w:sz w:val="20"/>
                <w:szCs w:val="20"/>
              </w:rPr>
              <w:t>227 </w:t>
            </w:r>
          </w:p>
        </w:tc>
        <w:tc>
          <w:tcPr>
            <w:tcW w:w="0" w:type="auto"/>
            <w:shd w:val="clear" w:color="auto" w:fill="CCEEFF"/>
            <w:tcMar>
              <w:top w:w="40" w:type="dxa"/>
              <w:left w:w="0" w:type="dxa"/>
              <w:bottom w:w="40" w:type="dxa"/>
              <w:right w:w="20" w:type="dxa"/>
            </w:tcMar>
            <w:vAlign w:val="bottom"/>
          </w:tcPr>
          <w:p w14:paraId="7B66F0A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A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AE" w14:textId="77777777" w:rsidR="0040300B" w:rsidRDefault="00BB2D44">
            <w:pPr>
              <w:jc w:val="right"/>
              <w:textAlignment w:val="bottom"/>
            </w:pPr>
            <w:r>
              <w:rPr>
                <w:rFonts w:ascii="Times New Roman" w:eastAsia="宋体" w:hAnsi="Times New Roman"/>
                <w:color w:val="000000"/>
                <w:sz w:val="20"/>
                <w:szCs w:val="20"/>
              </w:rPr>
              <w:t>324 </w:t>
            </w:r>
          </w:p>
        </w:tc>
        <w:tc>
          <w:tcPr>
            <w:tcW w:w="0" w:type="auto"/>
            <w:shd w:val="clear" w:color="auto" w:fill="CCEEFF"/>
            <w:tcMar>
              <w:top w:w="40" w:type="dxa"/>
              <w:left w:w="0" w:type="dxa"/>
              <w:bottom w:w="40" w:type="dxa"/>
              <w:right w:w="20" w:type="dxa"/>
            </w:tcMar>
            <w:vAlign w:val="bottom"/>
          </w:tcPr>
          <w:p w14:paraId="7B66F0A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B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B1" w14:textId="77777777" w:rsidR="0040300B" w:rsidRDefault="00BB2D44">
            <w:pPr>
              <w:jc w:val="right"/>
              <w:textAlignment w:val="bottom"/>
            </w:pPr>
            <w:r>
              <w:rPr>
                <w:rFonts w:ascii="Times New Roman" w:eastAsia="宋体" w:hAnsi="Times New Roman"/>
                <w:color w:val="000000"/>
                <w:sz w:val="20"/>
                <w:szCs w:val="20"/>
              </w:rPr>
              <w:t>154 </w:t>
            </w:r>
          </w:p>
        </w:tc>
        <w:tc>
          <w:tcPr>
            <w:tcW w:w="0" w:type="auto"/>
            <w:shd w:val="clear" w:color="auto" w:fill="CCEEFF"/>
            <w:tcMar>
              <w:top w:w="40" w:type="dxa"/>
              <w:left w:w="0" w:type="dxa"/>
              <w:bottom w:w="40" w:type="dxa"/>
              <w:right w:w="20" w:type="dxa"/>
            </w:tcMar>
            <w:vAlign w:val="bottom"/>
          </w:tcPr>
          <w:p w14:paraId="7B66F0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B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0B4" w14:textId="77777777" w:rsidR="0040300B" w:rsidRDefault="00BB2D44">
            <w:pPr>
              <w:jc w:val="right"/>
              <w:textAlignment w:val="bottom"/>
            </w:pPr>
            <w:r>
              <w:rPr>
                <w:rFonts w:ascii="Times New Roman" w:eastAsia="宋体" w:hAnsi="Times New Roman"/>
                <w:color w:val="000000"/>
                <w:sz w:val="20"/>
                <w:szCs w:val="20"/>
              </w:rPr>
              <w:t>833 </w:t>
            </w:r>
          </w:p>
        </w:tc>
        <w:tc>
          <w:tcPr>
            <w:tcW w:w="0" w:type="auto"/>
            <w:shd w:val="clear" w:color="auto" w:fill="CCEEFF"/>
            <w:tcMar>
              <w:top w:w="40" w:type="dxa"/>
              <w:left w:w="0" w:type="dxa"/>
              <w:bottom w:w="40" w:type="dxa"/>
              <w:right w:w="20" w:type="dxa"/>
            </w:tcMar>
            <w:vAlign w:val="bottom"/>
          </w:tcPr>
          <w:p w14:paraId="7B66F0B5" w14:textId="77777777" w:rsidR="0040300B" w:rsidRDefault="0040300B">
            <w:pPr>
              <w:jc w:val="right"/>
              <w:rPr>
                <w:rFonts w:ascii="宋体"/>
              </w:rPr>
            </w:pPr>
          </w:p>
        </w:tc>
      </w:tr>
      <w:tr w:rsidR="0040300B" w14:paraId="7B66F0CC" w14:textId="77777777">
        <w:tc>
          <w:tcPr>
            <w:tcW w:w="0" w:type="auto"/>
            <w:gridSpan w:val="3"/>
            <w:shd w:val="clear" w:color="auto" w:fill="FFFFFF"/>
            <w:tcMar>
              <w:top w:w="40" w:type="dxa"/>
              <w:left w:w="260" w:type="dxa"/>
              <w:bottom w:w="40" w:type="dxa"/>
              <w:right w:w="20" w:type="dxa"/>
            </w:tcMar>
          </w:tcPr>
          <w:p w14:paraId="7B66F0B7" w14:textId="77777777" w:rsidR="0040300B" w:rsidRDefault="00BB2D4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7B66F0B8"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6F0B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B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BB"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B66F0B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B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BE"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B66F0B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C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C1" w14:textId="77777777" w:rsidR="0040300B" w:rsidRDefault="00BB2D4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B66F0C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C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C4" w14:textId="77777777" w:rsidR="0040300B" w:rsidRDefault="00BB2D4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B66F0C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C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C7"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B66F0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0C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0CA" w14:textId="77777777" w:rsidR="0040300B" w:rsidRDefault="00BB2D44">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7B66F0CB" w14:textId="77777777" w:rsidR="0040300B" w:rsidRDefault="0040300B">
            <w:pPr>
              <w:jc w:val="right"/>
              <w:rPr>
                <w:rFonts w:ascii="宋体"/>
              </w:rPr>
            </w:pPr>
          </w:p>
        </w:tc>
      </w:tr>
      <w:tr w:rsidR="0040300B" w14:paraId="7B66F0E9" w14:textId="77777777">
        <w:tc>
          <w:tcPr>
            <w:tcW w:w="0" w:type="auto"/>
            <w:gridSpan w:val="3"/>
            <w:shd w:val="clear" w:color="auto" w:fill="CCEEFF"/>
            <w:tcMar>
              <w:top w:w="40" w:type="dxa"/>
              <w:left w:w="500" w:type="dxa"/>
              <w:bottom w:w="40" w:type="dxa"/>
              <w:right w:w="20" w:type="dxa"/>
            </w:tcMar>
          </w:tcPr>
          <w:p w14:paraId="7B66F0CD" w14:textId="77777777" w:rsidR="0040300B" w:rsidRDefault="00BB2D44">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0C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CF" w14:textId="77777777" w:rsidR="0040300B" w:rsidRDefault="00BB2D44">
            <w:pPr>
              <w:jc w:val="right"/>
              <w:textAlignment w:val="bottom"/>
            </w:pPr>
            <w:r>
              <w:rPr>
                <w:rFonts w:ascii="Times New Roman" w:eastAsia="宋体" w:hAnsi="Times New Roman"/>
                <w:color w:val="000000"/>
                <w:sz w:val="20"/>
                <w:szCs w:val="20"/>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D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D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D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D3" w14:textId="77777777" w:rsidR="0040300B" w:rsidRDefault="00BB2D44">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D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D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D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D7" w14:textId="77777777" w:rsidR="0040300B" w:rsidRDefault="00BB2D44">
            <w:pPr>
              <w:jc w:val="right"/>
              <w:textAlignment w:val="bottom"/>
            </w:pPr>
            <w:r>
              <w:rPr>
                <w:rFonts w:ascii="Times New Roman" w:eastAsia="宋体" w:hAnsi="Times New Roman"/>
                <w:color w:val="000000"/>
                <w:sz w:val="20"/>
                <w:szCs w:val="20"/>
              </w:rPr>
              <w:t>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D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DB" w14:textId="77777777" w:rsidR="0040300B" w:rsidRDefault="00BB2D44">
            <w:pPr>
              <w:jc w:val="right"/>
              <w:textAlignment w:val="bottom"/>
            </w:pPr>
            <w:r>
              <w:rPr>
                <w:rFonts w:ascii="Times New Roman" w:eastAsia="宋体" w:hAnsi="Times New Roman"/>
                <w:color w:val="000000"/>
                <w:sz w:val="20"/>
                <w:szCs w:val="20"/>
              </w:rPr>
              <w:t>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D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DF" w14:textId="77777777" w:rsidR="0040300B" w:rsidRDefault="00BB2D44">
            <w:pPr>
              <w:jc w:val="right"/>
              <w:textAlignment w:val="bottom"/>
            </w:pPr>
            <w:r>
              <w:rPr>
                <w:rFonts w:ascii="Times New Roman" w:eastAsia="宋体" w:hAnsi="Times New Roman"/>
                <w:color w:val="000000"/>
                <w:sz w:val="20"/>
                <w:szCs w:val="20"/>
              </w:rPr>
              <w:t>636 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E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E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E3" w14:textId="77777777" w:rsidR="0040300B" w:rsidRDefault="00BB2D44">
            <w:pPr>
              <w:jc w:val="right"/>
              <w:textAlignment w:val="bottom"/>
            </w:pPr>
            <w:r>
              <w:rPr>
                <w:rFonts w:ascii="Times New Roman" w:eastAsia="宋体" w:hAnsi="Times New Roman"/>
                <w:color w:val="000000"/>
                <w:sz w:val="20"/>
                <w:szCs w:val="20"/>
              </w:rPr>
              <w:t>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E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0E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0E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0E7" w14:textId="77777777" w:rsidR="0040300B" w:rsidRDefault="00BB2D44">
            <w:pPr>
              <w:jc w:val="right"/>
              <w:textAlignment w:val="bottom"/>
            </w:pPr>
            <w:r>
              <w:rPr>
                <w:rFonts w:ascii="Times New Roman" w:eastAsia="宋体" w:hAnsi="Times New Roman"/>
                <w:color w:val="000000"/>
                <w:sz w:val="20"/>
                <w:szCs w:val="20"/>
              </w:rPr>
              <w:t>1,642 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0E8" w14:textId="77777777" w:rsidR="0040300B" w:rsidRDefault="0040300B">
            <w:pPr>
              <w:jc w:val="right"/>
              <w:rPr>
                <w:rFonts w:ascii="宋体"/>
              </w:rPr>
            </w:pPr>
          </w:p>
        </w:tc>
      </w:tr>
      <w:tr w:rsidR="0040300B" w14:paraId="7B66F0F8" w14:textId="77777777">
        <w:trPr>
          <w:trHeight w:val="280"/>
        </w:trPr>
        <w:tc>
          <w:tcPr>
            <w:tcW w:w="0" w:type="auto"/>
            <w:gridSpan w:val="3"/>
            <w:shd w:val="clear" w:color="auto" w:fill="FFFFFF"/>
            <w:tcMar>
              <w:top w:w="0" w:type="dxa"/>
              <w:left w:w="20" w:type="dxa"/>
              <w:bottom w:w="0" w:type="dxa"/>
              <w:right w:w="20" w:type="dxa"/>
            </w:tcMar>
          </w:tcPr>
          <w:p w14:paraId="7B66F0EA"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EC"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E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EE"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F0"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F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F2"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F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F4"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F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0F6"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0F7" w14:textId="77777777" w:rsidR="0040300B" w:rsidRDefault="0040300B">
            <w:pPr>
              <w:rPr>
                <w:rFonts w:ascii="宋体"/>
              </w:rPr>
            </w:pPr>
          </w:p>
        </w:tc>
      </w:tr>
      <w:tr w:rsidR="0040300B" w14:paraId="7B66F107" w14:textId="77777777">
        <w:tc>
          <w:tcPr>
            <w:tcW w:w="0" w:type="auto"/>
            <w:gridSpan w:val="3"/>
            <w:shd w:val="clear" w:color="auto" w:fill="CCEEFF"/>
            <w:tcMar>
              <w:top w:w="40" w:type="dxa"/>
              <w:left w:w="20" w:type="dxa"/>
              <w:bottom w:w="40" w:type="dxa"/>
              <w:right w:w="20" w:type="dxa"/>
            </w:tcMar>
          </w:tcPr>
          <w:p w14:paraId="7B66F0F9" w14:textId="77777777" w:rsidR="0040300B" w:rsidRDefault="00BB2D44">
            <w:pPr>
              <w:textAlignment w:val="top"/>
            </w:pPr>
            <w:r>
              <w:rPr>
                <w:rFonts w:ascii="Times New Roman" w:eastAsia="宋体" w:hAnsi="Times New Roman"/>
                <w:color w:val="000000"/>
                <w:sz w:val="20"/>
                <w:szCs w:val="20"/>
              </w:rPr>
              <w:t>Loan Receivables:</w:t>
            </w:r>
          </w:p>
        </w:tc>
        <w:tc>
          <w:tcPr>
            <w:tcW w:w="0" w:type="auto"/>
            <w:gridSpan w:val="3"/>
            <w:shd w:val="clear" w:color="auto" w:fill="CCEEFF"/>
            <w:tcMar>
              <w:top w:w="0" w:type="dxa"/>
              <w:left w:w="20" w:type="dxa"/>
              <w:bottom w:w="0" w:type="dxa"/>
              <w:right w:w="20" w:type="dxa"/>
            </w:tcMar>
          </w:tcPr>
          <w:p w14:paraId="7B66F0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F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F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F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F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0F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06" w14:textId="77777777" w:rsidR="0040300B" w:rsidRDefault="0040300B">
            <w:pPr>
              <w:rPr>
                <w:rFonts w:ascii="宋体"/>
              </w:rPr>
            </w:pPr>
          </w:p>
        </w:tc>
      </w:tr>
      <w:tr w:rsidR="0040300B" w14:paraId="7B66F124" w14:textId="77777777">
        <w:tc>
          <w:tcPr>
            <w:tcW w:w="0" w:type="auto"/>
            <w:gridSpan w:val="3"/>
            <w:shd w:val="clear" w:color="auto" w:fill="FFFFFF"/>
            <w:tcMar>
              <w:top w:w="40" w:type="dxa"/>
              <w:left w:w="260" w:type="dxa"/>
              <w:bottom w:w="40" w:type="dxa"/>
              <w:right w:w="20" w:type="dxa"/>
            </w:tcMar>
          </w:tcPr>
          <w:p w14:paraId="7B66F108" w14:textId="77777777" w:rsidR="0040300B" w:rsidRDefault="00BB2D4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7B66F10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0A"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B66F10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0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0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0E" w14:textId="77777777" w:rsidR="0040300B" w:rsidRDefault="00BB2D44">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7B66F10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1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1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12" w14:textId="77777777" w:rsidR="0040300B" w:rsidRDefault="00BB2D44">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7B66F11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1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1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16" w14:textId="77777777" w:rsidR="0040300B" w:rsidRDefault="00BB2D44">
            <w:pPr>
              <w:jc w:val="right"/>
              <w:textAlignment w:val="bottom"/>
            </w:pPr>
            <w:r>
              <w:rPr>
                <w:rFonts w:ascii="Times New Roman" w:eastAsia="宋体" w:hAnsi="Times New Roman"/>
                <w:color w:val="000000"/>
                <w:sz w:val="20"/>
                <w:szCs w:val="20"/>
              </w:rPr>
              <w:t>672 </w:t>
            </w:r>
          </w:p>
        </w:tc>
        <w:tc>
          <w:tcPr>
            <w:tcW w:w="0" w:type="auto"/>
            <w:shd w:val="clear" w:color="auto" w:fill="FFFFFF"/>
            <w:tcMar>
              <w:top w:w="40" w:type="dxa"/>
              <w:left w:w="0" w:type="dxa"/>
              <w:bottom w:w="40" w:type="dxa"/>
              <w:right w:w="20" w:type="dxa"/>
            </w:tcMar>
            <w:vAlign w:val="bottom"/>
          </w:tcPr>
          <w:p w14:paraId="7B66F11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1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1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1A" w14:textId="77777777" w:rsidR="0040300B" w:rsidRDefault="00BB2D44">
            <w:pPr>
              <w:jc w:val="right"/>
              <w:textAlignment w:val="bottom"/>
            </w:pPr>
            <w:r>
              <w:rPr>
                <w:rFonts w:ascii="Times New Roman" w:eastAsia="宋体" w:hAnsi="Times New Roman"/>
                <w:color w:val="000000"/>
                <w:sz w:val="20"/>
                <w:szCs w:val="20"/>
              </w:rPr>
              <w:t>1,134 </w:t>
            </w:r>
          </w:p>
        </w:tc>
        <w:tc>
          <w:tcPr>
            <w:tcW w:w="0" w:type="auto"/>
            <w:shd w:val="clear" w:color="auto" w:fill="FFFFFF"/>
            <w:tcMar>
              <w:top w:w="40" w:type="dxa"/>
              <w:left w:w="0" w:type="dxa"/>
              <w:bottom w:w="40" w:type="dxa"/>
              <w:right w:w="20" w:type="dxa"/>
            </w:tcMar>
            <w:vAlign w:val="bottom"/>
          </w:tcPr>
          <w:p w14:paraId="7B66F11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1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1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1E" w14:textId="77777777" w:rsidR="0040300B" w:rsidRDefault="00BB2D44">
            <w:pPr>
              <w:jc w:val="right"/>
              <w:textAlignment w:val="bottom"/>
            </w:pPr>
            <w:r>
              <w:rPr>
                <w:rFonts w:ascii="Times New Roman" w:eastAsia="宋体" w:hAnsi="Times New Roman"/>
                <w:color w:val="000000"/>
                <w:sz w:val="20"/>
                <w:szCs w:val="20"/>
              </w:rPr>
              <w:t>1,377 </w:t>
            </w:r>
          </w:p>
        </w:tc>
        <w:tc>
          <w:tcPr>
            <w:tcW w:w="0" w:type="auto"/>
            <w:shd w:val="clear" w:color="auto" w:fill="FFFFFF"/>
            <w:tcMar>
              <w:top w:w="40" w:type="dxa"/>
              <w:left w:w="0" w:type="dxa"/>
              <w:bottom w:w="40" w:type="dxa"/>
              <w:right w:w="20" w:type="dxa"/>
            </w:tcMar>
            <w:vAlign w:val="bottom"/>
          </w:tcPr>
          <w:p w14:paraId="7B66F11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2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2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22" w14:textId="77777777" w:rsidR="0040300B" w:rsidRDefault="00BB2D44">
            <w:pPr>
              <w:jc w:val="right"/>
              <w:textAlignment w:val="bottom"/>
            </w:pPr>
            <w:r>
              <w:rPr>
                <w:rFonts w:ascii="Times New Roman" w:eastAsia="宋体" w:hAnsi="Times New Roman"/>
                <w:color w:val="000000"/>
                <w:sz w:val="20"/>
                <w:szCs w:val="20"/>
              </w:rPr>
              <w:t>3,625 </w:t>
            </w:r>
          </w:p>
        </w:tc>
        <w:tc>
          <w:tcPr>
            <w:tcW w:w="0" w:type="auto"/>
            <w:shd w:val="clear" w:color="auto" w:fill="FFFFFF"/>
            <w:tcMar>
              <w:top w:w="40" w:type="dxa"/>
              <w:left w:w="0" w:type="dxa"/>
              <w:bottom w:w="40" w:type="dxa"/>
              <w:right w:w="20" w:type="dxa"/>
            </w:tcMar>
            <w:vAlign w:val="bottom"/>
          </w:tcPr>
          <w:p w14:paraId="7B66F123" w14:textId="77777777" w:rsidR="0040300B" w:rsidRDefault="0040300B">
            <w:pPr>
              <w:jc w:val="right"/>
              <w:rPr>
                <w:rFonts w:ascii="宋体"/>
              </w:rPr>
            </w:pPr>
          </w:p>
        </w:tc>
      </w:tr>
      <w:tr w:rsidR="0040300B" w14:paraId="7B66F13A" w14:textId="77777777">
        <w:tc>
          <w:tcPr>
            <w:tcW w:w="0" w:type="auto"/>
            <w:gridSpan w:val="3"/>
            <w:shd w:val="clear" w:color="auto" w:fill="CCEEFF"/>
            <w:tcMar>
              <w:top w:w="40" w:type="dxa"/>
              <w:left w:w="260" w:type="dxa"/>
              <w:bottom w:w="40" w:type="dxa"/>
              <w:right w:w="20" w:type="dxa"/>
            </w:tcMar>
          </w:tcPr>
          <w:p w14:paraId="7B66F125" w14:textId="77777777" w:rsidR="0040300B" w:rsidRDefault="00BB2D4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7B66F126"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F12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2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29" w14:textId="77777777" w:rsidR="0040300B" w:rsidRDefault="00BB2D44">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7B66F1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2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2C" w14:textId="77777777" w:rsidR="0040300B" w:rsidRDefault="00BB2D44">
            <w:pPr>
              <w:jc w:val="right"/>
              <w:textAlignment w:val="bottom"/>
            </w:pPr>
            <w:r>
              <w:rPr>
                <w:rFonts w:ascii="Times New Roman" w:eastAsia="宋体" w:hAnsi="Times New Roman"/>
                <w:color w:val="000000"/>
                <w:sz w:val="20"/>
                <w:szCs w:val="20"/>
              </w:rPr>
              <w:t>112 </w:t>
            </w:r>
          </w:p>
        </w:tc>
        <w:tc>
          <w:tcPr>
            <w:tcW w:w="0" w:type="auto"/>
            <w:shd w:val="clear" w:color="auto" w:fill="CCEEFF"/>
            <w:tcMar>
              <w:top w:w="40" w:type="dxa"/>
              <w:left w:w="0" w:type="dxa"/>
              <w:bottom w:w="40" w:type="dxa"/>
              <w:right w:w="20" w:type="dxa"/>
            </w:tcMar>
            <w:vAlign w:val="bottom"/>
          </w:tcPr>
          <w:p w14:paraId="7B66F12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2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2F" w14:textId="77777777" w:rsidR="0040300B" w:rsidRDefault="00BB2D44">
            <w:pPr>
              <w:jc w:val="right"/>
              <w:textAlignment w:val="bottom"/>
            </w:pPr>
            <w:r>
              <w:rPr>
                <w:rFonts w:ascii="Times New Roman" w:eastAsia="宋体" w:hAnsi="Times New Roman"/>
                <w:color w:val="000000"/>
                <w:sz w:val="20"/>
                <w:szCs w:val="20"/>
              </w:rPr>
              <w:t>270 </w:t>
            </w:r>
          </w:p>
        </w:tc>
        <w:tc>
          <w:tcPr>
            <w:tcW w:w="0" w:type="auto"/>
            <w:shd w:val="clear" w:color="auto" w:fill="CCEEFF"/>
            <w:tcMar>
              <w:top w:w="40" w:type="dxa"/>
              <w:left w:w="0" w:type="dxa"/>
              <w:bottom w:w="40" w:type="dxa"/>
              <w:right w:w="20" w:type="dxa"/>
            </w:tcMar>
            <w:vAlign w:val="bottom"/>
          </w:tcPr>
          <w:p w14:paraId="7B66F13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3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32" w14:textId="77777777" w:rsidR="0040300B" w:rsidRDefault="00BB2D44">
            <w:pPr>
              <w:jc w:val="right"/>
              <w:textAlignment w:val="bottom"/>
            </w:pPr>
            <w:r>
              <w:rPr>
                <w:rFonts w:ascii="Times New Roman" w:eastAsia="宋体" w:hAnsi="Times New Roman"/>
                <w:color w:val="000000"/>
                <w:sz w:val="20"/>
                <w:szCs w:val="20"/>
              </w:rPr>
              <w:t>596 </w:t>
            </w:r>
          </w:p>
        </w:tc>
        <w:tc>
          <w:tcPr>
            <w:tcW w:w="0" w:type="auto"/>
            <w:shd w:val="clear" w:color="auto" w:fill="CCEEFF"/>
            <w:tcMar>
              <w:top w:w="40" w:type="dxa"/>
              <w:left w:w="0" w:type="dxa"/>
              <w:bottom w:w="40" w:type="dxa"/>
              <w:right w:w="20" w:type="dxa"/>
            </w:tcMar>
            <w:vAlign w:val="bottom"/>
          </w:tcPr>
          <w:p w14:paraId="7B66F1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3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35" w14:textId="77777777" w:rsidR="0040300B" w:rsidRDefault="00BB2D44">
            <w:pPr>
              <w:jc w:val="right"/>
              <w:textAlignment w:val="bottom"/>
            </w:pPr>
            <w:r>
              <w:rPr>
                <w:rFonts w:ascii="Times New Roman" w:eastAsia="宋体" w:hAnsi="Times New Roman"/>
                <w:color w:val="000000"/>
                <w:sz w:val="20"/>
                <w:szCs w:val="20"/>
              </w:rPr>
              <w:t>855 </w:t>
            </w:r>
          </w:p>
        </w:tc>
        <w:tc>
          <w:tcPr>
            <w:tcW w:w="0" w:type="auto"/>
            <w:shd w:val="clear" w:color="auto" w:fill="CCEEFF"/>
            <w:tcMar>
              <w:top w:w="40" w:type="dxa"/>
              <w:left w:w="0" w:type="dxa"/>
              <w:bottom w:w="40" w:type="dxa"/>
              <w:right w:w="20" w:type="dxa"/>
            </w:tcMar>
            <w:vAlign w:val="bottom"/>
          </w:tcPr>
          <w:p w14:paraId="7B66F13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3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38" w14:textId="77777777" w:rsidR="0040300B" w:rsidRDefault="00BB2D44">
            <w:pPr>
              <w:jc w:val="right"/>
              <w:textAlignment w:val="bottom"/>
            </w:pPr>
            <w:r>
              <w:rPr>
                <w:rFonts w:ascii="Times New Roman" w:eastAsia="宋体" w:hAnsi="Times New Roman"/>
                <w:color w:val="000000"/>
                <w:sz w:val="20"/>
                <w:szCs w:val="20"/>
              </w:rPr>
              <w:t>1,869 </w:t>
            </w:r>
          </w:p>
        </w:tc>
        <w:tc>
          <w:tcPr>
            <w:tcW w:w="0" w:type="auto"/>
            <w:shd w:val="clear" w:color="auto" w:fill="CCEEFF"/>
            <w:tcMar>
              <w:top w:w="40" w:type="dxa"/>
              <w:left w:w="0" w:type="dxa"/>
              <w:bottom w:w="40" w:type="dxa"/>
              <w:right w:w="20" w:type="dxa"/>
            </w:tcMar>
            <w:vAlign w:val="bottom"/>
          </w:tcPr>
          <w:p w14:paraId="7B66F139" w14:textId="77777777" w:rsidR="0040300B" w:rsidRDefault="0040300B">
            <w:pPr>
              <w:jc w:val="right"/>
              <w:rPr>
                <w:rFonts w:ascii="宋体"/>
              </w:rPr>
            </w:pPr>
          </w:p>
        </w:tc>
      </w:tr>
      <w:tr w:rsidR="0040300B" w14:paraId="7B66F150" w14:textId="77777777">
        <w:tc>
          <w:tcPr>
            <w:tcW w:w="0" w:type="auto"/>
            <w:gridSpan w:val="3"/>
            <w:shd w:val="clear" w:color="auto" w:fill="FFFFFF"/>
            <w:tcMar>
              <w:top w:w="40" w:type="dxa"/>
              <w:left w:w="260" w:type="dxa"/>
              <w:bottom w:w="40" w:type="dxa"/>
              <w:right w:w="20" w:type="dxa"/>
            </w:tcMar>
          </w:tcPr>
          <w:p w14:paraId="7B66F13B" w14:textId="77777777" w:rsidR="0040300B" w:rsidRDefault="00BB2D4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7B66F13C"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6F1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3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3F"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6F1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4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42"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B66F1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4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45" w14:textId="77777777" w:rsidR="0040300B" w:rsidRDefault="00BB2D44">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B66F14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4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48"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6F14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4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4B" w14:textId="77777777" w:rsidR="0040300B" w:rsidRDefault="00BB2D44">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B66F14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4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4E" w14:textId="77777777" w:rsidR="0040300B" w:rsidRDefault="00BB2D44">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7B66F14F" w14:textId="77777777" w:rsidR="0040300B" w:rsidRDefault="0040300B">
            <w:pPr>
              <w:jc w:val="right"/>
              <w:rPr>
                <w:rFonts w:ascii="宋体"/>
              </w:rPr>
            </w:pPr>
          </w:p>
        </w:tc>
      </w:tr>
      <w:tr w:rsidR="0040300B" w14:paraId="7B66F16D" w14:textId="77777777">
        <w:tc>
          <w:tcPr>
            <w:tcW w:w="0" w:type="auto"/>
            <w:gridSpan w:val="3"/>
            <w:shd w:val="clear" w:color="auto" w:fill="CCEEFF"/>
            <w:tcMar>
              <w:top w:w="40" w:type="dxa"/>
              <w:left w:w="500" w:type="dxa"/>
              <w:bottom w:w="40" w:type="dxa"/>
              <w:right w:w="20" w:type="dxa"/>
            </w:tcMar>
          </w:tcPr>
          <w:p w14:paraId="7B66F151" w14:textId="77777777" w:rsidR="0040300B" w:rsidRDefault="00BB2D44">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15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53" w14:textId="77777777" w:rsidR="0040300B" w:rsidRDefault="00BB2D44">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5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5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5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57" w14:textId="77777777" w:rsidR="0040300B" w:rsidRDefault="00BB2D44">
            <w:pPr>
              <w:jc w:val="right"/>
              <w:textAlignment w:val="bottom"/>
            </w:pPr>
            <w:r>
              <w:rPr>
                <w:rFonts w:ascii="Times New Roman" w:eastAsia="宋体" w:hAnsi="Times New Roman"/>
                <w:color w:val="000000"/>
                <w:sz w:val="20"/>
                <w:szCs w:val="20"/>
              </w:rPr>
              <w:t>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5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5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5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5B" w14:textId="77777777" w:rsidR="0040300B" w:rsidRDefault="00BB2D44">
            <w:pPr>
              <w:jc w:val="right"/>
              <w:textAlignment w:val="bottom"/>
            </w:pPr>
            <w:r>
              <w:rPr>
                <w:rFonts w:ascii="Times New Roman" w:eastAsia="宋体" w:hAnsi="Times New Roman"/>
                <w:color w:val="000000"/>
                <w:sz w:val="20"/>
                <w:szCs w:val="20"/>
              </w:rPr>
              <w:t>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5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5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5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5F" w14:textId="77777777" w:rsidR="0040300B" w:rsidRDefault="00BB2D44">
            <w:pPr>
              <w:jc w:val="right"/>
              <w:textAlignment w:val="bottom"/>
            </w:pPr>
            <w:r>
              <w:rPr>
                <w:rFonts w:ascii="Times New Roman" w:eastAsia="宋体" w:hAnsi="Times New Roman"/>
                <w:color w:val="000000"/>
                <w:sz w:val="20"/>
                <w:szCs w:val="20"/>
              </w:rPr>
              <w:t>999 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6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6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6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63" w14:textId="77777777" w:rsidR="0040300B" w:rsidRDefault="00BB2D44">
            <w:pPr>
              <w:jc w:val="right"/>
              <w:textAlignment w:val="bottom"/>
            </w:pPr>
            <w:r>
              <w:rPr>
                <w:rFonts w:ascii="Times New Roman" w:eastAsia="宋体" w:hAnsi="Times New Roman"/>
                <w:color w:val="000000"/>
                <w:sz w:val="20"/>
                <w:szCs w:val="20"/>
              </w:rPr>
              <w:t>1,779 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6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6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6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67" w14:textId="77777777" w:rsidR="0040300B" w:rsidRDefault="00BB2D44">
            <w:pPr>
              <w:jc w:val="right"/>
              <w:textAlignment w:val="bottom"/>
            </w:pPr>
            <w:r>
              <w:rPr>
                <w:rFonts w:ascii="Times New Roman" w:eastAsia="宋体" w:hAnsi="Times New Roman"/>
                <w:color w:val="000000"/>
                <w:sz w:val="20"/>
                <w:szCs w:val="20"/>
              </w:rPr>
              <w:t>2,260 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6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6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6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6B" w14:textId="77777777" w:rsidR="0040300B" w:rsidRDefault="00BB2D44">
            <w:pPr>
              <w:jc w:val="right"/>
              <w:textAlignment w:val="bottom"/>
            </w:pPr>
            <w:r>
              <w:rPr>
                <w:rFonts w:ascii="Times New Roman" w:eastAsia="宋体" w:hAnsi="Times New Roman"/>
                <w:color w:val="000000"/>
                <w:sz w:val="20"/>
                <w:szCs w:val="20"/>
              </w:rPr>
              <w:t>5,638 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6C" w14:textId="77777777" w:rsidR="0040300B" w:rsidRDefault="0040300B">
            <w:pPr>
              <w:jc w:val="right"/>
              <w:rPr>
                <w:rFonts w:ascii="宋体"/>
              </w:rPr>
            </w:pPr>
          </w:p>
        </w:tc>
      </w:tr>
      <w:tr w:rsidR="0040300B" w14:paraId="7B66F17C" w14:textId="77777777">
        <w:trPr>
          <w:trHeight w:val="280"/>
        </w:trPr>
        <w:tc>
          <w:tcPr>
            <w:tcW w:w="0" w:type="auto"/>
            <w:gridSpan w:val="3"/>
            <w:shd w:val="clear" w:color="auto" w:fill="FFFFFF"/>
            <w:tcMar>
              <w:top w:w="0" w:type="dxa"/>
              <w:left w:w="20" w:type="dxa"/>
              <w:bottom w:w="0" w:type="dxa"/>
              <w:right w:w="20" w:type="dxa"/>
            </w:tcMar>
          </w:tcPr>
          <w:p w14:paraId="7B66F16E"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6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0"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2"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4"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6"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8"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7A"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7B" w14:textId="77777777" w:rsidR="0040300B" w:rsidRDefault="0040300B">
            <w:pPr>
              <w:rPr>
                <w:rFonts w:ascii="宋体"/>
              </w:rPr>
            </w:pPr>
          </w:p>
        </w:tc>
      </w:tr>
      <w:tr w:rsidR="0040300B" w14:paraId="7B66F18B" w14:textId="77777777">
        <w:tc>
          <w:tcPr>
            <w:tcW w:w="0" w:type="auto"/>
            <w:gridSpan w:val="3"/>
            <w:shd w:val="clear" w:color="auto" w:fill="CCEEFF"/>
            <w:tcMar>
              <w:top w:w="40" w:type="dxa"/>
              <w:left w:w="20" w:type="dxa"/>
              <w:bottom w:w="40" w:type="dxa"/>
              <w:right w:w="20" w:type="dxa"/>
            </w:tcMar>
          </w:tcPr>
          <w:p w14:paraId="7B66F17D" w14:textId="77777777" w:rsidR="0040300B" w:rsidRDefault="00BB2D44">
            <w:pPr>
              <w:textAlignment w:val="top"/>
            </w:pPr>
            <w:r>
              <w:rPr>
                <w:rFonts w:ascii="Times New Roman" w:eastAsia="宋体" w:hAnsi="Times New Roman"/>
                <w:color w:val="000000"/>
                <w:sz w:val="20"/>
                <w:szCs w:val="20"/>
              </w:rPr>
              <w:t>Financed Service Contracts:</w:t>
            </w:r>
          </w:p>
        </w:tc>
        <w:tc>
          <w:tcPr>
            <w:tcW w:w="0" w:type="auto"/>
            <w:gridSpan w:val="3"/>
            <w:shd w:val="clear" w:color="auto" w:fill="CCEEFF"/>
            <w:tcMar>
              <w:top w:w="0" w:type="dxa"/>
              <w:left w:w="20" w:type="dxa"/>
              <w:bottom w:w="0" w:type="dxa"/>
              <w:right w:w="20" w:type="dxa"/>
            </w:tcMar>
          </w:tcPr>
          <w:p w14:paraId="7B66F17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7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18A" w14:textId="77777777" w:rsidR="0040300B" w:rsidRDefault="0040300B">
            <w:pPr>
              <w:rPr>
                <w:rFonts w:ascii="宋体"/>
              </w:rPr>
            </w:pPr>
          </w:p>
        </w:tc>
      </w:tr>
      <w:tr w:rsidR="0040300B" w14:paraId="7B66F1A8" w14:textId="77777777">
        <w:tc>
          <w:tcPr>
            <w:tcW w:w="0" w:type="auto"/>
            <w:gridSpan w:val="3"/>
            <w:shd w:val="clear" w:color="auto" w:fill="FFFFFF"/>
            <w:tcMar>
              <w:top w:w="40" w:type="dxa"/>
              <w:left w:w="260" w:type="dxa"/>
              <w:bottom w:w="40" w:type="dxa"/>
              <w:right w:w="20" w:type="dxa"/>
            </w:tcMar>
          </w:tcPr>
          <w:p w14:paraId="7B66F18C" w14:textId="77777777" w:rsidR="0040300B" w:rsidRDefault="00BB2D4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7B66F18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8E"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6F18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9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9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92" w14:textId="77777777" w:rsidR="0040300B" w:rsidRDefault="00BB2D44">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7B66F19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9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9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96" w14:textId="77777777" w:rsidR="0040300B" w:rsidRDefault="00BB2D44">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7B66F1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9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9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9A" w14:textId="77777777" w:rsidR="0040300B" w:rsidRDefault="00BB2D44">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7B66F19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9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9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9E" w14:textId="77777777" w:rsidR="0040300B" w:rsidRDefault="00BB2D44">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7B66F19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A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A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A2" w14:textId="77777777" w:rsidR="0040300B" w:rsidRDefault="00BB2D44">
            <w:pPr>
              <w:jc w:val="right"/>
              <w:textAlignment w:val="bottom"/>
            </w:pPr>
            <w:r>
              <w:rPr>
                <w:rFonts w:ascii="Times New Roman" w:eastAsia="宋体" w:hAnsi="Times New Roman"/>
                <w:color w:val="000000"/>
                <w:sz w:val="20"/>
                <w:szCs w:val="20"/>
              </w:rPr>
              <w:t>951 </w:t>
            </w:r>
          </w:p>
        </w:tc>
        <w:tc>
          <w:tcPr>
            <w:tcW w:w="0" w:type="auto"/>
            <w:shd w:val="clear" w:color="auto" w:fill="FFFFFF"/>
            <w:tcMar>
              <w:top w:w="40" w:type="dxa"/>
              <w:left w:w="0" w:type="dxa"/>
              <w:bottom w:w="40" w:type="dxa"/>
              <w:right w:w="20" w:type="dxa"/>
            </w:tcMar>
            <w:vAlign w:val="bottom"/>
          </w:tcPr>
          <w:p w14:paraId="7B66F1A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A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1A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1A6" w14:textId="77777777" w:rsidR="0040300B" w:rsidRDefault="00BB2D44">
            <w:pPr>
              <w:jc w:val="right"/>
              <w:textAlignment w:val="bottom"/>
            </w:pPr>
            <w:r>
              <w:rPr>
                <w:rFonts w:ascii="Times New Roman" w:eastAsia="宋体" w:hAnsi="Times New Roman"/>
                <w:color w:val="000000"/>
                <w:sz w:val="20"/>
                <w:szCs w:val="20"/>
              </w:rPr>
              <w:t>1,487 </w:t>
            </w:r>
          </w:p>
        </w:tc>
        <w:tc>
          <w:tcPr>
            <w:tcW w:w="0" w:type="auto"/>
            <w:shd w:val="clear" w:color="auto" w:fill="FFFFFF"/>
            <w:tcMar>
              <w:top w:w="40" w:type="dxa"/>
              <w:left w:w="0" w:type="dxa"/>
              <w:bottom w:w="40" w:type="dxa"/>
              <w:right w:w="20" w:type="dxa"/>
            </w:tcMar>
            <w:vAlign w:val="bottom"/>
          </w:tcPr>
          <w:p w14:paraId="7B66F1A7" w14:textId="77777777" w:rsidR="0040300B" w:rsidRDefault="0040300B">
            <w:pPr>
              <w:jc w:val="right"/>
              <w:rPr>
                <w:rFonts w:ascii="宋体"/>
              </w:rPr>
            </w:pPr>
          </w:p>
        </w:tc>
      </w:tr>
      <w:tr w:rsidR="0040300B" w14:paraId="7B66F1BE" w14:textId="77777777">
        <w:tc>
          <w:tcPr>
            <w:tcW w:w="0" w:type="auto"/>
            <w:gridSpan w:val="3"/>
            <w:shd w:val="clear" w:color="auto" w:fill="CCEEFF"/>
            <w:tcMar>
              <w:top w:w="40" w:type="dxa"/>
              <w:left w:w="260" w:type="dxa"/>
              <w:bottom w:w="40" w:type="dxa"/>
              <w:right w:w="20" w:type="dxa"/>
            </w:tcMar>
          </w:tcPr>
          <w:p w14:paraId="7B66F1A9" w14:textId="77777777" w:rsidR="0040300B" w:rsidRDefault="00BB2D4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7B66F1A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1A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A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AD" w14:textId="77777777" w:rsidR="0040300B" w:rsidRDefault="00BB2D4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B66F1A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A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B0" w14:textId="77777777" w:rsidR="0040300B" w:rsidRDefault="00BB2D44">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7B66F1B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B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B3" w14:textId="77777777" w:rsidR="0040300B" w:rsidRDefault="00BB2D44">
            <w:pPr>
              <w:jc w:val="right"/>
              <w:textAlignment w:val="bottom"/>
            </w:pPr>
            <w:r>
              <w:rPr>
                <w:rFonts w:ascii="Times New Roman" w:eastAsia="宋体" w:hAnsi="Times New Roman"/>
                <w:color w:val="000000"/>
                <w:sz w:val="20"/>
                <w:szCs w:val="20"/>
              </w:rPr>
              <w:t>151 </w:t>
            </w:r>
          </w:p>
        </w:tc>
        <w:tc>
          <w:tcPr>
            <w:tcW w:w="0" w:type="auto"/>
            <w:shd w:val="clear" w:color="auto" w:fill="CCEEFF"/>
            <w:tcMar>
              <w:top w:w="40" w:type="dxa"/>
              <w:left w:w="0" w:type="dxa"/>
              <w:bottom w:w="40" w:type="dxa"/>
              <w:right w:w="20" w:type="dxa"/>
            </w:tcMar>
            <w:vAlign w:val="bottom"/>
          </w:tcPr>
          <w:p w14:paraId="7B66F1B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B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B6" w14:textId="77777777" w:rsidR="0040300B" w:rsidRDefault="00BB2D44">
            <w:pPr>
              <w:jc w:val="right"/>
              <w:textAlignment w:val="bottom"/>
            </w:pPr>
            <w:r>
              <w:rPr>
                <w:rFonts w:ascii="Times New Roman" w:eastAsia="宋体" w:hAnsi="Times New Roman"/>
                <w:color w:val="000000"/>
                <w:sz w:val="20"/>
                <w:szCs w:val="20"/>
              </w:rPr>
              <w:t>349 </w:t>
            </w:r>
          </w:p>
        </w:tc>
        <w:tc>
          <w:tcPr>
            <w:tcW w:w="0" w:type="auto"/>
            <w:shd w:val="clear" w:color="auto" w:fill="CCEEFF"/>
            <w:tcMar>
              <w:top w:w="40" w:type="dxa"/>
              <w:left w:w="0" w:type="dxa"/>
              <w:bottom w:w="40" w:type="dxa"/>
              <w:right w:w="20" w:type="dxa"/>
            </w:tcMar>
            <w:vAlign w:val="bottom"/>
          </w:tcPr>
          <w:p w14:paraId="7B66F1B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B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B9" w14:textId="77777777" w:rsidR="0040300B" w:rsidRDefault="00BB2D44">
            <w:pPr>
              <w:jc w:val="right"/>
              <w:textAlignment w:val="bottom"/>
            </w:pPr>
            <w:r>
              <w:rPr>
                <w:rFonts w:ascii="Times New Roman" w:eastAsia="宋体" w:hAnsi="Times New Roman"/>
                <w:color w:val="000000"/>
                <w:sz w:val="20"/>
                <w:szCs w:val="20"/>
              </w:rPr>
              <w:t>400 </w:t>
            </w:r>
          </w:p>
        </w:tc>
        <w:tc>
          <w:tcPr>
            <w:tcW w:w="0" w:type="auto"/>
            <w:shd w:val="clear" w:color="auto" w:fill="CCEEFF"/>
            <w:tcMar>
              <w:top w:w="40" w:type="dxa"/>
              <w:left w:w="0" w:type="dxa"/>
              <w:bottom w:w="40" w:type="dxa"/>
              <w:right w:w="20" w:type="dxa"/>
            </w:tcMar>
            <w:vAlign w:val="bottom"/>
          </w:tcPr>
          <w:p w14:paraId="7B66F1B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B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1BC" w14:textId="77777777" w:rsidR="0040300B" w:rsidRDefault="00BB2D44">
            <w:pPr>
              <w:jc w:val="right"/>
              <w:textAlignment w:val="bottom"/>
            </w:pPr>
            <w:r>
              <w:rPr>
                <w:rFonts w:ascii="Times New Roman" w:eastAsia="宋体" w:hAnsi="Times New Roman"/>
                <w:color w:val="000000"/>
                <w:sz w:val="20"/>
                <w:szCs w:val="20"/>
              </w:rPr>
              <w:t>950 </w:t>
            </w:r>
          </w:p>
        </w:tc>
        <w:tc>
          <w:tcPr>
            <w:tcW w:w="0" w:type="auto"/>
            <w:shd w:val="clear" w:color="auto" w:fill="CCEEFF"/>
            <w:tcMar>
              <w:top w:w="40" w:type="dxa"/>
              <w:left w:w="0" w:type="dxa"/>
              <w:bottom w:w="40" w:type="dxa"/>
              <w:right w:w="20" w:type="dxa"/>
            </w:tcMar>
            <w:vAlign w:val="bottom"/>
          </w:tcPr>
          <w:p w14:paraId="7B66F1BD" w14:textId="77777777" w:rsidR="0040300B" w:rsidRDefault="0040300B">
            <w:pPr>
              <w:jc w:val="right"/>
              <w:rPr>
                <w:rFonts w:ascii="宋体"/>
              </w:rPr>
            </w:pPr>
          </w:p>
        </w:tc>
      </w:tr>
      <w:tr w:rsidR="0040300B" w14:paraId="7B66F1D4" w14:textId="77777777">
        <w:tc>
          <w:tcPr>
            <w:tcW w:w="0" w:type="auto"/>
            <w:gridSpan w:val="3"/>
            <w:shd w:val="clear" w:color="auto" w:fill="FFFFFF"/>
            <w:tcMar>
              <w:top w:w="40" w:type="dxa"/>
              <w:left w:w="260" w:type="dxa"/>
              <w:bottom w:w="40" w:type="dxa"/>
              <w:right w:w="20" w:type="dxa"/>
            </w:tcMar>
          </w:tcPr>
          <w:p w14:paraId="7B66F1BF" w14:textId="77777777" w:rsidR="0040300B" w:rsidRDefault="00BB2D4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7B66F1C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1C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C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C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1C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C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C6"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6F1C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C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C9"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B66F1C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C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CC"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B66F1C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C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CF"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B66F1D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1D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1D2" w14:textId="77777777" w:rsidR="0040300B" w:rsidRDefault="00BB2D44">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B66F1D3" w14:textId="77777777" w:rsidR="0040300B" w:rsidRDefault="0040300B">
            <w:pPr>
              <w:jc w:val="right"/>
              <w:rPr>
                <w:rFonts w:ascii="宋体"/>
              </w:rPr>
            </w:pPr>
          </w:p>
        </w:tc>
      </w:tr>
      <w:tr w:rsidR="0040300B" w14:paraId="7B66F1F1" w14:textId="77777777">
        <w:tc>
          <w:tcPr>
            <w:tcW w:w="0" w:type="auto"/>
            <w:gridSpan w:val="3"/>
            <w:shd w:val="clear" w:color="auto" w:fill="CCEEFF"/>
            <w:tcMar>
              <w:top w:w="40" w:type="dxa"/>
              <w:left w:w="500" w:type="dxa"/>
              <w:bottom w:w="40" w:type="dxa"/>
              <w:right w:w="20" w:type="dxa"/>
            </w:tcMar>
          </w:tcPr>
          <w:p w14:paraId="7B66F1D5" w14:textId="77777777" w:rsidR="0040300B" w:rsidRDefault="00BB2D44">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1D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D7" w14:textId="77777777" w:rsidR="0040300B" w:rsidRDefault="00BB2D44">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D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DB" w14:textId="77777777" w:rsidR="0040300B" w:rsidRDefault="00BB2D44">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D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DF" w14:textId="77777777" w:rsidR="0040300B" w:rsidRDefault="00BB2D44">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E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E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E3" w14:textId="77777777" w:rsidR="0040300B" w:rsidRDefault="00BB2D44">
            <w:pPr>
              <w:jc w:val="right"/>
              <w:textAlignment w:val="bottom"/>
            </w:pPr>
            <w:r>
              <w:rPr>
                <w:rFonts w:ascii="Times New Roman" w:eastAsia="宋体" w:hAnsi="Times New Roman"/>
                <w:color w:val="000000"/>
                <w:sz w:val="20"/>
                <w:szCs w:val="20"/>
              </w:rPr>
              <w:t>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E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E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E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E7" w14:textId="77777777" w:rsidR="0040300B" w:rsidRDefault="00BB2D44">
            <w:pPr>
              <w:jc w:val="right"/>
              <w:textAlignment w:val="bottom"/>
            </w:pPr>
            <w:r>
              <w:rPr>
                <w:rFonts w:ascii="Times New Roman" w:eastAsia="宋体" w:hAnsi="Times New Roman"/>
                <w:color w:val="000000"/>
                <w:sz w:val="20"/>
                <w:szCs w:val="20"/>
              </w:rPr>
              <w:t>675 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E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E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E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EB" w14:textId="77777777" w:rsidR="0040300B" w:rsidRDefault="00BB2D44">
            <w:pPr>
              <w:jc w:val="right"/>
              <w:textAlignment w:val="bottom"/>
            </w:pPr>
            <w:r>
              <w:rPr>
                <w:rFonts w:ascii="Times New Roman" w:eastAsia="宋体" w:hAnsi="Times New Roman"/>
                <w:color w:val="000000"/>
                <w:sz w:val="20"/>
                <w:szCs w:val="20"/>
              </w:rPr>
              <w:t>1,355 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E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1E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1E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1EF" w14:textId="77777777" w:rsidR="0040300B" w:rsidRDefault="00BB2D44">
            <w:pPr>
              <w:jc w:val="right"/>
              <w:textAlignment w:val="bottom"/>
            </w:pPr>
            <w:r>
              <w:rPr>
                <w:rFonts w:ascii="Times New Roman" w:eastAsia="宋体" w:hAnsi="Times New Roman"/>
                <w:color w:val="000000"/>
                <w:sz w:val="20"/>
                <w:szCs w:val="20"/>
              </w:rPr>
              <w:t>2,461 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1F0" w14:textId="77777777" w:rsidR="0040300B" w:rsidRDefault="0040300B">
            <w:pPr>
              <w:jc w:val="right"/>
              <w:rPr>
                <w:rFonts w:ascii="宋体"/>
              </w:rPr>
            </w:pPr>
          </w:p>
        </w:tc>
      </w:tr>
      <w:tr w:rsidR="0040300B" w14:paraId="7B66F200" w14:textId="77777777">
        <w:trPr>
          <w:trHeight w:val="280"/>
        </w:trPr>
        <w:tc>
          <w:tcPr>
            <w:tcW w:w="0" w:type="auto"/>
            <w:gridSpan w:val="3"/>
            <w:shd w:val="clear" w:color="auto" w:fill="FFFFFF"/>
            <w:tcMar>
              <w:top w:w="0" w:type="dxa"/>
              <w:left w:w="20" w:type="dxa"/>
              <w:bottom w:w="0" w:type="dxa"/>
              <w:right w:w="20" w:type="dxa"/>
            </w:tcMar>
          </w:tcPr>
          <w:p w14:paraId="7B66F1F2"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4"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6"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8"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A"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C"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1FE" w14:textId="77777777" w:rsidR="0040300B" w:rsidRDefault="0040300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B66F1FF" w14:textId="77777777" w:rsidR="0040300B" w:rsidRDefault="0040300B">
            <w:pPr>
              <w:rPr>
                <w:rFonts w:ascii="宋体"/>
              </w:rPr>
            </w:pPr>
          </w:p>
        </w:tc>
      </w:tr>
      <w:tr w:rsidR="0040300B" w14:paraId="7B66F21D" w14:textId="77777777">
        <w:tc>
          <w:tcPr>
            <w:tcW w:w="0" w:type="auto"/>
            <w:gridSpan w:val="3"/>
            <w:shd w:val="clear" w:color="auto" w:fill="CCEEFF"/>
            <w:tcMar>
              <w:top w:w="40" w:type="dxa"/>
              <w:left w:w="860" w:type="dxa"/>
              <w:bottom w:w="40" w:type="dxa"/>
              <w:right w:w="20" w:type="dxa"/>
            </w:tcMar>
          </w:tcPr>
          <w:p w14:paraId="7B66F201"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0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03" w14:textId="77777777" w:rsidR="0040300B" w:rsidRDefault="00BB2D44">
            <w:pPr>
              <w:jc w:val="right"/>
              <w:textAlignment w:val="bottom"/>
            </w:pPr>
            <w:r>
              <w:rPr>
                <w:rFonts w:ascii="Times New Roman" w:eastAsia="宋体" w:hAnsi="Times New Roman"/>
                <w:color w:val="000000"/>
                <w:sz w:val="20"/>
                <w:szCs w:val="20"/>
              </w:rPr>
              <w:t>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0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0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0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07" w14:textId="77777777" w:rsidR="0040300B" w:rsidRDefault="00BB2D44">
            <w:pPr>
              <w:jc w:val="right"/>
              <w:textAlignment w:val="bottom"/>
            </w:pPr>
            <w:r>
              <w:rPr>
                <w:rFonts w:ascii="Times New Roman" w:eastAsia="宋体" w:hAnsi="Times New Roman"/>
                <w:color w:val="000000"/>
                <w:sz w:val="20"/>
                <w:szCs w:val="20"/>
              </w:rPr>
              <w:t>270 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0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0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0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0B" w14:textId="77777777" w:rsidR="0040300B" w:rsidRDefault="00BB2D44">
            <w:pPr>
              <w:jc w:val="right"/>
              <w:textAlignment w:val="bottom"/>
            </w:pPr>
            <w:r>
              <w:rPr>
                <w:rFonts w:ascii="Times New Roman" w:eastAsia="宋体" w:hAnsi="Times New Roman"/>
                <w:color w:val="000000"/>
                <w:sz w:val="20"/>
                <w:szCs w:val="20"/>
              </w:rPr>
              <w:t>732 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0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0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0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0F" w14:textId="77777777" w:rsidR="0040300B" w:rsidRDefault="00BB2D44">
            <w:pPr>
              <w:jc w:val="right"/>
              <w:textAlignment w:val="bottom"/>
            </w:pPr>
            <w:r>
              <w:rPr>
                <w:rFonts w:ascii="Times New Roman" w:eastAsia="宋体" w:hAnsi="Times New Roman"/>
                <w:color w:val="000000"/>
                <w:sz w:val="20"/>
                <w:szCs w:val="20"/>
              </w:rPr>
              <w:t>1,750 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1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1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1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13" w14:textId="77777777" w:rsidR="0040300B" w:rsidRDefault="00BB2D44">
            <w:pPr>
              <w:jc w:val="right"/>
              <w:textAlignment w:val="bottom"/>
            </w:pPr>
            <w:r>
              <w:rPr>
                <w:rFonts w:ascii="Times New Roman" w:eastAsia="宋体" w:hAnsi="Times New Roman"/>
                <w:color w:val="000000"/>
                <w:sz w:val="20"/>
                <w:szCs w:val="20"/>
              </w:rPr>
              <w:t>3,090 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1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1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1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17" w14:textId="77777777" w:rsidR="0040300B" w:rsidRDefault="00BB2D44">
            <w:pPr>
              <w:jc w:val="right"/>
              <w:textAlignment w:val="bottom"/>
            </w:pPr>
            <w:r>
              <w:rPr>
                <w:rFonts w:ascii="Times New Roman" w:eastAsia="宋体" w:hAnsi="Times New Roman"/>
                <w:color w:val="000000"/>
                <w:sz w:val="20"/>
                <w:szCs w:val="20"/>
              </w:rPr>
              <w:t>3,874 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1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1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21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21B" w14:textId="77777777" w:rsidR="0040300B" w:rsidRDefault="00BB2D44">
            <w:pPr>
              <w:jc w:val="right"/>
              <w:textAlignment w:val="bottom"/>
            </w:pPr>
            <w:r>
              <w:rPr>
                <w:rFonts w:ascii="Times New Roman" w:eastAsia="宋体" w:hAnsi="Times New Roman"/>
                <w:color w:val="000000"/>
                <w:sz w:val="20"/>
                <w:szCs w:val="20"/>
              </w:rPr>
              <w:t>9,741 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21C" w14:textId="77777777" w:rsidR="0040300B" w:rsidRDefault="0040300B">
            <w:pPr>
              <w:jc w:val="right"/>
              <w:rPr>
                <w:rFonts w:ascii="宋体"/>
              </w:rPr>
            </w:pPr>
          </w:p>
        </w:tc>
      </w:tr>
    </w:tbl>
    <w:p w14:paraId="7B66F21E" w14:textId="77777777" w:rsidR="0040300B" w:rsidRDefault="00BB2D44">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Lease receivables calculated as gross lease receivables, excluding</w:t>
      </w:r>
      <w:r>
        <w:rPr>
          <w:rFonts w:ascii="Times New Roman" w:eastAsia="宋体" w:hAnsi="Times New Roman"/>
          <w:color w:val="000000"/>
          <w:sz w:val="20"/>
          <w:szCs w:val="20"/>
        </w:rPr>
        <w:t xml:space="preserve"> residual value, less unearned income.</w:t>
      </w:r>
    </w:p>
    <w:p w14:paraId="7B66F21F" w14:textId="77777777" w:rsidR="0040300B" w:rsidRDefault="00BB2D44">
      <w:pPr>
        <w:spacing w:before="120"/>
        <w:jc w:val="both"/>
      </w:pPr>
      <w:r>
        <w:rPr>
          <w:rFonts w:ascii="Times New Roman" w:eastAsia="宋体" w:hAnsi="Times New Roman"/>
          <w:color w:val="000000"/>
          <w:sz w:val="20"/>
          <w:szCs w:val="20"/>
        </w:rPr>
        <w:t xml:space="preserve">The following table summarizes our gross receivables categorized by our internal credit risk rating as of July 25, 2020 and was not restated to reflect the impact of adoption of the accounting standards update on </w:t>
      </w:r>
      <w:r>
        <w:rPr>
          <w:rFonts w:ascii="Times New Roman" w:eastAsia="宋体" w:hAnsi="Times New Roman"/>
          <w:i/>
          <w:iCs/>
          <w:color w:val="000000"/>
          <w:sz w:val="20"/>
          <w:szCs w:val="20"/>
        </w:rPr>
        <w:t>Credit Losses on Financial Instruments</w:t>
      </w:r>
      <w:r>
        <w:rPr>
          <w:rFonts w:ascii="Times New Roman" w:eastAsia="宋体" w:hAnsi="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436"/>
        <w:gridCol w:w="37"/>
        <w:gridCol w:w="120"/>
        <w:gridCol w:w="717"/>
        <w:gridCol w:w="36"/>
        <w:gridCol w:w="36"/>
        <w:gridCol w:w="36"/>
        <w:gridCol w:w="36"/>
        <w:gridCol w:w="120"/>
        <w:gridCol w:w="656"/>
        <w:gridCol w:w="36"/>
        <w:gridCol w:w="36"/>
        <w:gridCol w:w="36"/>
        <w:gridCol w:w="36"/>
        <w:gridCol w:w="121"/>
        <w:gridCol w:w="878"/>
        <w:gridCol w:w="36"/>
        <w:gridCol w:w="36"/>
        <w:gridCol w:w="36"/>
        <w:gridCol w:w="36"/>
        <w:gridCol w:w="120"/>
        <w:gridCol w:w="600"/>
        <w:gridCol w:w="36"/>
      </w:tblGrid>
      <w:tr w:rsidR="0040300B" w14:paraId="7B66F238" w14:textId="77777777">
        <w:tc>
          <w:tcPr>
            <w:tcW w:w="50" w:type="pct"/>
            <w:shd w:val="clear" w:color="auto" w:fill="auto"/>
          </w:tcPr>
          <w:p w14:paraId="7B66F220" w14:textId="77777777" w:rsidR="0040300B" w:rsidRDefault="0040300B">
            <w:pPr>
              <w:rPr>
                <w:rFonts w:ascii="宋体"/>
              </w:rPr>
            </w:pPr>
          </w:p>
        </w:tc>
        <w:tc>
          <w:tcPr>
            <w:tcW w:w="2723" w:type="pct"/>
            <w:shd w:val="clear" w:color="auto" w:fill="auto"/>
          </w:tcPr>
          <w:p w14:paraId="7B66F221" w14:textId="77777777" w:rsidR="0040300B" w:rsidRDefault="0040300B">
            <w:pPr>
              <w:rPr>
                <w:rFonts w:ascii="宋体"/>
              </w:rPr>
            </w:pPr>
          </w:p>
        </w:tc>
        <w:tc>
          <w:tcPr>
            <w:tcW w:w="5" w:type="pct"/>
            <w:shd w:val="clear" w:color="auto" w:fill="auto"/>
          </w:tcPr>
          <w:p w14:paraId="7B66F222" w14:textId="77777777" w:rsidR="0040300B" w:rsidRDefault="0040300B">
            <w:pPr>
              <w:rPr>
                <w:rFonts w:ascii="宋体"/>
              </w:rPr>
            </w:pPr>
          </w:p>
        </w:tc>
        <w:tc>
          <w:tcPr>
            <w:tcW w:w="50" w:type="pct"/>
            <w:shd w:val="clear" w:color="auto" w:fill="auto"/>
          </w:tcPr>
          <w:p w14:paraId="7B66F223" w14:textId="77777777" w:rsidR="0040300B" w:rsidRDefault="0040300B">
            <w:pPr>
              <w:rPr>
                <w:rFonts w:ascii="宋体"/>
              </w:rPr>
            </w:pPr>
          </w:p>
        </w:tc>
        <w:tc>
          <w:tcPr>
            <w:tcW w:w="472" w:type="pct"/>
            <w:shd w:val="clear" w:color="auto" w:fill="auto"/>
          </w:tcPr>
          <w:p w14:paraId="7B66F224" w14:textId="77777777" w:rsidR="0040300B" w:rsidRDefault="0040300B">
            <w:pPr>
              <w:rPr>
                <w:rFonts w:ascii="宋体"/>
              </w:rPr>
            </w:pPr>
          </w:p>
        </w:tc>
        <w:tc>
          <w:tcPr>
            <w:tcW w:w="5" w:type="pct"/>
            <w:shd w:val="clear" w:color="auto" w:fill="auto"/>
          </w:tcPr>
          <w:p w14:paraId="7B66F225" w14:textId="77777777" w:rsidR="0040300B" w:rsidRDefault="0040300B">
            <w:pPr>
              <w:rPr>
                <w:rFonts w:ascii="宋体"/>
              </w:rPr>
            </w:pPr>
          </w:p>
        </w:tc>
        <w:tc>
          <w:tcPr>
            <w:tcW w:w="5" w:type="pct"/>
            <w:shd w:val="clear" w:color="auto" w:fill="auto"/>
          </w:tcPr>
          <w:p w14:paraId="7B66F226" w14:textId="77777777" w:rsidR="0040300B" w:rsidRDefault="0040300B">
            <w:pPr>
              <w:rPr>
                <w:rFonts w:ascii="宋体"/>
              </w:rPr>
            </w:pPr>
          </w:p>
        </w:tc>
        <w:tc>
          <w:tcPr>
            <w:tcW w:w="26" w:type="pct"/>
            <w:shd w:val="clear" w:color="auto" w:fill="auto"/>
          </w:tcPr>
          <w:p w14:paraId="7B66F227" w14:textId="77777777" w:rsidR="0040300B" w:rsidRDefault="0040300B">
            <w:pPr>
              <w:rPr>
                <w:rFonts w:ascii="宋体"/>
              </w:rPr>
            </w:pPr>
          </w:p>
        </w:tc>
        <w:tc>
          <w:tcPr>
            <w:tcW w:w="5" w:type="pct"/>
            <w:shd w:val="clear" w:color="auto" w:fill="auto"/>
          </w:tcPr>
          <w:p w14:paraId="7B66F228" w14:textId="77777777" w:rsidR="0040300B" w:rsidRDefault="0040300B">
            <w:pPr>
              <w:rPr>
                <w:rFonts w:ascii="宋体"/>
              </w:rPr>
            </w:pPr>
          </w:p>
        </w:tc>
        <w:tc>
          <w:tcPr>
            <w:tcW w:w="50" w:type="pct"/>
            <w:shd w:val="clear" w:color="auto" w:fill="auto"/>
          </w:tcPr>
          <w:p w14:paraId="7B66F229" w14:textId="77777777" w:rsidR="0040300B" w:rsidRDefault="0040300B">
            <w:pPr>
              <w:rPr>
                <w:rFonts w:ascii="宋体"/>
              </w:rPr>
            </w:pPr>
          </w:p>
        </w:tc>
        <w:tc>
          <w:tcPr>
            <w:tcW w:w="472" w:type="pct"/>
            <w:shd w:val="clear" w:color="auto" w:fill="auto"/>
          </w:tcPr>
          <w:p w14:paraId="7B66F22A" w14:textId="77777777" w:rsidR="0040300B" w:rsidRDefault="0040300B">
            <w:pPr>
              <w:rPr>
                <w:rFonts w:ascii="宋体"/>
              </w:rPr>
            </w:pPr>
          </w:p>
        </w:tc>
        <w:tc>
          <w:tcPr>
            <w:tcW w:w="5" w:type="pct"/>
            <w:shd w:val="clear" w:color="auto" w:fill="auto"/>
          </w:tcPr>
          <w:p w14:paraId="7B66F22B" w14:textId="77777777" w:rsidR="0040300B" w:rsidRDefault="0040300B">
            <w:pPr>
              <w:rPr>
                <w:rFonts w:ascii="宋体"/>
              </w:rPr>
            </w:pPr>
          </w:p>
        </w:tc>
        <w:tc>
          <w:tcPr>
            <w:tcW w:w="5" w:type="pct"/>
            <w:shd w:val="clear" w:color="auto" w:fill="auto"/>
          </w:tcPr>
          <w:p w14:paraId="7B66F22C" w14:textId="77777777" w:rsidR="0040300B" w:rsidRDefault="0040300B">
            <w:pPr>
              <w:rPr>
                <w:rFonts w:ascii="宋体"/>
              </w:rPr>
            </w:pPr>
          </w:p>
        </w:tc>
        <w:tc>
          <w:tcPr>
            <w:tcW w:w="26" w:type="pct"/>
            <w:shd w:val="clear" w:color="auto" w:fill="auto"/>
          </w:tcPr>
          <w:p w14:paraId="7B66F22D" w14:textId="77777777" w:rsidR="0040300B" w:rsidRDefault="0040300B">
            <w:pPr>
              <w:rPr>
                <w:rFonts w:ascii="宋体"/>
              </w:rPr>
            </w:pPr>
          </w:p>
        </w:tc>
        <w:tc>
          <w:tcPr>
            <w:tcW w:w="5" w:type="pct"/>
            <w:shd w:val="clear" w:color="auto" w:fill="auto"/>
          </w:tcPr>
          <w:p w14:paraId="7B66F22E" w14:textId="77777777" w:rsidR="0040300B" w:rsidRDefault="0040300B">
            <w:pPr>
              <w:rPr>
                <w:rFonts w:ascii="宋体"/>
              </w:rPr>
            </w:pPr>
          </w:p>
        </w:tc>
        <w:tc>
          <w:tcPr>
            <w:tcW w:w="50" w:type="pct"/>
            <w:shd w:val="clear" w:color="auto" w:fill="auto"/>
          </w:tcPr>
          <w:p w14:paraId="7B66F22F" w14:textId="77777777" w:rsidR="0040300B" w:rsidRDefault="0040300B">
            <w:pPr>
              <w:rPr>
                <w:rFonts w:ascii="宋体"/>
              </w:rPr>
            </w:pPr>
          </w:p>
        </w:tc>
        <w:tc>
          <w:tcPr>
            <w:tcW w:w="472" w:type="pct"/>
            <w:shd w:val="clear" w:color="auto" w:fill="auto"/>
          </w:tcPr>
          <w:p w14:paraId="7B66F230" w14:textId="77777777" w:rsidR="0040300B" w:rsidRDefault="0040300B">
            <w:pPr>
              <w:rPr>
                <w:rFonts w:ascii="宋体"/>
              </w:rPr>
            </w:pPr>
          </w:p>
        </w:tc>
        <w:tc>
          <w:tcPr>
            <w:tcW w:w="5" w:type="pct"/>
            <w:shd w:val="clear" w:color="auto" w:fill="auto"/>
          </w:tcPr>
          <w:p w14:paraId="7B66F231" w14:textId="77777777" w:rsidR="0040300B" w:rsidRDefault="0040300B">
            <w:pPr>
              <w:rPr>
                <w:rFonts w:ascii="宋体"/>
              </w:rPr>
            </w:pPr>
          </w:p>
        </w:tc>
        <w:tc>
          <w:tcPr>
            <w:tcW w:w="5" w:type="pct"/>
            <w:shd w:val="clear" w:color="auto" w:fill="auto"/>
          </w:tcPr>
          <w:p w14:paraId="7B66F232" w14:textId="77777777" w:rsidR="0040300B" w:rsidRDefault="0040300B">
            <w:pPr>
              <w:rPr>
                <w:rFonts w:ascii="宋体"/>
              </w:rPr>
            </w:pPr>
          </w:p>
        </w:tc>
        <w:tc>
          <w:tcPr>
            <w:tcW w:w="26" w:type="pct"/>
            <w:shd w:val="clear" w:color="auto" w:fill="auto"/>
          </w:tcPr>
          <w:p w14:paraId="7B66F233" w14:textId="77777777" w:rsidR="0040300B" w:rsidRDefault="0040300B">
            <w:pPr>
              <w:rPr>
                <w:rFonts w:ascii="宋体"/>
              </w:rPr>
            </w:pPr>
          </w:p>
        </w:tc>
        <w:tc>
          <w:tcPr>
            <w:tcW w:w="5" w:type="pct"/>
            <w:shd w:val="clear" w:color="auto" w:fill="auto"/>
          </w:tcPr>
          <w:p w14:paraId="7B66F234" w14:textId="77777777" w:rsidR="0040300B" w:rsidRDefault="0040300B">
            <w:pPr>
              <w:rPr>
                <w:rFonts w:ascii="宋体"/>
              </w:rPr>
            </w:pPr>
          </w:p>
        </w:tc>
        <w:tc>
          <w:tcPr>
            <w:tcW w:w="50" w:type="pct"/>
            <w:shd w:val="clear" w:color="auto" w:fill="auto"/>
          </w:tcPr>
          <w:p w14:paraId="7B66F235" w14:textId="77777777" w:rsidR="0040300B" w:rsidRDefault="0040300B">
            <w:pPr>
              <w:rPr>
                <w:rFonts w:ascii="宋体"/>
              </w:rPr>
            </w:pPr>
          </w:p>
        </w:tc>
        <w:tc>
          <w:tcPr>
            <w:tcW w:w="472" w:type="pct"/>
            <w:shd w:val="clear" w:color="auto" w:fill="auto"/>
          </w:tcPr>
          <w:p w14:paraId="7B66F236" w14:textId="77777777" w:rsidR="0040300B" w:rsidRDefault="0040300B">
            <w:pPr>
              <w:rPr>
                <w:rFonts w:ascii="宋体"/>
              </w:rPr>
            </w:pPr>
          </w:p>
        </w:tc>
        <w:tc>
          <w:tcPr>
            <w:tcW w:w="5" w:type="pct"/>
            <w:shd w:val="clear" w:color="auto" w:fill="auto"/>
          </w:tcPr>
          <w:p w14:paraId="7B66F237" w14:textId="77777777" w:rsidR="0040300B" w:rsidRDefault="0040300B">
            <w:pPr>
              <w:rPr>
                <w:rFonts w:ascii="宋体"/>
              </w:rPr>
            </w:pPr>
          </w:p>
        </w:tc>
      </w:tr>
      <w:tr w:rsidR="0040300B" w14:paraId="7B66F23B" w14:textId="77777777">
        <w:tc>
          <w:tcPr>
            <w:tcW w:w="0" w:type="auto"/>
            <w:gridSpan w:val="3"/>
            <w:shd w:val="clear" w:color="auto" w:fill="auto"/>
            <w:tcMar>
              <w:top w:w="40" w:type="dxa"/>
              <w:left w:w="20" w:type="dxa"/>
              <w:bottom w:w="40" w:type="dxa"/>
              <w:right w:w="20" w:type="dxa"/>
            </w:tcMar>
            <w:vAlign w:val="bottom"/>
          </w:tcPr>
          <w:p w14:paraId="7B66F239" w14:textId="77777777" w:rsidR="0040300B" w:rsidRDefault="00BB2D44">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7B66F23A" w14:textId="77777777" w:rsidR="0040300B" w:rsidRDefault="00BB2D44">
            <w:pPr>
              <w:jc w:val="center"/>
              <w:textAlignment w:val="bottom"/>
            </w:pPr>
            <w:r>
              <w:rPr>
                <w:rFonts w:ascii="Times New Roman" w:eastAsia="宋体" w:hAnsi="Times New Roman"/>
                <w:color w:val="000000"/>
                <w:sz w:val="18"/>
                <w:szCs w:val="18"/>
              </w:rPr>
              <w:t>INTERNAL CREDIT RISK RATING</w:t>
            </w:r>
          </w:p>
        </w:tc>
      </w:tr>
      <w:tr w:rsidR="0040300B" w14:paraId="7B66F244" w14:textId="77777777">
        <w:tc>
          <w:tcPr>
            <w:tcW w:w="0" w:type="auto"/>
            <w:gridSpan w:val="3"/>
            <w:shd w:val="clear" w:color="auto" w:fill="auto"/>
            <w:tcMar>
              <w:top w:w="40" w:type="dxa"/>
              <w:left w:w="20" w:type="dxa"/>
              <w:bottom w:w="40" w:type="dxa"/>
              <w:right w:w="20" w:type="dxa"/>
            </w:tcMar>
            <w:vAlign w:val="bottom"/>
          </w:tcPr>
          <w:p w14:paraId="7B66F23C" w14:textId="77777777" w:rsidR="0040300B" w:rsidRDefault="00BB2D44">
            <w:pPr>
              <w:textAlignment w:val="bottom"/>
            </w:pPr>
            <w:r>
              <w:rPr>
                <w:rFonts w:ascii="Times New Roman" w:eastAsia="宋体" w:hAnsi="Times New Roman"/>
                <w:color w:val="000000"/>
                <w:sz w:val="18"/>
                <w:szCs w:val="18"/>
                <w:u w:val="single"/>
              </w:rPr>
              <w:t>July 25,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3D" w14:textId="77777777" w:rsidR="0040300B" w:rsidRDefault="00BB2D44">
            <w:pPr>
              <w:jc w:val="center"/>
              <w:textAlignment w:val="bottom"/>
            </w:pPr>
            <w:r>
              <w:rPr>
                <w:rFonts w:ascii="Times New Roman" w:eastAsia="宋体" w:hAnsi="Times New Roman"/>
                <w:color w:val="000000"/>
                <w:sz w:val="18"/>
                <w:szCs w:val="18"/>
              </w:rPr>
              <w:t>1 to 4</w:t>
            </w:r>
          </w:p>
        </w:tc>
        <w:tc>
          <w:tcPr>
            <w:tcW w:w="0" w:type="auto"/>
            <w:gridSpan w:val="3"/>
            <w:tcBorders>
              <w:top w:val="single" w:sz="8" w:space="0" w:color="000000"/>
            </w:tcBorders>
            <w:shd w:val="clear" w:color="auto" w:fill="auto"/>
            <w:tcMar>
              <w:top w:w="0" w:type="dxa"/>
              <w:left w:w="20" w:type="dxa"/>
              <w:bottom w:w="0" w:type="dxa"/>
              <w:right w:w="20" w:type="dxa"/>
            </w:tcMar>
          </w:tcPr>
          <w:p w14:paraId="7B66F23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3F" w14:textId="77777777" w:rsidR="0040300B" w:rsidRDefault="00BB2D44">
            <w:pPr>
              <w:jc w:val="center"/>
              <w:textAlignment w:val="bottom"/>
            </w:pPr>
            <w:r>
              <w:rPr>
                <w:rFonts w:ascii="Times New Roman" w:eastAsia="宋体" w:hAnsi="Times New Roman"/>
                <w:color w:val="000000"/>
                <w:sz w:val="18"/>
                <w:szCs w:val="18"/>
              </w:rPr>
              <w:t>5 to 6</w:t>
            </w:r>
          </w:p>
        </w:tc>
        <w:tc>
          <w:tcPr>
            <w:tcW w:w="0" w:type="auto"/>
            <w:gridSpan w:val="3"/>
            <w:tcBorders>
              <w:top w:val="single" w:sz="8" w:space="0" w:color="000000"/>
            </w:tcBorders>
            <w:shd w:val="clear" w:color="auto" w:fill="auto"/>
            <w:tcMar>
              <w:top w:w="0" w:type="dxa"/>
              <w:left w:w="20" w:type="dxa"/>
              <w:bottom w:w="0" w:type="dxa"/>
              <w:right w:w="20" w:type="dxa"/>
            </w:tcMar>
          </w:tcPr>
          <w:p w14:paraId="7B66F24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41" w14:textId="77777777" w:rsidR="0040300B" w:rsidRDefault="00BB2D44">
            <w:pPr>
              <w:jc w:val="center"/>
              <w:textAlignment w:val="bottom"/>
            </w:pPr>
            <w:r>
              <w:rPr>
                <w:rFonts w:ascii="Times New Roman" w:eastAsia="宋体" w:hAnsi="Times New Roman"/>
                <w:color w:val="000000"/>
                <w:sz w:val="18"/>
                <w:szCs w:val="18"/>
              </w:rPr>
              <w:t>7 and Higher</w:t>
            </w:r>
          </w:p>
        </w:tc>
        <w:tc>
          <w:tcPr>
            <w:tcW w:w="0" w:type="auto"/>
            <w:gridSpan w:val="3"/>
            <w:tcBorders>
              <w:top w:val="single" w:sz="8" w:space="0" w:color="000000"/>
            </w:tcBorders>
            <w:shd w:val="clear" w:color="auto" w:fill="auto"/>
            <w:tcMar>
              <w:top w:w="0" w:type="dxa"/>
              <w:left w:w="20" w:type="dxa"/>
              <w:bottom w:w="0" w:type="dxa"/>
              <w:right w:w="20" w:type="dxa"/>
            </w:tcMar>
          </w:tcPr>
          <w:p w14:paraId="7B66F24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43"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6F255" w14:textId="77777777">
        <w:tc>
          <w:tcPr>
            <w:tcW w:w="0" w:type="auto"/>
            <w:gridSpan w:val="3"/>
            <w:shd w:val="clear" w:color="auto" w:fill="CCEEFF"/>
            <w:tcMar>
              <w:top w:w="40" w:type="dxa"/>
              <w:left w:w="20" w:type="dxa"/>
              <w:bottom w:w="40" w:type="dxa"/>
              <w:right w:w="20" w:type="dxa"/>
            </w:tcMar>
          </w:tcPr>
          <w:p w14:paraId="7B66F245" w14:textId="77777777" w:rsidR="0040300B" w:rsidRDefault="00BB2D44">
            <w:pPr>
              <w:textAlignment w:val="top"/>
            </w:pPr>
            <w:r>
              <w:rPr>
                <w:rFonts w:ascii="Times New Roman" w:eastAsia="宋体" w:hAnsi="Times New Roman"/>
                <w:color w:val="000000"/>
                <w:sz w:val="20"/>
                <w:szCs w:val="20"/>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24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47" w14:textId="77777777" w:rsidR="0040300B" w:rsidRDefault="00BB2D44">
            <w:pPr>
              <w:jc w:val="right"/>
              <w:textAlignment w:val="bottom"/>
            </w:pPr>
            <w:r>
              <w:rPr>
                <w:rFonts w:ascii="Times New Roman" w:eastAsia="宋体" w:hAnsi="Times New Roman"/>
                <w:color w:val="000000"/>
                <w:sz w:val="20"/>
                <w:szCs w:val="20"/>
              </w:rPr>
              <w:t>992 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4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4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4B" w14:textId="77777777" w:rsidR="0040300B" w:rsidRDefault="00BB2D44">
            <w:pPr>
              <w:jc w:val="right"/>
              <w:textAlignment w:val="bottom"/>
            </w:pPr>
            <w:r>
              <w:rPr>
                <w:rFonts w:ascii="Times New Roman" w:eastAsia="宋体" w:hAnsi="Times New Roman"/>
                <w:color w:val="000000"/>
                <w:sz w:val="20"/>
                <w:szCs w:val="20"/>
              </w:rPr>
              <w:t>952 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4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4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4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4F" w14:textId="77777777" w:rsidR="0040300B" w:rsidRDefault="00BB2D44">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5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5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53" w14:textId="77777777" w:rsidR="0040300B" w:rsidRDefault="00BB2D44">
            <w:pPr>
              <w:jc w:val="right"/>
              <w:textAlignment w:val="bottom"/>
            </w:pPr>
            <w:r>
              <w:rPr>
                <w:rFonts w:ascii="Times New Roman" w:eastAsia="宋体" w:hAnsi="Times New Roman"/>
                <w:color w:val="000000"/>
                <w:sz w:val="20"/>
                <w:szCs w:val="20"/>
              </w:rPr>
              <w:t>2,013 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54" w14:textId="77777777" w:rsidR="0040300B" w:rsidRDefault="0040300B">
            <w:pPr>
              <w:jc w:val="right"/>
              <w:rPr>
                <w:rFonts w:ascii="宋体"/>
              </w:rPr>
            </w:pPr>
          </w:p>
        </w:tc>
      </w:tr>
      <w:tr w:rsidR="0040300B" w14:paraId="7B66F262" w14:textId="77777777">
        <w:tc>
          <w:tcPr>
            <w:tcW w:w="0" w:type="auto"/>
            <w:gridSpan w:val="3"/>
            <w:shd w:val="clear" w:color="auto" w:fill="auto"/>
            <w:tcMar>
              <w:top w:w="40" w:type="dxa"/>
              <w:left w:w="20" w:type="dxa"/>
              <w:bottom w:w="40" w:type="dxa"/>
              <w:right w:w="20" w:type="dxa"/>
            </w:tcMar>
          </w:tcPr>
          <w:p w14:paraId="7B66F256" w14:textId="77777777" w:rsidR="0040300B" w:rsidRDefault="00BB2D44">
            <w:pPr>
              <w:textAlignment w:val="top"/>
            </w:pPr>
            <w:r>
              <w:rPr>
                <w:rFonts w:ascii="Times New Roman" w:eastAsia="宋体" w:hAnsi="Times New Roman"/>
                <w:color w:val="000000"/>
                <w:sz w:val="20"/>
                <w:szCs w:val="20"/>
              </w:rPr>
              <w:t>Loan receivables</w:t>
            </w:r>
          </w:p>
        </w:tc>
        <w:tc>
          <w:tcPr>
            <w:tcW w:w="0" w:type="auto"/>
            <w:gridSpan w:val="2"/>
            <w:shd w:val="clear" w:color="auto" w:fill="auto"/>
            <w:tcMar>
              <w:top w:w="40" w:type="dxa"/>
              <w:left w:w="20" w:type="dxa"/>
              <w:bottom w:w="40" w:type="dxa"/>
              <w:right w:w="0" w:type="dxa"/>
            </w:tcMar>
            <w:vAlign w:val="bottom"/>
          </w:tcPr>
          <w:p w14:paraId="7B66F257" w14:textId="77777777" w:rsidR="0040300B" w:rsidRDefault="00BB2D44">
            <w:pPr>
              <w:jc w:val="right"/>
              <w:textAlignment w:val="bottom"/>
            </w:pPr>
            <w:r>
              <w:rPr>
                <w:rFonts w:ascii="Times New Roman" w:eastAsia="宋体" w:hAnsi="Times New Roman"/>
                <w:color w:val="000000"/>
                <w:sz w:val="20"/>
                <w:szCs w:val="20"/>
              </w:rPr>
              <w:t>3,808 </w:t>
            </w:r>
          </w:p>
        </w:tc>
        <w:tc>
          <w:tcPr>
            <w:tcW w:w="0" w:type="auto"/>
            <w:shd w:val="clear" w:color="auto" w:fill="auto"/>
            <w:tcMar>
              <w:top w:w="40" w:type="dxa"/>
              <w:left w:w="0" w:type="dxa"/>
              <w:bottom w:w="40" w:type="dxa"/>
              <w:right w:w="20" w:type="dxa"/>
            </w:tcMar>
            <w:vAlign w:val="bottom"/>
          </w:tcPr>
          <w:p w14:paraId="7B66F258"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59"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25A" w14:textId="77777777" w:rsidR="0040300B" w:rsidRDefault="00BB2D44">
            <w:pPr>
              <w:jc w:val="right"/>
              <w:textAlignment w:val="bottom"/>
            </w:pPr>
            <w:r>
              <w:rPr>
                <w:rFonts w:ascii="Times New Roman" w:eastAsia="宋体" w:hAnsi="Times New Roman"/>
                <w:color w:val="000000"/>
                <w:sz w:val="20"/>
                <w:szCs w:val="20"/>
              </w:rPr>
              <w:t>1,961 </w:t>
            </w:r>
          </w:p>
        </w:tc>
        <w:tc>
          <w:tcPr>
            <w:tcW w:w="0" w:type="auto"/>
            <w:shd w:val="clear" w:color="auto" w:fill="auto"/>
            <w:tcMar>
              <w:top w:w="40" w:type="dxa"/>
              <w:left w:w="0" w:type="dxa"/>
              <w:bottom w:w="40" w:type="dxa"/>
              <w:right w:w="20" w:type="dxa"/>
            </w:tcMar>
            <w:vAlign w:val="bottom"/>
          </w:tcPr>
          <w:p w14:paraId="7B66F25B"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5C"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25D" w14:textId="77777777" w:rsidR="0040300B" w:rsidRDefault="00BB2D44">
            <w:pPr>
              <w:jc w:val="right"/>
              <w:textAlignment w:val="bottom"/>
            </w:pPr>
            <w:r>
              <w:rPr>
                <w:rFonts w:ascii="Times New Roman" w:eastAsia="宋体" w:hAnsi="Times New Roman"/>
                <w:color w:val="000000"/>
                <w:sz w:val="20"/>
                <w:szCs w:val="20"/>
              </w:rPr>
              <w:t>168 </w:t>
            </w:r>
          </w:p>
        </w:tc>
        <w:tc>
          <w:tcPr>
            <w:tcW w:w="0" w:type="auto"/>
            <w:shd w:val="clear" w:color="auto" w:fill="auto"/>
            <w:tcMar>
              <w:top w:w="40" w:type="dxa"/>
              <w:left w:w="0" w:type="dxa"/>
              <w:bottom w:w="40" w:type="dxa"/>
              <w:right w:w="20" w:type="dxa"/>
            </w:tcMar>
            <w:vAlign w:val="bottom"/>
          </w:tcPr>
          <w:p w14:paraId="7B66F25E"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5F"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260" w14:textId="77777777" w:rsidR="0040300B" w:rsidRDefault="00BB2D44">
            <w:pPr>
              <w:jc w:val="right"/>
              <w:textAlignment w:val="bottom"/>
            </w:pPr>
            <w:r>
              <w:rPr>
                <w:rFonts w:ascii="Times New Roman" w:eastAsia="宋体" w:hAnsi="Times New Roman"/>
                <w:color w:val="000000"/>
                <w:sz w:val="20"/>
                <w:szCs w:val="20"/>
              </w:rPr>
              <w:t>5,937 </w:t>
            </w:r>
          </w:p>
        </w:tc>
        <w:tc>
          <w:tcPr>
            <w:tcW w:w="0" w:type="auto"/>
            <w:shd w:val="clear" w:color="auto" w:fill="auto"/>
            <w:tcMar>
              <w:top w:w="40" w:type="dxa"/>
              <w:left w:w="0" w:type="dxa"/>
              <w:bottom w:w="40" w:type="dxa"/>
              <w:right w:w="20" w:type="dxa"/>
            </w:tcMar>
            <w:vAlign w:val="bottom"/>
          </w:tcPr>
          <w:p w14:paraId="7B66F261" w14:textId="77777777" w:rsidR="0040300B" w:rsidRDefault="0040300B">
            <w:pPr>
              <w:jc w:val="right"/>
              <w:rPr>
                <w:rFonts w:ascii="宋体"/>
              </w:rPr>
            </w:pPr>
          </w:p>
        </w:tc>
      </w:tr>
      <w:tr w:rsidR="0040300B" w14:paraId="7B66F26F" w14:textId="77777777">
        <w:tc>
          <w:tcPr>
            <w:tcW w:w="0" w:type="auto"/>
            <w:gridSpan w:val="3"/>
            <w:shd w:val="clear" w:color="auto" w:fill="CCEEFF"/>
            <w:tcMar>
              <w:top w:w="40" w:type="dxa"/>
              <w:left w:w="20" w:type="dxa"/>
              <w:bottom w:w="40" w:type="dxa"/>
              <w:right w:w="20" w:type="dxa"/>
            </w:tcMar>
          </w:tcPr>
          <w:p w14:paraId="7B66F263" w14:textId="77777777" w:rsidR="0040300B" w:rsidRDefault="00BB2D44">
            <w:pPr>
              <w:textAlignment w:val="top"/>
            </w:pPr>
            <w:r>
              <w:rPr>
                <w:rFonts w:ascii="Times New Roman" w:eastAsia="宋体" w:hAnsi="Times New Roman"/>
                <w:color w:val="000000"/>
                <w:sz w:val="20"/>
                <w:szCs w:val="20"/>
              </w:rPr>
              <w:t>Financed service contracts</w:t>
            </w:r>
          </w:p>
        </w:tc>
        <w:tc>
          <w:tcPr>
            <w:tcW w:w="0" w:type="auto"/>
            <w:gridSpan w:val="2"/>
            <w:shd w:val="clear" w:color="auto" w:fill="CCEEFF"/>
            <w:tcMar>
              <w:top w:w="40" w:type="dxa"/>
              <w:left w:w="20" w:type="dxa"/>
              <w:bottom w:w="40" w:type="dxa"/>
              <w:right w:w="0" w:type="dxa"/>
            </w:tcMar>
            <w:vAlign w:val="bottom"/>
          </w:tcPr>
          <w:p w14:paraId="7B66F264" w14:textId="77777777" w:rsidR="0040300B" w:rsidRDefault="00BB2D44">
            <w:pPr>
              <w:jc w:val="right"/>
              <w:textAlignment w:val="bottom"/>
            </w:pPr>
            <w:r>
              <w:rPr>
                <w:rFonts w:ascii="Times New Roman" w:eastAsia="宋体" w:hAnsi="Times New Roman"/>
                <w:color w:val="000000"/>
                <w:sz w:val="20"/>
                <w:szCs w:val="20"/>
              </w:rPr>
              <w:t>1,645 </w:t>
            </w:r>
          </w:p>
        </w:tc>
        <w:tc>
          <w:tcPr>
            <w:tcW w:w="0" w:type="auto"/>
            <w:shd w:val="clear" w:color="auto" w:fill="CCEEFF"/>
            <w:tcMar>
              <w:top w:w="40" w:type="dxa"/>
              <w:left w:w="0" w:type="dxa"/>
              <w:bottom w:w="40" w:type="dxa"/>
              <w:right w:w="20" w:type="dxa"/>
            </w:tcMar>
            <w:vAlign w:val="bottom"/>
          </w:tcPr>
          <w:p w14:paraId="7B66F26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6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267" w14:textId="77777777" w:rsidR="0040300B" w:rsidRDefault="00BB2D44">
            <w:pPr>
              <w:jc w:val="right"/>
              <w:textAlignment w:val="bottom"/>
            </w:pPr>
            <w:r>
              <w:rPr>
                <w:rFonts w:ascii="Times New Roman" w:eastAsia="宋体" w:hAnsi="Times New Roman"/>
                <w:color w:val="000000"/>
                <w:sz w:val="20"/>
                <w:szCs w:val="20"/>
              </w:rPr>
              <w:t>1,153 </w:t>
            </w:r>
          </w:p>
        </w:tc>
        <w:tc>
          <w:tcPr>
            <w:tcW w:w="0" w:type="auto"/>
            <w:shd w:val="clear" w:color="auto" w:fill="CCEEFF"/>
            <w:tcMar>
              <w:top w:w="40" w:type="dxa"/>
              <w:left w:w="0" w:type="dxa"/>
              <w:bottom w:w="40" w:type="dxa"/>
              <w:right w:w="20" w:type="dxa"/>
            </w:tcMar>
            <w:vAlign w:val="bottom"/>
          </w:tcPr>
          <w:p w14:paraId="7B66F26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6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26A" w14:textId="77777777" w:rsidR="0040300B" w:rsidRDefault="00BB2D44">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7B66F26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6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26D" w14:textId="77777777" w:rsidR="0040300B" w:rsidRDefault="00BB2D44">
            <w:pPr>
              <w:jc w:val="right"/>
              <w:textAlignment w:val="bottom"/>
            </w:pPr>
            <w:r>
              <w:rPr>
                <w:rFonts w:ascii="Times New Roman" w:eastAsia="宋体" w:hAnsi="Times New Roman"/>
                <w:color w:val="000000"/>
                <w:sz w:val="20"/>
                <w:szCs w:val="20"/>
              </w:rPr>
              <w:t>2,830 </w:t>
            </w:r>
          </w:p>
        </w:tc>
        <w:tc>
          <w:tcPr>
            <w:tcW w:w="0" w:type="auto"/>
            <w:shd w:val="clear" w:color="auto" w:fill="CCEEFF"/>
            <w:tcMar>
              <w:top w:w="40" w:type="dxa"/>
              <w:left w:w="0" w:type="dxa"/>
              <w:bottom w:w="40" w:type="dxa"/>
              <w:right w:w="20" w:type="dxa"/>
            </w:tcMar>
            <w:vAlign w:val="bottom"/>
          </w:tcPr>
          <w:p w14:paraId="7B66F26E" w14:textId="77777777" w:rsidR="0040300B" w:rsidRDefault="0040300B">
            <w:pPr>
              <w:jc w:val="right"/>
              <w:rPr>
                <w:rFonts w:ascii="宋体"/>
              </w:rPr>
            </w:pPr>
          </w:p>
        </w:tc>
      </w:tr>
      <w:tr w:rsidR="0040300B" w14:paraId="7B66F280" w14:textId="77777777">
        <w:tc>
          <w:tcPr>
            <w:tcW w:w="0" w:type="auto"/>
            <w:gridSpan w:val="3"/>
            <w:shd w:val="clear" w:color="auto" w:fill="auto"/>
            <w:tcMar>
              <w:top w:w="40" w:type="dxa"/>
              <w:left w:w="380" w:type="dxa"/>
              <w:bottom w:w="40" w:type="dxa"/>
              <w:right w:w="20" w:type="dxa"/>
            </w:tcMar>
          </w:tcPr>
          <w:p w14:paraId="7B66F270"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27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272" w14:textId="77777777" w:rsidR="0040300B" w:rsidRDefault="00BB2D44">
            <w:pPr>
              <w:jc w:val="right"/>
              <w:textAlignment w:val="bottom"/>
            </w:pPr>
            <w:r>
              <w:rPr>
                <w:rFonts w:ascii="Times New Roman" w:eastAsia="宋体" w:hAnsi="Times New Roman"/>
                <w:color w:val="000000"/>
                <w:sz w:val="20"/>
                <w:szCs w:val="20"/>
              </w:rPr>
              <w:t>6,445 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27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74"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27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276" w14:textId="77777777" w:rsidR="0040300B" w:rsidRDefault="00BB2D44">
            <w:pPr>
              <w:jc w:val="right"/>
              <w:textAlignment w:val="bottom"/>
            </w:pPr>
            <w:r>
              <w:rPr>
                <w:rFonts w:ascii="Times New Roman" w:eastAsia="宋体" w:hAnsi="Times New Roman"/>
                <w:color w:val="000000"/>
                <w:sz w:val="20"/>
                <w:szCs w:val="20"/>
              </w:rPr>
              <w:t>4,066 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277"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78"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27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27A" w14:textId="77777777" w:rsidR="0040300B" w:rsidRDefault="00BB2D44">
            <w:pPr>
              <w:jc w:val="right"/>
              <w:textAlignment w:val="bottom"/>
            </w:pPr>
            <w:r>
              <w:rPr>
                <w:rFonts w:ascii="Times New Roman" w:eastAsia="宋体" w:hAnsi="Times New Roman"/>
                <w:color w:val="000000"/>
                <w:sz w:val="20"/>
                <w:szCs w:val="20"/>
              </w:rPr>
              <w:t>269 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27B"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27C"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27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27E" w14:textId="77777777" w:rsidR="0040300B" w:rsidRDefault="00BB2D44">
            <w:pPr>
              <w:jc w:val="right"/>
              <w:textAlignment w:val="bottom"/>
            </w:pPr>
            <w:r>
              <w:rPr>
                <w:rFonts w:ascii="Times New Roman" w:eastAsia="宋体" w:hAnsi="Times New Roman"/>
                <w:color w:val="000000"/>
                <w:sz w:val="20"/>
                <w:szCs w:val="20"/>
              </w:rPr>
              <w:t>10,780 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27F" w14:textId="77777777" w:rsidR="0040300B" w:rsidRDefault="0040300B">
            <w:pPr>
              <w:jc w:val="right"/>
              <w:rPr>
                <w:rFonts w:ascii="宋体"/>
              </w:rPr>
            </w:pPr>
          </w:p>
        </w:tc>
      </w:tr>
    </w:tbl>
    <w:p w14:paraId="7B66F281" w14:textId="77777777" w:rsidR="0040300B" w:rsidRDefault="00BB2D44">
      <w:pPr>
        <w:spacing w:before="120"/>
        <w:jc w:val="both"/>
      </w:pPr>
      <w:r>
        <w:rPr>
          <w:rFonts w:ascii="Times New Roman" w:eastAsia="宋体" w:hAnsi="Times New Roman"/>
          <w:color w:val="000000"/>
          <w:sz w:val="20"/>
          <w:szCs w:val="20"/>
        </w:rPr>
        <w:t>The following tables present the aging analysis of gross receivables as of May 1, 2021 and July 2</w:t>
      </w:r>
      <w:r>
        <w:rPr>
          <w:rFonts w:ascii="Times New Roman" w:eastAsia="宋体" w:hAnsi="Times New Roman"/>
          <w:color w:val="000000"/>
          <w:sz w:val="20"/>
          <w:szCs w:val="20"/>
        </w:rPr>
        <w:t xml:space="preserve">5, 2020 (in millions): </w:t>
      </w: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40300B" w14:paraId="7B66F2B8" w14:textId="77777777">
        <w:tc>
          <w:tcPr>
            <w:tcW w:w="50" w:type="pct"/>
            <w:shd w:val="clear" w:color="auto" w:fill="auto"/>
          </w:tcPr>
          <w:p w14:paraId="7B66F282" w14:textId="77777777" w:rsidR="0040300B" w:rsidRDefault="0040300B">
            <w:pPr>
              <w:rPr>
                <w:rFonts w:ascii="宋体"/>
              </w:rPr>
            </w:pPr>
          </w:p>
        </w:tc>
        <w:tc>
          <w:tcPr>
            <w:tcW w:w="917" w:type="pct"/>
            <w:shd w:val="clear" w:color="auto" w:fill="auto"/>
          </w:tcPr>
          <w:p w14:paraId="7B66F283" w14:textId="77777777" w:rsidR="0040300B" w:rsidRDefault="0040300B">
            <w:pPr>
              <w:rPr>
                <w:rFonts w:ascii="宋体"/>
              </w:rPr>
            </w:pPr>
          </w:p>
        </w:tc>
        <w:tc>
          <w:tcPr>
            <w:tcW w:w="5" w:type="pct"/>
            <w:shd w:val="clear" w:color="auto" w:fill="auto"/>
          </w:tcPr>
          <w:p w14:paraId="7B66F284" w14:textId="77777777" w:rsidR="0040300B" w:rsidRDefault="0040300B">
            <w:pPr>
              <w:rPr>
                <w:rFonts w:ascii="宋体"/>
              </w:rPr>
            </w:pPr>
          </w:p>
        </w:tc>
        <w:tc>
          <w:tcPr>
            <w:tcW w:w="50" w:type="pct"/>
            <w:shd w:val="clear" w:color="auto" w:fill="auto"/>
          </w:tcPr>
          <w:p w14:paraId="7B66F285" w14:textId="77777777" w:rsidR="0040300B" w:rsidRDefault="0040300B">
            <w:pPr>
              <w:rPr>
                <w:rFonts w:ascii="宋体"/>
              </w:rPr>
            </w:pPr>
          </w:p>
        </w:tc>
        <w:tc>
          <w:tcPr>
            <w:tcW w:w="325" w:type="pct"/>
            <w:shd w:val="clear" w:color="auto" w:fill="auto"/>
          </w:tcPr>
          <w:p w14:paraId="7B66F286" w14:textId="77777777" w:rsidR="0040300B" w:rsidRDefault="0040300B">
            <w:pPr>
              <w:rPr>
                <w:rFonts w:ascii="宋体"/>
              </w:rPr>
            </w:pPr>
          </w:p>
        </w:tc>
        <w:tc>
          <w:tcPr>
            <w:tcW w:w="5" w:type="pct"/>
            <w:shd w:val="clear" w:color="auto" w:fill="auto"/>
          </w:tcPr>
          <w:p w14:paraId="7B66F287" w14:textId="77777777" w:rsidR="0040300B" w:rsidRDefault="0040300B">
            <w:pPr>
              <w:rPr>
                <w:rFonts w:ascii="宋体"/>
              </w:rPr>
            </w:pPr>
          </w:p>
        </w:tc>
        <w:tc>
          <w:tcPr>
            <w:tcW w:w="5" w:type="pct"/>
            <w:shd w:val="clear" w:color="auto" w:fill="auto"/>
          </w:tcPr>
          <w:p w14:paraId="7B66F288" w14:textId="77777777" w:rsidR="0040300B" w:rsidRDefault="0040300B">
            <w:pPr>
              <w:rPr>
                <w:rFonts w:ascii="宋体"/>
              </w:rPr>
            </w:pPr>
          </w:p>
        </w:tc>
        <w:tc>
          <w:tcPr>
            <w:tcW w:w="26" w:type="pct"/>
            <w:shd w:val="clear" w:color="auto" w:fill="auto"/>
          </w:tcPr>
          <w:p w14:paraId="7B66F289" w14:textId="77777777" w:rsidR="0040300B" w:rsidRDefault="0040300B">
            <w:pPr>
              <w:rPr>
                <w:rFonts w:ascii="宋体"/>
              </w:rPr>
            </w:pPr>
          </w:p>
        </w:tc>
        <w:tc>
          <w:tcPr>
            <w:tcW w:w="5" w:type="pct"/>
            <w:shd w:val="clear" w:color="auto" w:fill="auto"/>
          </w:tcPr>
          <w:p w14:paraId="7B66F28A" w14:textId="77777777" w:rsidR="0040300B" w:rsidRDefault="0040300B">
            <w:pPr>
              <w:rPr>
                <w:rFonts w:ascii="宋体"/>
              </w:rPr>
            </w:pPr>
          </w:p>
        </w:tc>
        <w:tc>
          <w:tcPr>
            <w:tcW w:w="50" w:type="pct"/>
            <w:shd w:val="clear" w:color="auto" w:fill="auto"/>
          </w:tcPr>
          <w:p w14:paraId="7B66F28B" w14:textId="77777777" w:rsidR="0040300B" w:rsidRDefault="0040300B">
            <w:pPr>
              <w:rPr>
                <w:rFonts w:ascii="宋体"/>
              </w:rPr>
            </w:pPr>
          </w:p>
        </w:tc>
        <w:tc>
          <w:tcPr>
            <w:tcW w:w="325" w:type="pct"/>
            <w:shd w:val="clear" w:color="auto" w:fill="auto"/>
          </w:tcPr>
          <w:p w14:paraId="7B66F28C" w14:textId="77777777" w:rsidR="0040300B" w:rsidRDefault="0040300B">
            <w:pPr>
              <w:rPr>
                <w:rFonts w:ascii="宋体"/>
              </w:rPr>
            </w:pPr>
          </w:p>
        </w:tc>
        <w:tc>
          <w:tcPr>
            <w:tcW w:w="5" w:type="pct"/>
            <w:shd w:val="clear" w:color="auto" w:fill="auto"/>
          </w:tcPr>
          <w:p w14:paraId="7B66F28D" w14:textId="77777777" w:rsidR="0040300B" w:rsidRDefault="0040300B">
            <w:pPr>
              <w:rPr>
                <w:rFonts w:ascii="宋体"/>
              </w:rPr>
            </w:pPr>
          </w:p>
        </w:tc>
        <w:tc>
          <w:tcPr>
            <w:tcW w:w="5" w:type="pct"/>
            <w:shd w:val="clear" w:color="auto" w:fill="auto"/>
          </w:tcPr>
          <w:p w14:paraId="7B66F28E" w14:textId="77777777" w:rsidR="0040300B" w:rsidRDefault="0040300B">
            <w:pPr>
              <w:rPr>
                <w:rFonts w:ascii="宋体"/>
              </w:rPr>
            </w:pPr>
          </w:p>
        </w:tc>
        <w:tc>
          <w:tcPr>
            <w:tcW w:w="26" w:type="pct"/>
            <w:shd w:val="clear" w:color="auto" w:fill="auto"/>
          </w:tcPr>
          <w:p w14:paraId="7B66F28F" w14:textId="77777777" w:rsidR="0040300B" w:rsidRDefault="0040300B">
            <w:pPr>
              <w:rPr>
                <w:rFonts w:ascii="宋体"/>
              </w:rPr>
            </w:pPr>
          </w:p>
        </w:tc>
        <w:tc>
          <w:tcPr>
            <w:tcW w:w="5" w:type="pct"/>
            <w:shd w:val="clear" w:color="auto" w:fill="auto"/>
          </w:tcPr>
          <w:p w14:paraId="7B66F290" w14:textId="77777777" w:rsidR="0040300B" w:rsidRDefault="0040300B">
            <w:pPr>
              <w:rPr>
                <w:rFonts w:ascii="宋体"/>
              </w:rPr>
            </w:pPr>
          </w:p>
        </w:tc>
        <w:tc>
          <w:tcPr>
            <w:tcW w:w="50" w:type="pct"/>
            <w:shd w:val="clear" w:color="auto" w:fill="auto"/>
          </w:tcPr>
          <w:p w14:paraId="7B66F291" w14:textId="77777777" w:rsidR="0040300B" w:rsidRDefault="0040300B">
            <w:pPr>
              <w:rPr>
                <w:rFonts w:ascii="宋体"/>
              </w:rPr>
            </w:pPr>
          </w:p>
        </w:tc>
        <w:tc>
          <w:tcPr>
            <w:tcW w:w="325" w:type="pct"/>
            <w:shd w:val="clear" w:color="auto" w:fill="auto"/>
          </w:tcPr>
          <w:p w14:paraId="7B66F292" w14:textId="77777777" w:rsidR="0040300B" w:rsidRDefault="0040300B">
            <w:pPr>
              <w:rPr>
                <w:rFonts w:ascii="宋体"/>
              </w:rPr>
            </w:pPr>
          </w:p>
        </w:tc>
        <w:tc>
          <w:tcPr>
            <w:tcW w:w="5" w:type="pct"/>
            <w:shd w:val="clear" w:color="auto" w:fill="auto"/>
          </w:tcPr>
          <w:p w14:paraId="7B66F293" w14:textId="77777777" w:rsidR="0040300B" w:rsidRDefault="0040300B">
            <w:pPr>
              <w:rPr>
                <w:rFonts w:ascii="宋体"/>
              </w:rPr>
            </w:pPr>
          </w:p>
        </w:tc>
        <w:tc>
          <w:tcPr>
            <w:tcW w:w="5" w:type="pct"/>
            <w:shd w:val="clear" w:color="auto" w:fill="auto"/>
          </w:tcPr>
          <w:p w14:paraId="7B66F294" w14:textId="77777777" w:rsidR="0040300B" w:rsidRDefault="0040300B">
            <w:pPr>
              <w:rPr>
                <w:rFonts w:ascii="宋体"/>
              </w:rPr>
            </w:pPr>
          </w:p>
        </w:tc>
        <w:tc>
          <w:tcPr>
            <w:tcW w:w="26" w:type="pct"/>
            <w:shd w:val="clear" w:color="auto" w:fill="auto"/>
          </w:tcPr>
          <w:p w14:paraId="7B66F295" w14:textId="77777777" w:rsidR="0040300B" w:rsidRDefault="0040300B">
            <w:pPr>
              <w:rPr>
                <w:rFonts w:ascii="宋体"/>
              </w:rPr>
            </w:pPr>
          </w:p>
        </w:tc>
        <w:tc>
          <w:tcPr>
            <w:tcW w:w="5" w:type="pct"/>
            <w:shd w:val="clear" w:color="auto" w:fill="auto"/>
          </w:tcPr>
          <w:p w14:paraId="7B66F296" w14:textId="77777777" w:rsidR="0040300B" w:rsidRDefault="0040300B">
            <w:pPr>
              <w:rPr>
                <w:rFonts w:ascii="宋体"/>
              </w:rPr>
            </w:pPr>
          </w:p>
        </w:tc>
        <w:tc>
          <w:tcPr>
            <w:tcW w:w="50" w:type="pct"/>
            <w:shd w:val="clear" w:color="auto" w:fill="auto"/>
          </w:tcPr>
          <w:p w14:paraId="7B66F297" w14:textId="77777777" w:rsidR="0040300B" w:rsidRDefault="0040300B">
            <w:pPr>
              <w:rPr>
                <w:rFonts w:ascii="宋体"/>
              </w:rPr>
            </w:pPr>
          </w:p>
        </w:tc>
        <w:tc>
          <w:tcPr>
            <w:tcW w:w="354" w:type="pct"/>
            <w:shd w:val="clear" w:color="auto" w:fill="auto"/>
          </w:tcPr>
          <w:p w14:paraId="7B66F298" w14:textId="77777777" w:rsidR="0040300B" w:rsidRDefault="0040300B">
            <w:pPr>
              <w:rPr>
                <w:rFonts w:ascii="宋体"/>
              </w:rPr>
            </w:pPr>
          </w:p>
        </w:tc>
        <w:tc>
          <w:tcPr>
            <w:tcW w:w="5" w:type="pct"/>
            <w:shd w:val="clear" w:color="auto" w:fill="auto"/>
          </w:tcPr>
          <w:p w14:paraId="7B66F299" w14:textId="77777777" w:rsidR="0040300B" w:rsidRDefault="0040300B">
            <w:pPr>
              <w:rPr>
                <w:rFonts w:ascii="宋体"/>
              </w:rPr>
            </w:pPr>
          </w:p>
        </w:tc>
        <w:tc>
          <w:tcPr>
            <w:tcW w:w="5" w:type="pct"/>
            <w:shd w:val="clear" w:color="auto" w:fill="auto"/>
          </w:tcPr>
          <w:p w14:paraId="7B66F29A" w14:textId="77777777" w:rsidR="0040300B" w:rsidRDefault="0040300B">
            <w:pPr>
              <w:rPr>
                <w:rFonts w:ascii="宋体"/>
              </w:rPr>
            </w:pPr>
          </w:p>
        </w:tc>
        <w:tc>
          <w:tcPr>
            <w:tcW w:w="26" w:type="pct"/>
            <w:shd w:val="clear" w:color="auto" w:fill="auto"/>
          </w:tcPr>
          <w:p w14:paraId="7B66F29B" w14:textId="77777777" w:rsidR="0040300B" w:rsidRDefault="0040300B">
            <w:pPr>
              <w:rPr>
                <w:rFonts w:ascii="宋体"/>
              </w:rPr>
            </w:pPr>
          </w:p>
        </w:tc>
        <w:tc>
          <w:tcPr>
            <w:tcW w:w="5" w:type="pct"/>
            <w:shd w:val="clear" w:color="auto" w:fill="auto"/>
          </w:tcPr>
          <w:p w14:paraId="7B66F29C" w14:textId="77777777" w:rsidR="0040300B" w:rsidRDefault="0040300B">
            <w:pPr>
              <w:rPr>
                <w:rFonts w:ascii="宋体"/>
              </w:rPr>
            </w:pPr>
          </w:p>
        </w:tc>
        <w:tc>
          <w:tcPr>
            <w:tcW w:w="50" w:type="pct"/>
            <w:shd w:val="clear" w:color="auto" w:fill="auto"/>
          </w:tcPr>
          <w:p w14:paraId="7B66F29D" w14:textId="77777777" w:rsidR="0040300B" w:rsidRDefault="0040300B">
            <w:pPr>
              <w:rPr>
                <w:rFonts w:ascii="宋体"/>
              </w:rPr>
            </w:pPr>
          </w:p>
        </w:tc>
        <w:tc>
          <w:tcPr>
            <w:tcW w:w="354" w:type="pct"/>
            <w:shd w:val="clear" w:color="auto" w:fill="auto"/>
          </w:tcPr>
          <w:p w14:paraId="7B66F29E" w14:textId="77777777" w:rsidR="0040300B" w:rsidRDefault="0040300B">
            <w:pPr>
              <w:rPr>
                <w:rFonts w:ascii="宋体"/>
              </w:rPr>
            </w:pPr>
          </w:p>
        </w:tc>
        <w:tc>
          <w:tcPr>
            <w:tcW w:w="5" w:type="pct"/>
            <w:shd w:val="clear" w:color="auto" w:fill="auto"/>
          </w:tcPr>
          <w:p w14:paraId="7B66F29F" w14:textId="77777777" w:rsidR="0040300B" w:rsidRDefault="0040300B">
            <w:pPr>
              <w:rPr>
                <w:rFonts w:ascii="宋体"/>
              </w:rPr>
            </w:pPr>
          </w:p>
        </w:tc>
        <w:tc>
          <w:tcPr>
            <w:tcW w:w="5" w:type="pct"/>
            <w:shd w:val="clear" w:color="auto" w:fill="auto"/>
          </w:tcPr>
          <w:p w14:paraId="7B66F2A0" w14:textId="77777777" w:rsidR="0040300B" w:rsidRDefault="0040300B">
            <w:pPr>
              <w:rPr>
                <w:rFonts w:ascii="宋体"/>
              </w:rPr>
            </w:pPr>
          </w:p>
        </w:tc>
        <w:tc>
          <w:tcPr>
            <w:tcW w:w="26" w:type="pct"/>
            <w:shd w:val="clear" w:color="auto" w:fill="auto"/>
          </w:tcPr>
          <w:p w14:paraId="7B66F2A1" w14:textId="77777777" w:rsidR="0040300B" w:rsidRDefault="0040300B">
            <w:pPr>
              <w:rPr>
                <w:rFonts w:ascii="宋体"/>
              </w:rPr>
            </w:pPr>
          </w:p>
        </w:tc>
        <w:tc>
          <w:tcPr>
            <w:tcW w:w="5" w:type="pct"/>
            <w:shd w:val="clear" w:color="auto" w:fill="auto"/>
          </w:tcPr>
          <w:p w14:paraId="7B66F2A2" w14:textId="77777777" w:rsidR="0040300B" w:rsidRDefault="0040300B">
            <w:pPr>
              <w:rPr>
                <w:rFonts w:ascii="宋体"/>
              </w:rPr>
            </w:pPr>
          </w:p>
        </w:tc>
        <w:tc>
          <w:tcPr>
            <w:tcW w:w="50" w:type="pct"/>
            <w:shd w:val="clear" w:color="auto" w:fill="auto"/>
          </w:tcPr>
          <w:p w14:paraId="7B66F2A3" w14:textId="77777777" w:rsidR="0040300B" w:rsidRDefault="0040300B">
            <w:pPr>
              <w:rPr>
                <w:rFonts w:ascii="宋体"/>
              </w:rPr>
            </w:pPr>
          </w:p>
        </w:tc>
        <w:tc>
          <w:tcPr>
            <w:tcW w:w="390" w:type="pct"/>
            <w:shd w:val="clear" w:color="auto" w:fill="auto"/>
          </w:tcPr>
          <w:p w14:paraId="7B66F2A4" w14:textId="77777777" w:rsidR="0040300B" w:rsidRDefault="0040300B">
            <w:pPr>
              <w:rPr>
                <w:rFonts w:ascii="宋体"/>
              </w:rPr>
            </w:pPr>
          </w:p>
        </w:tc>
        <w:tc>
          <w:tcPr>
            <w:tcW w:w="5" w:type="pct"/>
            <w:shd w:val="clear" w:color="auto" w:fill="auto"/>
          </w:tcPr>
          <w:p w14:paraId="7B66F2A5" w14:textId="77777777" w:rsidR="0040300B" w:rsidRDefault="0040300B">
            <w:pPr>
              <w:rPr>
                <w:rFonts w:ascii="宋体"/>
              </w:rPr>
            </w:pPr>
          </w:p>
        </w:tc>
        <w:tc>
          <w:tcPr>
            <w:tcW w:w="5" w:type="pct"/>
            <w:shd w:val="clear" w:color="auto" w:fill="auto"/>
          </w:tcPr>
          <w:p w14:paraId="7B66F2A6" w14:textId="77777777" w:rsidR="0040300B" w:rsidRDefault="0040300B">
            <w:pPr>
              <w:rPr>
                <w:rFonts w:ascii="宋体"/>
              </w:rPr>
            </w:pPr>
          </w:p>
        </w:tc>
        <w:tc>
          <w:tcPr>
            <w:tcW w:w="26" w:type="pct"/>
            <w:shd w:val="clear" w:color="auto" w:fill="auto"/>
          </w:tcPr>
          <w:p w14:paraId="7B66F2A7" w14:textId="77777777" w:rsidR="0040300B" w:rsidRDefault="0040300B">
            <w:pPr>
              <w:rPr>
                <w:rFonts w:ascii="宋体"/>
              </w:rPr>
            </w:pPr>
          </w:p>
        </w:tc>
        <w:tc>
          <w:tcPr>
            <w:tcW w:w="5" w:type="pct"/>
            <w:shd w:val="clear" w:color="auto" w:fill="auto"/>
          </w:tcPr>
          <w:p w14:paraId="7B66F2A8" w14:textId="77777777" w:rsidR="0040300B" w:rsidRDefault="0040300B">
            <w:pPr>
              <w:rPr>
                <w:rFonts w:ascii="宋体"/>
              </w:rPr>
            </w:pPr>
          </w:p>
        </w:tc>
        <w:tc>
          <w:tcPr>
            <w:tcW w:w="50" w:type="pct"/>
            <w:shd w:val="clear" w:color="auto" w:fill="auto"/>
          </w:tcPr>
          <w:p w14:paraId="7B66F2A9" w14:textId="77777777" w:rsidR="0040300B" w:rsidRDefault="0040300B">
            <w:pPr>
              <w:rPr>
                <w:rFonts w:ascii="宋体"/>
              </w:rPr>
            </w:pPr>
          </w:p>
        </w:tc>
        <w:tc>
          <w:tcPr>
            <w:tcW w:w="390" w:type="pct"/>
            <w:shd w:val="clear" w:color="auto" w:fill="auto"/>
          </w:tcPr>
          <w:p w14:paraId="7B66F2AA" w14:textId="77777777" w:rsidR="0040300B" w:rsidRDefault="0040300B">
            <w:pPr>
              <w:rPr>
                <w:rFonts w:ascii="宋体"/>
              </w:rPr>
            </w:pPr>
          </w:p>
        </w:tc>
        <w:tc>
          <w:tcPr>
            <w:tcW w:w="5" w:type="pct"/>
            <w:shd w:val="clear" w:color="auto" w:fill="auto"/>
          </w:tcPr>
          <w:p w14:paraId="7B66F2AB" w14:textId="77777777" w:rsidR="0040300B" w:rsidRDefault="0040300B">
            <w:pPr>
              <w:rPr>
                <w:rFonts w:ascii="宋体"/>
              </w:rPr>
            </w:pPr>
          </w:p>
        </w:tc>
        <w:tc>
          <w:tcPr>
            <w:tcW w:w="5" w:type="pct"/>
            <w:shd w:val="clear" w:color="auto" w:fill="auto"/>
          </w:tcPr>
          <w:p w14:paraId="7B66F2AC" w14:textId="77777777" w:rsidR="0040300B" w:rsidRDefault="0040300B">
            <w:pPr>
              <w:rPr>
                <w:rFonts w:ascii="宋体"/>
              </w:rPr>
            </w:pPr>
          </w:p>
        </w:tc>
        <w:tc>
          <w:tcPr>
            <w:tcW w:w="19" w:type="pct"/>
            <w:shd w:val="clear" w:color="auto" w:fill="auto"/>
          </w:tcPr>
          <w:p w14:paraId="7B66F2AD" w14:textId="77777777" w:rsidR="0040300B" w:rsidRDefault="0040300B">
            <w:pPr>
              <w:rPr>
                <w:rFonts w:ascii="宋体"/>
              </w:rPr>
            </w:pPr>
          </w:p>
        </w:tc>
        <w:tc>
          <w:tcPr>
            <w:tcW w:w="5" w:type="pct"/>
            <w:shd w:val="clear" w:color="auto" w:fill="auto"/>
          </w:tcPr>
          <w:p w14:paraId="7B66F2AE" w14:textId="77777777" w:rsidR="0040300B" w:rsidRDefault="0040300B">
            <w:pPr>
              <w:rPr>
                <w:rFonts w:ascii="宋体"/>
              </w:rPr>
            </w:pPr>
          </w:p>
        </w:tc>
        <w:tc>
          <w:tcPr>
            <w:tcW w:w="50" w:type="pct"/>
            <w:shd w:val="clear" w:color="auto" w:fill="auto"/>
          </w:tcPr>
          <w:p w14:paraId="7B66F2AF" w14:textId="77777777" w:rsidR="0040300B" w:rsidRDefault="0040300B">
            <w:pPr>
              <w:rPr>
                <w:rFonts w:ascii="宋体"/>
              </w:rPr>
            </w:pPr>
          </w:p>
        </w:tc>
        <w:tc>
          <w:tcPr>
            <w:tcW w:w="390" w:type="pct"/>
            <w:shd w:val="clear" w:color="auto" w:fill="auto"/>
          </w:tcPr>
          <w:p w14:paraId="7B66F2B0" w14:textId="77777777" w:rsidR="0040300B" w:rsidRDefault="0040300B">
            <w:pPr>
              <w:rPr>
                <w:rFonts w:ascii="宋体"/>
              </w:rPr>
            </w:pPr>
          </w:p>
        </w:tc>
        <w:tc>
          <w:tcPr>
            <w:tcW w:w="5" w:type="pct"/>
            <w:shd w:val="clear" w:color="auto" w:fill="auto"/>
          </w:tcPr>
          <w:p w14:paraId="7B66F2B1" w14:textId="77777777" w:rsidR="0040300B" w:rsidRDefault="0040300B">
            <w:pPr>
              <w:rPr>
                <w:rFonts w:ascii="宋体"/>
              </w:rPr>
            </w:pPr>
          </w:p>
        </w:tc>
        <w:tc>
          <w:tcPr>
            <w:tcW w:w="5" w:type="pct"/>
            <w:shd w:val="clear" w:color="auto" w:fill="auto"/>
          </w:tcPr>
          <w:p w14:paraId="7B66F2B2" w14:textId="77777777" w:rsidR="0040300B" w:rsidRDefault="0040300B">
            <w:pPr>
              <w:rPr>
                <w:rFonts w:ascii="宋体"/>
              </w:rPr>
            </w:pPr>
          </w:p>
        </w:tc>
        <w:tc>
          <w:tcPr>
            <w:tcW w:w="26" w:type="pct"/>
            <w:shd w:val="clear" w:color="auto" w:fill="auto"/>
          </w:tcPr>
          <w:p w14:paraId="7B66F2B3" w14:textId="77777777" w:rsidR="0040300B" w:rsidRDefault="0040300B">
            <w:pPr>
              <w:rPr>
                <w:rFonts w:ascii="宋体"/>
              </w:rPr>
            </w:pPr>
          </w:p>
        </w:tc>
        <w:tc>
          <w:tcPr>
            <w:tcW w:w="5" w:type="pct"/>
            <w:shd w:val="clear" w:color="auto" w:fill="auto"/>
          </w:tcPr>
          <w:p w14:paraId="7B66F2B4" w14:textId="77777777" w:rsidR="0040300B" w:rsidRDefault="0040300B">
            <w:pPr>
              <w:rPr>
                <w:rFonts w:ascii="宋体"/>
              </w:rPr>
            </w:pPr>
          </w:p>
        </w:tc>
        <w:tc>
          <w:tcPr>
            <w:tcW w:w="50" w:type="pct"/>
            <w:shd w:val="clear" w:color="auto" w:fill="auto"/>
          </w:tcPr>
          <w:p w14:paraId="7B66F2B5" w14:textId="77777777" w:rsidR="0040300B" w:rsidRDefault="0040300B">
            <w:pPr>
              <w:rPr>
                <w:rFonts w:ascii="宋体"/>
              </w:rPr>
            </w:pPr>
          </w:p>
        </w:tc>
        <w:tc>
          <w:tcPr>
            <w:tcW w:w="391" w:type="pct"/>
            <w:shd w:val="clear" w:color="auto" w:fill="auto"/>
          </w:tcPr>
          <w:p w14:paraId="7B66F2B6" w14:textId="77777777" w:rsidR="0040300B" w:rsidRDefault="0040300B">
            <w:pPr>
              <w:rPr>
                <w:rFonts w:ascii="宋体"/>
              </w:rPr>
            </w:pPr>
          </w:p>
        </w:tc>
        <w:tc>
          <w:tcPr>
            <w:tcW w:w="5" w:type="pct"/>
            <w:shd w:val="clear" w:color="auto" w:fill="auto"/>
          </w:tcPr>
          <w:p w14:paraId="7B66F2B7" w14:textId="77777777" w:rsidR="0040300B" w:rsidRDefault="0040300B">
            <w:pPr>
              <w:rPr>
                <w:rFonts w:ascii="宋体"/>
              </w:rPr>
            </w:pPr>
          </w:p>
        </w:tc>
      </w:tr>
      <w:tr w:rsidR="0040300B" w14:paraId="7B66F2C5" w14:textId="77777777">
        <w:tc>
          <w:tcPr>
            <w:tcW w:w="0" w:type="auto"/>
            <w:gridSpan w:val="3"/>
            <w:shd w:val="clear" w:color="auto" w:fill="auto"/>
            <w:tcMar>
              <w:top w:w="0" w:type="dxa"/>
              <w:left w:w="20" w:type="dxa"/>
              <w:bottom w:w="0" w:type="dxa"/>
              <w:right w:w="20" w:type="dxa"/>
            </w:tcMar>
          </w:tcPr>
          <w:p w14:paraId="7B66F2B9"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2BA" w14:textId="77777777" w:rsidR="0040300B" w:rsidRDefault="00BB2D44">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tcPr>
          <w:p w14:paraId="7B66F2B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BC"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B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B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B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C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C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C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C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2C4" w14:textId="77777777" w:rsidR="0040300B" w:rsidRDefault="0040300B">
            <w:pPr>
              <w:rPr>
                <w:rFonts w:ascii="宋体"/>
              </w:rPr>
            </w:pPr>
          </w:p>
        </w:tc>
      </w:tr>
      <w:tr w:rsidR="0040300B" w14:paraId="7B66F2D8" w14:textId="77777777">
        <w:tc>
          <w:tcPr>
            <w:tcW w:w="0" w:type="auto"/>
            <w:gridSpan w:val="3"/>
            <w:shd w:val="clear" w:color="auto" w:fill="auto"/>
            <w:tcMar>
              <w:top w:w="40" w:type="dxa"/>
              <w:left w:w="20" w:type="dxa"/>
              <w:bottom w:w="40" w:type="dxa"/>
              <w:right w:w="20" w:type="dxa"/>
            </w:tcMar>
            <w:vAlign w:val="bottom"/>
          </w:tcPr>
          <w:p w14:paraId="7B66F2C6" w14:textId="77777777" w:rsidR="0040300B" w:rsidRDefault="00BB2D44">
            <w:pPr>
              <w:textAlignment w:val="bottom"/>
            </w:pPr>
            <w:r>
              <w:rPr>
                <w:rFonts w:ascii="Times New Roman" w:eastAsia="宋体" w:hAnsi="Times New Roman"/>
                <w:color w:val="000000"/>
                <w:sz w:val="16"/>
                <w:szCs w:val="16"/>
                <w:u w:val="single"/>
              </w:rPr>
              <w:t>May 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C7" w14:textId="77777777" w:rsidR="0040300B" w:rsidRDefault="00BB2D44">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tcPr>
          <w:p w14:paraId="7B66F2C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C9" w14:textId="77777777" w:rsidR="0040300B" w:rsidRDefault="00BB2D44">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tcPr>
          <w:p w14:paraId="7B66F2C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CB" w14:textId="77777777" w:rsidR="0040300B" w:rsidRDefault="00BB2D44">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tcPr>
          <w:p w14:paraId="7B66F2C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2CD" w14:textId="77777777" w:rsidR="0040300B" w:rsidRDefault="00BB2D44">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tcPr>
          <w:p w14:paraId="7B66F2C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2CF" w14:textId="77777777" w:rsidR="0040300B" w:rsidRDefault="00BB2D44">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tcPr>
          <w:p w14:paraId="7B66F2D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2D1" w14:textId="77777777" w:rsidR="0040300B" w:rsidRDefault="00BB2D44">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tcPr>
          <w:p w14:paraId="7B66F2D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2D3" w14:textId="77777777" w:rsidR="0040300B" w:rsidRDefault="00BB2D44">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tcPr>
          <w:p w14:paraId="7B66F2D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2D5" w14:textId="77777777" w:rsidR="0040300B" w:rsidRDefault="00BB2D44">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tcPr>
          <w:p w14:paraId="7B66F2D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2D7" w14:textId="77777777" w:rsidR="0040300B" w:rsidRDefault="00BB2D44">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BB2D44" w14:paraId="7B66F2FD" w14:textId="77777777">
        <w:tc>
          <w:tcPr>
            <w:tcW w:w="0" w:type="auto"/>
            <w:gridSpan w:val="3"/>
            <w:shd w:val="clear" w:color="auto" w:fill="CCEEFF"/>
            <w:tcMar>
              <w:top w:w="40" w:type="dxa"/>
              <w:left w:w="20" w:type="dxa"/>
              <w:bottom w:w="40" w:type="dxa"/>
              <w:right w:w="20" w:type="dxa"/>
            </w:tcMar>
          </w:tcPr>
          <w:p w14:paraId="7B66F2D9" w14:textId="77777777" w:rsidR="0040300B" w:rsidRDefault="00BB2D44">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2DA"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DB" w14:textId="77777777" w:rsidR="0040300B" w:rsidRDefault="00BB2D44">
            <w:pPr>
              <w:jc w:val="right"/>
              <w:textAlignment w:val="bottom"/>
            </w:pPr>
            <w:r>
              <w:rPr>
                <w:rFonts w:ascii="Times New Roman" w:eastAsia="宋体" w:hAnsi="Times New Roman"/>
                <w:color w:val="000000"/>
                <w:sz w:val="16"/>
                <w:szCs w:val="16"/>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D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DE"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DF" w14:textId="77777777" w:rsidR="0040300B" w:rsidRDefault="00BB2D44">
            <w:pPr>
              <w:jc w:val="right"/>
              <w:textAlignment w:val="bottom"/>
            </w:pPr>
            <w:r>
              <w:rPr>
                <w:rFonts w:ascii="Times New Roman" w:eastAsia="宋体" w:hAnsi="Times New Roman"/>
                <w:color w:val="000000"/>
                <w:sz w:val="16"/>
                <w:szCs w:val="16"/>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E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E2"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E3" w14:textId="77777777" w:rsidR="0040300B" w:rsidRDefault="00BB2D44">
            <w:pPr>
              <w:jc w:val="right"/>
              <w:textAlignment w:val="bottom"/>
            </w:pPr>
            <w:r>
              <w:rPr>
                <w:rFonts w:ascii="Times New Roman" w:eastAsia="宋体" w:hAnsi="Times New Roman"/>
                <w:color w:val="000000"/>
                <w:sz w:val="16"/>
                <w:szCs w:val="16"/>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E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E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E6"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E7" w14:textId="77777777" w:rsidR="0040300B" w:rsidRDefault="00BB2D44">
            <w:pPr>
              <w:jc w:val="right"/>
              <w:textAlignment w:val="bottom"/>
            </w:pPr>
            <w:r>
              <w:rPr>
                <w:rFonts w:ascii="Times New Roman" w:eastAsia="宋体" w:hAnsi="Times New Roman"/>
                <w:color w:val="000000"/>
                <w:sz w:val="16"/>
                <w:szCs w:val="16"/>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E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E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EA"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EB" w14:textId="77777777" w:rsidR="0040300B" w:rsidRDefault="00BB2D44">
            <w:pPr>
              <w:jc w:val="right"/>
              <w:textAlignment w:val="bottom"/>
            </w:pPr>
            <w:r>
              <w:rPr>
                <w:rFonts w:ascii="Times New Roman" w:eastAsia="宋体" w:hAnsi="Times New Roman"/>
                <w:color w:val="000000"/>
                <w:sz w:val="16"/>
                <w:szCs w:val="16"/>
              </w:rPr>
              <w:t>1,556 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E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E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EE"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EF" w14:textId="77777777" w:rsidR="0040300B" w:rsidRDefault="00BB2D44">
            <w:pPr>
              <w:jc w:val="right"/>
              <w:textAlignment w:val="bottom"/>
            </w:pPr>
            <w:r>
              <w:rPr>
                <w:rFonts w:ascii="Times New Roman" w:eastAsia="宋体" w:hAnsi="Times New Roman"/>
                <w:color w:val="000000"/>
                <w:sz w:val="16"/>
                <w:szCs w:val="16"/>
              </w:rPr>
              <w:t>1,642 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F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F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F2"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F3" w14:textId="77777777" w:rsidR="0040300B" w:rsidRDefault="00BB2D44">
            <w:pPr>
              <w:jc w:val="right"/>
              <w:textAlignment w:val="bottom"/>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F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F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F6"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F7" w14:textId="77777777" w:rsidR="0040300B" w:rsidRDefault="00BB2D44">
            <w:pPr>
              <w:jc w:val="right"/>
              <w:textAlignment w:val="bottom"/>
            </w:pPr>
            <w:r>
              <w:rPr>
                <w:rFonts w:ascii="Times New Roman" w:eastAsia="宋体" w:hAnsi="Times New Roman"/>
                <w:color w:val="000000"/>
                <w:sz w:val="16"/>
                <w:szCs w:val="16"/>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2F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2FA"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2FB" w14:textId="77777777" w:rsidR="0040300B" w:rsidRDefault="00BB2D44">
            <w:pPr>
              <w:jc w:val="right"/>
              <w:textAlignment w:val="bottom"/>
            </w:pPr>
            <w:r>
              <w:rPr>
                <w:rFonts w:ascii="Times New Roman" w:eastAsia="宋体" w:hAnsi="Times New Roman"/>
                <w:color w:val="000000"/>
                <w:sz w:val="16"/>
                <w:szCs w:val="16"/>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2FC" w14:textId="77777777" w:rsidR="0040300B" w:rsidRDefault="0040300B">
            <w:pPr>
              <w:jc w:val="right"/>
              <w:rPr>
                <w:rFonts w:ascii="宋体"/>
              </w:rPr>
            </w:pPr>
          </w:p>
        </w:tc>
      </w:tr>
      <w:tr w:rsidR="0040300B" w14:paraId="7B66F319" w14:textId="77777777">
        <w:tc>
          <w:tcPr>
            <w:tcW w:w="0" w:type="auto"/>
            <w:gridSpan w:val="3"/>
            <w:shd w:val="clear" w:color="auto" w:fill="FFFFFF"/>
            <w:tcMar>
              <w:top w:w="40" w:type="dxa"/>
              <w:left w:w="20" w:type="dxa"/>
              <w:bottom w:w="40" w:type="dxa"/>
              <w:right w:w="20" w:type="dxa"/>
            </w:tcMar>
          </w:tcPr>
          <w:p w14:paraId="7B66F2FE" w14:textId="77777777" w:rsidR="0040300B" w:rsidRDefault="00BB2D44">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7B66F2FF" w14:textId="77777777" w:rsidR="0040300B" w:rsidRDefault="00BB2D44">
            <w:pPr>
              <w:jc w:val="right"/>
              <w:textAlignment w:val="bottom"/>
            </w:pPr>
            <w:r>
              <w:rPr>
                <w:rFonts w:ascii="Times New Roman" w:eastAsia="宋体" w:hAnsi="Times New Roman"/>
                <w:color w:val="000000"/>
                <w:sz w:val="16"/>
                <w:szCs w:val="16"/>
              </w:rPr>
              <w:t>91 </w:t>
            </w:r>
          </w:p>
        </w:tc>
        <w:tc>
          <w:tcPr>
            <w:tcW w:w="0" w:type="auto"/>
            <w:shd w:val="clear" w:color="auto" w:fill="FFFFFF"/>
            <w:tcMar>
              <w:top w:w="40" w:type="dxa"/>
              <w:left w:w="0" w:type="dxa"/>
              <w:bottom w:w="40" w:type="dxa"/>
              <w:right w:w="20" w:type="dxa"/>
            </w:tcMar>
            <w:vAlign w:val="bottom"/>
          </w:tcPr>
          <w:p w14:paraId="7B66F30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0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02" w14:textId="77777777" w:rsidR="0040300B" w:rsidRDefault="00BB2D44">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7B66F30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0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05" w14:textId="77777777" w:rsidR="0040300B" w:rsidRDefault="00BB2D44">
            <w:pPr>
              <w:jc w:val="right"/>
              <w:textAlignment w:val="bottom"/>
            </w:pPr>
            <w:r>
              <w:rPr>
                <w:rFonts w:ascii="Times New Roman" w:eastAsia="宋体" w:hAnsi="Times New Roman"/>
                <w:color w:val="000000"/>
                <w:sz w:val="16"/>
                <w:szCs w:val="16"/>
              </w:rPr>
              <w:t>53 </w:t>
            </w:r>
          </w:p>
        </w:tc>
        <w:tc>
          <w:tcPr>
            <w:tcW w:w="0" w:type="auto"/>
            <w:shd w:val="clear" w:color="auto" w:fill="FFFFFF"/>
            <w:tcMar>
              <w:top w:w="40" w:type="dxa"/>
              <w:left w:w="0" w:type="dxa"/>
              <w:bottom w:w="40" w:type="dxa"/>
              <w:right w:w="20" w:type="dxa"/>
            </w:tcMar>
            <w:vAlign w:val="bottom"/>
          </w:tcPr>
          <w:p w14:paraId="7B66F30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0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08" w14:textId="77777777" w:rsidR="0040300B" w:rsidRDefault="00BB2D44">
            <w:pPr>
              <w:jc w:val="right"/>
              <w:textAlignment w:val="bottom"/>
            </w:pPr>
            <w:r>
              <w:rPr>
                <w:rFonts w:ascii="Times New Roman" w:eastAsia="宋体" w:hAnsi="Times New Roman"/>
                <w:color w:val="000000"/>
                <w:sz w:val="16"/>
                <w:szCs w:val="16"/>
              </w:rPr>
              <w:t>156 </w:t>
            </w:r>
          </w:p>
        </w:tc>
        <w:tc>
          <w:tcPr>
            <w:tcW w:w="0" w:type="auto"/>
            <w:shd w:val="clear" w:color="auto" w:fill="FFFFFF"/>
            <w:tcMar>
              <w:top w:w="40" w:type="dxa"/>
              <w:left w:w="0" w:type="dxa"/>
              <w:bottom w:w="40" w:type="dxa"/>
              <w:right w:w="20" w:type="dxa"/>
            </w:tcMar>
            <w:vAlign w:val="bottom"/>
          </w:tcPr>
          <w:p w14:paraId="7B66F3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0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0B" w14:textId="77777777" w:rsidR="0040300B" w:rsidRDefault="00BB2D44">
            <w:pPr>
              <w:jc w:val="right"/>
              <w:textAlignment w:val="bottom"/>
            </w:pPr>
            <w:r>
              <w:rPr>
                <w:rFonts w:ascii="Times New Roman" w:eastAsia="宋体" w:hAnsi="Times New Roman"/>
                <w:color w:val="000000"/>
                <w:sz w:val="16"/>
                <w:szCs w:val="16"/>
              </w:rPr>
              <w:t>5,482 </w:t>
            </w:r>
          </w:p>
        </w:tc>
        <w:tc>
          <w:tcPr>
            <w:tcW w:w="0" w:type="auto"/>
            <w:shd w:val="clear" w:color="auto" w:fill="FFFFFF"/>
            <w:tcMar>
              <w:top w:w="40" w:type="dxa"/>
              <w:left w:w="0" w:type="dxa"/>
              <w:bottom w:w="40" w:type="dxa"/>
              <w:right w:w="20" w:type="dxa"/>
            </w:tcMar>
            <w:vAlign w:val="bottom"/>
          </w:tcPr>
          <w:p w14:paraId="7B66F30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0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0E" w14:textId="77777777" w:rsidR="0040300B" w:rsidRDefault="00BB2D44">
            <w:pPr>
              <w:jc w:val="right"/>
              <w:textAlignment w:val="bottom"/>
            </w:pPr>
            <w:r>
              <w:rPr>
                <w:rFonts w:ascii="Times New Roman" w:eastAsia="宋体" w:hAnsi="Times New Roman"/>
                <w:color w:val="000000"/>
                <w:sz w:val="16"/>
                <w:szCs w:val="16"/>
              </w:rPr>
              <w:t>5,638 </w:t>
            </w:r>
          </w:p>
        </w:tc>
        <w:tc>
          <w:tcPr>
            <w:tcW w:w="0" w:type="auto"/>
            <w:shd w:val="clear" w:color="auto" w:fill="FFFFFF"/>
            <w:tcMar>
              <w:top w:w="40" w:type="dxa"/>
              <w:left w:w="0" w:type="dxa"/>
              <w:bottom w:w="40" w:type="dxa"/>
              <w:right w:w="20" w:type="dxa"/>
            </w:tcMar>
            <w:vAlign w:val="bottom"/>
          </w:tcPr>
          <w:p w14:paraId="7B66F30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1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11" w14:textId="77777777" w:rsidR="0040300B" w:rsidRDefault="00BB2D44">
            <w:pPr>
              <w:jc w:val="right"/>
              <w:textAlignment w:val="bottom"/>
            </w:pPr>
            <w:r>
              <w:rPr>
                <w:rFonts w:ascii="Times New Roman" w:eastAsia="宋体" w:hAnsi="Times New Roman"/>
                <w:color w:val="000000"/>
                <w:sz w:val="16"/>
                <w:szCs w:val="16"/>
              </w:rPr>
              <w:t>8 </w:t>
            </w:r>
          </w:p>
        </w:tc>
        <w:tc>
          <w:tcPr>
            <w:tcW w:w="0" w:type="auto"/>
            <w:shd w:val="clear" w:color="auto" w:fill="FFFFFF"/>
            <w:tcMar>
              <w:top w:w="40" w:type="dxa"/>
              <w:left w:w="0" w:type="dxa"/>
              <w:bottom w:w="40" w:type="dxa"/>
              <w:right w:w="20" w:type="dxa"/>
            </w:tcMar>
            <w:vAlign w:val="bottom"/>
          </w:tcPr>
          <w:p w14:paraId="7B66F31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1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14" w14:textId="77777777" w:rsidR="0040300B" w:rsidRDefault="00BB2D44">
            <w:pPr>
              <w:jc w:val="right"/>
              <w:textAlignment w:val="bottom"/>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bottom"/>
          </w:tcPr>
          <w:p w14:paraId="7B66F31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1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17" w14:textId="77777777" w:rsidR="0040300B" w:rsidRDefault="00BB2D44">
            <w:pPr>
              <w:jc w:val="right"/>
              <w:textAlignment w:val="bottom"/>
            </w:pPr>
            <w:r>
              <w:rPr>
                <w:rFonts w:ascii="Times New Roman" w:eastAsia="宋体" w:hAnsi="Times New Roman"/>
                <w:color w:val="000000"/>
                <w:sz w:val="16"/>
                <w:szCs w:val="16"/>
              </w:rPr>
              <w:t>39 </w:t>
            </w:r>
          </w:p>
        </w:tc>
        <w:tc>
          <w:tcPr>
            <w:tcW w:w="0" w:type="auto"/>
            <w:shd w:val="clear" w:color="auto" w:fill="FFFFFF"/>
            <w:tcMar>
              <w:top w:w="40" w:type="dxa"/>
              <w:left w:w="0" w:type="dxa"/>
              <w:bottom w:w="40" w:type="dxa"/>
              <w:right w:w="20" w:type="dxa"/>
            </w:tcMar>
            <w:vAlign w:val="bottom"/>
          </w:tcPr>
          <w:p w14:paraId="7B66F318" w14:textId="77777777" w:rsidR="0040300B" w:rsidRDefault="0040300B">
            <w:pPr>
              <w:jc w:val="right"/>
              <w:rPr>
                <w:rFonts w:ascii="宋体"/>
              </w:rPr>
            </w:pPr>
          </w:p>
        </w:tc>
      </w:tr>
      <w:tr w:rsidR="0040300B" w14:paraId="7B66F335" w14:textId="77777777">
        <w:tc>
          <w:tcPr>
            <w:tcW w:w="0" w:type="auto"/>
            <w:gridSpan w:val="3"/>
            <w:shd w:val="clear" w:color="auto" w:fill="CCEEFF"/>
            <w:tcMar>
              <w:top w:w="40" w:type="dxa"/>
              <w:left w:w="20" w:type="dxa"/>
              <w:bottom w:w="40" w:type="dxa"/>
              <w:right w:w="20" w:type="dxa"/>
            </w:tcMar>
          </w:tcPr>
          <w:p w14:paraId="7B66F31A" w14:textId="77777777" w:rsidR="0040300B" w:rsidRDefault="00BB2D44">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7B66F31B" w14:textId="77777777" w:rsidR="0040300B" w:rsidRDefault="00BB2D44">
            <w:pPr>
              <w:jc w:val="right"/>
              <w:textAlignment w:val="bottom"/>
            </w:pPr>
            <w:r>
              <w:rPr>
                <w:rFonts w:ascii="Times New Roman" w:eastAsia="宋体" w:hAnsi="Times New Roman"/>
                <w:color w:val="000000"/>
                <w:sz w:val="16"/>
                <w:szCs w:val="16"/>
              </w:rPr>
              <w:t>68 </w:t>
            </w:r>
          </w:p>
        </w:tc>
        <w:tc>
          <w:tcPr>
            <w:tcW w:w="0" w:type="auto"/>
            <w:shd w:val="clear" w:color="auto" w:fill="CCEEFF"/>
            <w:tcMar>
              <w:top w:w="40" w:type="dxa"/>
              <w:left w:w="0" w:type="dxa"/>
              <w:bottom w:w="40" w:type="dxa"/>
              <w:right w:w="20" w:type="dxa"/>
            </w:tcMar>
            <w:vAlign w:val="bottom"/>
          </w:tcPr>
          <w:p w14:paraId="7B66F31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1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1E" w14:textId="77777777" w:rsidR="0040300B" w:rsidRDefault="00BB2D44">
            <w:pPr>
              <w:jc w:val="right"/>
              <w:textAlignment w:val="bottom"/>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bottom"/>
          </w:tcPr>
          <w:p w14:paraId="7B66F31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21" w14:textId="77777777" w:rsidR="0040300B" w:rsidRDefault="00BB2D44">
            <w:pPr>
              <w:jc w:val="right"/>
              <w:textAlignment w:val="bottom"/>
            </w:pPr>
            <w:r>
              <w:rPr>
                <w:rFonts w:ascii="Times New Roman" w:eastAsia="宋体" w:hAnsi="Times New Roman"/>
                <w:color w:val="000000"/>
                <w:sz w:val="16"/>
                <w:szCs w:val="16"/>
              </w:rPr>
              <w:t>53 </w:t>
            </w:r>
          </w:p>
        </w:tc>
        <w:tc>
          <w:tcPr>
            <w:tcW w:w="0" w:type="auto"/>
            <w:shd w:val="clear" w:color="auto" w:fill="CCEEFF"/>
            <w:tcMar>
              <w:top w:w="40" w:type="dxa"/>
              <w:left w:w="0" w:type="dxa"/>
              <w:bottom w:w="40" w:type="dxa"/>
              <w:right w:w="20" w:type="dxa"/>
            </w:tcMar>
            <w:vAlign w:val="bottom"/>
          </w:tcPr>
          <w:p w14:paraId="7B66F32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24" w14:textId="77777777" w:rsidR="0040300B" w:rsidRDefault="00BB2D44">
            <w:pPr>
              <w:jc w:val="right"/>
              <w:textAlignment w:val="bottom"/>
            </w:pPr>
            <w:r>
              <w:rPr>
                <w:rFonts w:ascii="Times New Roman" w:eastAsia="宋体" w:hAnsi="Times New Roman"/>
                <w:color w:val="000000"/>
                <w:sz w:val="16"/>
                <w:szCs w:val="16"/>
              </w:rPr>
              <w:t>127 </w:t>
            </w:r>
          </w:p>
        </w:tc>
        <w:tc>
          <w:tcPr>
            <w:tcW w:w="0" w:type="auto"/>
            <w:shd w:val="clear" w:color="auto" w:fill="CCEEFF"/>
            <w:tcMar>
              <w:top w:w="40" w:type="dxa"/>
              <w:left w:w="0" w:type="dxa"/>
              <w:bottom w:w="40" w:type="dxa"/>
              <w:right w:w="20" w:type="dxa"/>
            </w:tcMar>
            <w:vAlign w:val="bottom"/>
          </w:tcPr>
          <w:p w14:paraId="7B66F32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27" w14:textId="77777777" w:rsidR="0040300B" w:rsidRDefault="00BB2D44">
            <w:pPr>
              <w:jc w:val="right"/>
              <w:textAlignment w:val="bottom"/>
            </w:pPr>
            <w:r>
              <w:rPr>
                <w:rFonts w:ascii="Times New Roman" w:eastAsia="宋体" w:hAnsi="Times New Roman"/>
                <w:color w:val="000000"/>
                <w:sz w:val="16"/>
                <w:szCs w:val="16"/>
              </w:rPr>
              <w:t>2,334 </w:t>
            </w:r>
          </w:p>
        </w:tc>
        <w:tc>
          <w:tcPr>
            <w:tcW w:w="0" w:type="auto"/>
            <w:shd w:val="clear" w:color="auto" w:fill="CCEEFF"/>
            <w:tcMar>
              <w:top w:w="40" w:type="dxa"/>
              <w:left w:w="0" w:type="dxa"/>
              <w:bottom w:w="40" w:type="dxa"/>
              <w:right w:w="20" w:type="dxa"/>
            </w:tcMar>
            <w:vAlign w:val="bottom"/>
          </w:tcPr>
          <w:p w14:paraId="7B66F32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2A" w14:textId="77777777" w:rsidR="0040300B" w:rsidRDefault="00BB2D44">
            <w:pPr>
              <w:jc w:val="right"/>
              <w:textAlignment w:val="bottom"/>
            </w:pPr>
            <w:r>
              <w:rPr>
                <w:rFonts w:ascii="Times New Roman" w:eastAsia="宋体" w:hAnsi="Times New Roman"/>
                <w:color w:val="000000"/>
                <w:sz w:val="16"/>
                <w:szCs w:val="16"/>
              </w:rPr>
              <w:t>2,461 </w:t>
            </w:r>
          </w:p>
        </w:tc>
        <w:tc>
          <w:tcPr>
            <w:tcW w:w="0" w:type="auto"/>
            <w:shd w:val="clear" w:color="auto" w:fill="CCEEFF"/>
            <w:tcMar>
              <w:top w:w="40" w:type="dxa"/>
              <w:left w:w="0" w:type="dxa"/>
              <w:bottom w:w="40" w:type="dxa"/>
              <w:right w:w="20" w:type="dxa"/>
            </w:tcMar>
            <w:vAlign w:val="bottom"/>
          </w:tcPr>
          <w:p w14:paraId="7B66F32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2D" w14:textId="77777777" w:rsidR="0040300B" w:rsidRDefault="00BB2D44">
            <w:pPr>
              <w:jc w:val="right"/>
              <w:textAlignment w:val="bottom"/>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bottom"/>
          </w:tcPr>
          <w:p w14:paraId="7B66F32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2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30" w14:textId="77777777" w:rsidR="0040300B" w:rsidRDefault="00BB2D4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7B66F3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3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33" w14:textId="77777777" w:rsidR="0040300B" w:rsidRDefault="00BB2D4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7B66F334" w14:textId="77777777" w:rsidR="0040300B" w:rsidRDefault="0040300B">
            <w:pPr>
              <w:jc w:val="right"/>
              <w:rPr>
                <w:rFonts w:ascii="宋体"/>
              </w:rPr>
            </w:pPr>
          </w:p>
        </w:tc>
      </w:tr>
      <w:tr w:rsidR="00BB2D44" w14:paraId="7B66F35A" w14:textId="77777777">
        <w:tc>
          <w:tcPr>
            <w:tcW w:w="0" w:type="auto"/>
            <w:gridSpan w:val="3"/>
            <w:shd w:val="clear" w:color="auto" w:fill="FFFFFF"/>
            <w:tcMar>
              <w:top w:w="40" w:type="dxa"/>
              <w:left w:w="380" w:type="dxa"/>
              <w:bottom w:w="40" w:type="dxa"/>
              <w:right w:w="20" w:type="dxa"/>
            </w:tcMar>
          </w:tcPr>
          <w:p w14:paraId="7B66F336" w14:textId="77777777" w:rsidR="0040300B" w:rsidRDefault="00BB2D44">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37"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38" w14:textId="77777777" w:rsidR="0040300B" w:rsidRDefault="00BB2D44">
            <w:pPr>
              <w:jc w:val="right"/>
              <w:textAlignment w:val="bottom"/>
            </w:pPr>
            <w:r>
              <w:rPr>
                <w:rFonts w:ascii="Times New Roman" w:eastAsia="宋体" w:hAnsi="Times New Roman"/>
                <w:color w:val="000000"/>
                <w:sz w:val="16"/>
                <w:szCs w:val="16"/>
              </w:rPr>
              <w:t>182 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3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3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3B"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3C" w14:textId="77777777" w:rsidR="0040300B" w:rsidRDefault="00BB2D44">
            <w:pPr>
              <w:jc w:val="right"/>
              <w:textAlignment w:val="bottom"/>
            </w:pPr>
            <w:r>
              <w:rPr>
                <w:rFonts w:ascii="Times New Roman" w:eastAsia="宋体" w:hAnsi="Times New Roman"/>
                <w:color w:val="000000"/>
                <w:sz w:val="16"/>
                <w:szCs w:val="16"/>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3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3F"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40" w14:textId="77777777" w:rsidR="0040300B" w:rsidRDefault="00BB2D44">
            <w:pPr>
              <w:jc w:val="right"/>
              <w:textAlignment w:val="bottom"/>
            </w:pPr>
            <w:r>
              <w:rPr>
                <w:rFonts w:ascii="Times New Roman" w:eastAsia="宋体" w:hAnsi="Times New Roman"/>
                <w:color w:val="000000"/>
                <w:sz w:val="16"/>
                <w:szCs w:val="16"/>
              </w:rPr>
              <w:t>153 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4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4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43"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44" w14:textId="77777777" w:rsidR="0040300B" w:rsidRDefault="00BB2D44">
            <w:pPr>
              <w:jc w:val="right"/>
              <w:textAlignment w:val="bottom"/>
            </w:pPr>
            <w:r>
              <w:rPr>
                <w:rFonts w:ascii="Times New Roman" w:eastAsia="宋体" w:hAnsi="Times New Roman"/>
                <w:color w:val="000000"/>
                <w:sz w:val="16"/>
                <w:szCs w:val="16"/>
              </w:rPr>
              <w:t>369 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4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4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47"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48" w14:textId="77777777" w:rsidR="0040300B" w:rsidRDefault="00BB2D44">
            <w:pPr>
              <w:jc w:val="right"/>
              <w:textAlignment w:val="bottom"/>
            </w:pPr>
            <w:r>
              <w:rPr>
                <w:rFonts w:ascii="Times New Roman" w:eastAsia="宋体" w:hAnsi="Times New Roman"/>
                <w:color w:val="000000"/>
                <w:sz w:val="16"/>
                <w:szCs w:val="16"/>
              </w:rPr>
              <w:t>9,372 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4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4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4B"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4C" w14:textId="77777777" w:rsidR="0040300B" w:rsidRDefault="00BB2D44">
            <w:pPr>
              <w:jc w:val="right"/>
              <w:textAlignment w:val="bottom"/>
            </w:pPr>
            <w:r>
              <w:rPr>
                <w:rFonts w:ascii="Times New Roman" w:eastAsia="宋体" w:hAnsi="Times New Roman"/>
                <w:color w:val="000000"/>
                <w:sz w:val="16"/>
                <w:szCs w:val="16"/>
              </w:rPr>
              <w:t>9,741 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4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4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4F"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50" w14:textId="77777777" w:rsidR="0040300B" w:rsidRDefault="00BB2D44">
            <w:pPr>
              <w:jc w:val="right"/>
              <w:textAlignment w:val="bottom"/>
            </w:pPr>
            <w:r>
              <w:rPr>
                <w:rFonts w:ascii="Times New Roman" w:eastAsia="宋体" w:hAnsi="Times New Roman"/>
                <w:color w:val="000000"/>
                <w:sz w:val="16"/>
                <w:szCs w:val="16"/>
              </w:rPr>
              <w:t>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5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5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53"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54" w14:textId="77777777" w:rsidR="0040300B" w:rsidRDefault="00BB2D44">
            <w:pPr>
              <w:jc w:val="right"/>
              <w:textAlignment w:val="bottom"/>
            </w:pPr>
            <w:r>
              <w:rPr>
                <w:rFonts w:ascii="Times New Roman" w:eastAsia="宋体" w:hAnsi="Times New Roman"/>
                <w:color w:val="000000"/>
                <w:sz w:val="16"/>
                <w:szCs w:val="16"/>
              </w:rPr>
              <w:t>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5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5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357" w14:textId="77777777" w:rsidR="0040300B" w:rsidRDefault="00BB2D4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358" w14:textId="77777777" w:rsidR="0040300B" w:rsidRDefault="00BB2D44">
            <w:pPr>
              <w:jc w:val="right"/>
              <w:textAlignment w:val="bottom"/>
            </w:pPr>
            <w:r>
              <w:rPr>
                <w:rFonts w:ascii="Times New Roman" w:eastAsia="宋体" w:hAnsi="Times New Roman"/>
                <w:color w:val="000000"/>
                <w:sz w:val="16"/>
                <w:szCs w:val="16"/>
              </w:rPr>
              <w:t>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359" w14:textId="77777777" w:rsidR="0040300B" w:rsidRDefault="0040300B">
            <w:pPr>
              <w:jc w:val="right"/>
              <w:rPr>
                <w:rFonts w:ascii="宋体"/>
              </w:rPr>
            </w:pPr>
          </w:p>
        </w:tc>
      </w:tr>
    </w:tbl>
    <w:p w14:paraId="7B66F35B" w14:textId="77777777" w:rsidR="0040300B" w:rsidRDefault="00BB2D44">
      <w:pPr>
        <w:jc w:val="center"/>
      </w:pPr>
      <w:r>
        <w:rPr>
          <w:rFonts w:ascii="Times New Roman" w:eastAsia="宋体" w:hAnsi="Times New Roman"/>
          <w:color w:val="000000"/>
          <w:sz w:val="20"/>
          <w:szCs w:val="20"/>
        </w:rPr>
        <w:t>20</w:t>
      </w:r>
    </w:p>
    <w:p w14:paraId="7B66F35C" w14:textId="77777777" w:rsidR="0040300B" w:rsidRDefault="00BB2D44">
      <w:r>
        <w:pict w14:anchorId="7B671C24">
          <v:rect id="_x0000_i1044" style="width:415.3pt;height:1.5pt" o:hralign="center" o:hrstd="t" o:hr="t" fillcolor="#a0a0a0" stroked="f"/>
        </w:pict>
      </w:r>
    </w:p>
    <w:p w14:paraId="7B66F35D" w14:textId="77777777" w:rsidR="0040300B" w:rsidRDefault="00BB2D44">
      <w:hyperlink r:id="rId66" w:anchor="i52d5b40dbad7426a9806a2fd5167029f_7" w:history="1">
        <w:r>
          <w:rPr>
            <w:rStyle w:val="a5"/>
            <w:rFonts w:ascii="Times New Roman" w:eastAsia="宋体" w:hAnsi="Times New Roman"/>
            <w:sz w:val="18"/>
            <w:szCs w:val="18"/>
          </w:rPr>
          <w:t>Table of Contents</w:t>
        </w:r>
      </w:hyperlink>
    </w:p>
    <w:p w14:paraId="7B66F35E" w14:textId="77777777" w:rsidR="0040300B" w:rsidRDefault="00BB2D44">
      <w:pPr>
        <w:jc w:val="center"/>
      </w:pPr>
      <w:r>
        <w:rPr>
          <w:rFonts w:ascii="Times New Roman" w:eastAsia="宋体" w:hAnsi="Times New Roman"/>
          <w:b/>
          <w:bCs/>
          <w:color w:val="000000"/>
          <w:sz w:val="18"/>
          <w:szCs w:val="18"/>
        </w:rPr>
        <w:t>CISCO SYSTEMS, INC.</w:t>
      </w:r>
    </w:p>
    <w:p w14:paraId="7B66F35F"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360" w14:textId="77777777" w:rsidR="0040300B" w:rsidRDefault="00BB2D44">
      <w:pPr>
        <w:jc w:val="center"/>
      </w:pPr>
      <w:r>
        <w:rPr>
          <w:rFonts w:ascii="Times New Roman" w:eastAsia="宋体" w:hAnsi="Times New Roman"/>
          <w:b/>
          <w:bCs/>
          <w:color w:val="000000"/>
          <w:sz w:val="18"/>
          <w:szCs w:val="18"/>
        </w:rPr>
        <w:t xml:space="preserve">(Unaudited) </w:t>
      </w:r>
    </w:p>
    <w:p w14:paraId="7B66F361" w14:textId="77777777" w:rsidR="0040300B" w:rsidRDefault="0040300B">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67"/>
        <w:gridCol w:w="2158"/>
        <w:gridCol w:w="37"/>
        <w:gridCol w:w="110"/>
        <w:gridCol w:w="409"/>
        <w:gridCol w:w="36"/>
        <w:gridCol w:w="36"/>
        <w:gridCol w:w="36"/>
        <w:gridCol w:w="36"/>
        <w:gridCol w:w="110"/>
        <w:gridCol w:w="351"/>
        <w:gridCol w:w="36"/>
        <w:gridCol w:w="36"/>
        <w:gridCol w:w="36"/>
        <w:gridCol w:w="36"/>
        <w:gridCol w:w="110"/>
        <w:gridCol w:w="351"/>
        <w:gridCol w:w="36"/>
        <w:gridCol w:w="36"/>
        <w:gridCol w:w="36"/>
        <w:gridCol w:w="36"/>
        <w:gridCol w:w="111"/>
        <w:gridCol w:w="531"/>
        <w:gridCol w:w="37"/>
        <w:gridCol w:w="36"/>
        <w:gridCol w:w="36"/>
        <w:gridCol w:w="36"/>
        <w:gridCol w:w="110"/>
        <w:gridCol w:w="540"/>
        <w:gridCol w:w="36"/>
        <w:gridCol w:w="36"/>
        <w:gridCol w:w="36"/>
        <w:gridCol w:w="36"/>
        <w:gridCol w:w="110"/>
        <w:gridCol w:w="540"/>
        <w:gridCol w:w="36"/>
        <w:gridCol w:w="36"/>
        <w:gridCol w:w="36"/>
        <w:gridCol w:w="36"/>
        <w:gridCol w:w="111"/>
        <w:gridCol w:w="712"/>
        <w:gridCol w:w="36"/>
        <w:gridCol w:w="36"/>
        <w:gridCol w:w="36"/>
        <w:gridCol w:w="36"/>
        <w:gridCol w:w="111"/>
        <w:gridCol w:w="712"/>
        <w:gridCol w:w="36"/>
      </w:tblGrid>
      <w:tr w:rsidR="0040300B" w14:paraId="7B66F392" w14:textId="77777777">
        <w:tc>
          <w:tcPr>
            <w:tcW w:w="50" w:type="pct"/>
            <w:shd w:val="clear" w:color="auto" w:fill="auto"/>
          </w:tcPr>
          <w:p w14:paraId="7B66F362" w14:textId="77777777" w:rsidR="0040300B" w:rsidRDefault="0040300B">
            <w:pPr>
              <w:rPr>
                <w:rFonts w:ascii="宋体"/>
              </w:rPr>
            </w:pPr>
          </w:p>
        </w:tc>
        <w:tc>
          <w:tcPr>
            <w:tcW w:w="1402" w:type="pct"/>
            <w:shd w:val="clear" w:color="auto" w:fill="auto"/>
          </w:tcPr>
          <w:p w14:paraId="7B66F363" w14:textId="77777777" w:rsidR="0040300B" w:rsidRDefault="0040300B">
            <w:pPr>
              <w:rPr>
                <w:rFonts w:ascii="宋体"/>
              </w:rPr>
            </w:pPr>
          </w:p>
        </w:tc>
        <w:tc>
          <w:tcPr>
            <w:tcW w:w="5" w:type="pct"/>
            <w:shd w:val="clear" w:color="auto" w:fill="auto"/>
          </w:tcPr>
          <w:p w14:paraId="7B66F364" w14:textId="77777777" w:rsidR="0040300B" w:rsidRDefault="0040300B">
            <w:pPr>
              <w:rPr>
                <w:rFonts w:ascii="宋体"/>
              </w:rPr>
            </w:pPr>
          </w:p>
        </w:tc>
        <w:tc>
          <w:tcPr>
            <w:tcW w:w="50" w:type="pct"/>
            <w:shd w:val="clear" w:color="auto" w:fill="auto"/>
          </w:tcPr>
          <w:p w14:paraId="7B66F365" w14:textId="77777777" w:rsidR="0040300B" w:rsidRDefault="0040300B">
            <w:pPr>
              <w:rPr>
                <w:rFonts w:ascii="宋体"/>
              </w:rPr>
            </w:pPr>
          </w:p>
        </w:tc>
        <w:tc>
          <w:tcPr>
            <w:tcW w:w="324" w:type="pct"/>
            <w:shd w:val="clear" w:color="auto" w:fill="auto"/>
          </w:tcPr>
          <w:p w14:paraId="7B66F366" w14:textId="77777777" w:rsidR="0040300B" w:rsidRDefault="0040300B">
            <w:pPr>
              <w:rPr>
                <w:rFonts w:ascii="宋体"/>
              </w:rPr>
            </w:pPr>
          </w:p>
        </w:tc>
        <w:tc>
          <w:tcPr>
            <w:tcW w:w="5" w:type="pct"/>
            <w:shd w:val="clear" w:color="auto" w:fill="auto"/>
          </w:tcPr>
          <w:p w14:paraId="7B66F367" w14:textId="77777777" w:rsidR="0040300B" w:rsidRDefault="0040300B">
            <w:pPr>
              <w:rPr>
                <w:rFonts w:ascii="宋体"/>
              </w:rPr>
            </w:pPr>
          </w:p>
        </w:tc>
        <w:tc>
          <w:tcPr>
            <w:tcW w:w="5" w:type="pct"/>
            <w:shd w:val="clear" w:color="auto" w:fill="auto"/>
          </w:tcPr>
          <w:p w14:paraId="7B66F368" w14:textId="77777777" w:rsidR="0040300B" w:rsidRDefault="0040300B">
            <w:pPr>
              <w:rPr>
                <w:rFonts w:ascii="宋体"/>
              </w:rPr>
            </w:pPr>
          </w:p>
        </w:tc>
        <w:tc>
          <w:tcPr>
            <w:tcW w:w="26" w:type="pct"/>
            <w:shd w:val="clear" w:color="auto" w:fill="auto"/>
          </w:tcPr>
          <w:p w14:paraId="7B66F369" w14:textId="77777777" w:rsidR="0040300B" w:rsidRDefault="0040300B">
            <w:pPr>
              <w:rPr>
                <w:rFonts w:ascii="宋体"/>
              </w:rPr>
            </w:pPr>
          </w:p>
        </w:tc>
        <w:tc>
          <w:tcPr>
            <w:tcW w:w="5" w:type="pct"/>
            <w:shd w:val="clear" w:color="auto" w:fill="auto"/>
          </w:tcPr>
          <w:p w14:paraId="7B66F36A" w14:textId="77777777" w:rsidR="0040300B" w:rsidRDefault="0040300B">
            <w:pPr>
              <w:rPr>
                <w:rFonts w:ascii="宋体"/>
              </w:rPr>
            </w:pPr>
          </w:p>
        </w:tc>
        <w:tc>
          <w:tcPr>
            <w:tcW w:w="50" w:type="pct"/>
            <w:shd w:val="clear" w:color="auto" w:fill="auto"/>
          </w:tcPr>
          <w:p w14:paraId="7B66F36B" w14:textId="77777777" w:rsidR="0040300B" w:rsidRDefault="0040300B">
            <w:pPr>
              <w:rPr>
                <w:rFonts w:ascii="宋体"/>
              </w:rPr>
            </w:pPr>
          </w:p>
        </w:tc>
        <w:tc>
          <w:tcPr>
            <w:tcW w:w="324" w:type="pct"/>
            <w:shd w:val="clear" w:color="auto" w:fill="auto"/>
          </w:tcPr>
          <w:p w14:paraId="7B66F36C" w14:textId="77777777" w:rsidR="0040300B" w:rsidRDefault="0040300B">
            <w:pPr>
              <w:rPr>
                <w:rFonts w:ascii="宋体"/>
              </w:rPr>
            </w:pPr>
          </w:p>
        </w:tc>
        <w:tc>
          <w:tcPr>
            <w:tcW w:w="5" w:type="pct"/>
            <w:shd w:val="clear" w:color="auto" w:fill="auto"/>
          </w:tcPr>
          <w:p w14:paraId="7B66F36D" w14:textId="77777777" w:rsidR="0040300B" w:rsidRDefault="0040300B">
            <w:pPr>
              <w:rPr>
                <w:rFonts w:ascii="宋体"/>
              </w:rPr>
            </w:pPr>
          </w:p>
        </w:tc>
        <w:tc>
          <w:tcPr>
            <w:tcW w:w="5" w:type="pct"/>
            <w:shd w:val="clear" w:color="auto" w:fill="auto"/>
          </w:tcPr>
          <w:p w14:paraId="7B66F36E" w14:textId="77777777" w:rsidR="0040300B" w:rsidRDefault="0040300B">
            <w:pPr>
              <w:rPr>
                <w:rFonts w:ascii="宋体"/>
              </w:rPr>
            </w:pPr>
          </w:p>
        </w:tc>
        <w:tc>
          <w:tcPr>
            <w:tcW w:w="26" w:type="pct"/>
            <w:shd w:val="clear" w:color="auto" w:fill="auto"/>
          </w:tcPr>
          <w:p w14:paraId="7B66F36F" w14:textId="77777777" w:rsidR="0040300B" w:rsidRDefault="0040300B">
            <w:pPr>
              <w:rPr>
                <w:rFonts w:ascii="宋体"/>
              </w:rPr>
            </w:pPr>
          </w:p>
        </w:tc>
        <w:tc>
          <w:tcPr>
            <w:tcW w:w="5" w:type="pct"/>
            <w:shd w:val="clear" w:color="auto" w:fill="auto"/>
          </w:tcPr>
          <w:p w14:paraId="7B66F370" w14:textId="77777777" w:rsidR="0040300B" w:rsidRDefault="0040300B">
            <w:pPr>
              <w:rPr>
                <w:rFonts w:ascii="宋体"/>
              </w:rPr>
            </w:pPr>
          </w:p>
        </w:tc>
        <w:tc>
          <w:tcPr>
            <w:tcW w:w="50" w:type="pct"/>
            <w:shd w:val="clear" w:color="auto" w:fill="auto"/>
          </w:tcPr>
          <w:p w14:paraId="7B66F371" w14:textId="77777777" w:rsidR="0040300B" w:rsidRDefault="0040300B">
            <w:pPr>
              <w:rPr>
                <w:rFonts w:ascii="宋体"/>
              </w:rPr>
            </w:pPr>
          </w:p>
        </w:tc>
        <w:tc>
          <w:tcPr>
            <w:tcW w:w="324" w:type="pct"/>
            <w:shd w:val="clear" w:color="auto" w:fill="auto"/>
          </w:tcPr>
          <w:p w14:paraId="7B66F372" w14:textId="77777777" w:rsidR="0040300B" w:rsidRDefault="0040300B">
            <w:pPr>
              <w:rPr>
                <w:rFonts w:ascii="宋体"/>
              </w:rPr>
            </w:pPr>
          </w:p>
        </w:tc>
        <w:tc>
          <w:tcPr>
            <w:tcW w:w="5" w:type="pct"/>
            <w:shd w:val="clear" w:color="auto" w:fill="auto"/>
          </w:tcPr>
          <w:p w14:paraId="7B66F373" w14:textId="77777777" w:rsidR="0040300B" w:rsidRDefault="0040300B">
            <w:pPr>
              <w:rPr>
                <w:rFonts w:ascii="宋体"/>
              </w:rPr>
            </w:pPr>
          </w:p>
        </w:tc>
        <w:tc>
          <w:tcPr>
            <w:tcW w:w="5" w:type="pct"/>
            <w:shd w:val="clear" w:color="auto" w:fill="auto"/>
          </w:tcPr>
          <w:p w14:paraId="7B66F374" w14:textId="77777777" w:rsidR="0040300B" w:rsidRDefault="0040300B">
            <w:pPr>
              <w:rPr>
                <w:rFonts w:ascii="宋体"/>
              </w:rPr>
            </w:pPr>
          </w:p>
        </w:tc>
        <w:tc>
          <w:tcPr>
            <w:tcW w:w="26" w:type="pct"/>
            <w:shd w:val="clear" w:color="auto" w:fill="auto"/>
          </w:tcPr>
          <w:p w14:paraId="7B66F375" w14:textId="77777777" w:rsidR="0040300B" w:rsidRDefault="0040300B">
            <w:pPr>
              <w:rPr>
                <w:rFonts w:ascii="宋体"/>
              </w:rPr>
            </w:pPr>
          </w:p>
        </w:tc>
        <w:tc>
          <w:tcPr>
            <w:tcW w:w="5" w:type="pct"/>
            <w:shd w:val="clear" w:color="auto" w:fill="auto"/>
          </w:tcPr>
          <w:p w14:paraId="7B66F376" w14:textId="77777777" w:rsidR="0040300B" w:rsidRDefault="0040300B">
            <w:pPr>
              <w:rPr>
                <w:rFonts w:ascii="宋体"/>
              </w:rPr>
            </w:pPr>
          </w:p>
        </w:tc>
        <w:tc>
          <w:tcPr>
            <w:tcW w:w="50" w:type="pct"/>
            <w:shd w:val="clear" w:color="auto" w:fill="auto"/>
          </w:tcPr>
          <w:p w14:paraId="7B66F377" w14:textId="77777777" w:rsidR="0040300B" w:rsidRDefault="0040300B">
            <w:pPr>
              <w:rPr>
                <w:rFonts w:ascii="宋体"/>
              </w:rPr>
            </w:pPr>
          </w:p>
        </w:tc>
        <w:tc>
          <w:tcPr>
            <w:tcW w:w="353" w:type="pct"/>
            <w:shd w:val="clear" w:color="auto" w:fill="auto"/>
          </w:tcPr>
          <w:p w14:paraId="7B66F378" w14:textId="77777777" w:rsidR="0040300B" w:rsidRDefault="0040300B">
            <w:pPr>
              <w:rPr>
                <w:rFonts w:ascii="宋体"/>
              </w:rPr>
            </w:pPr>
          </w:p>
        </w:tc>
        <w:tc>
          <w:tcPr>
            <w:tcW w:w="5" w:type="pct"/>
            <w:shd w:val="clear" w:color="auto" w:fill="auto"/>
          </w:tcPr>
          <w:p w14:paraId="7B66F379" w14:textId="77777777" w:rsidR="0040300B" w:rsidRDefault="0040300B">
            <w:pPr>
              <w:rPr>
                <w:rFonts w:ascii="宋体"/>
              </w:rPr>
            </w:pPr>
          </w:p>
        </w:tc>
        <w:tc>
          <w:tcPr>
            <w:tcW w:w="5" w:type="pct"/>
            <w:shd w:val="clear" w:color="auto" w:fill="auto"/>
          </w:tcPr>
          <w:p w14:paraId="7B66F37A" w14:textId="77777777" w:rsidR="0040300B" w:rsidRDefault="0040300B">
            <w:pPr>
              <w:rPr>
                <w:rFonts w:ascii="宋体"/>
              </w:rPr>
            </w:pPr>
          </w:p>
        </w:tc>
        <w:tc>
          <w:tcPr>
            <w:tcW w:w="26" w:type="pct"/>
            <w:shd w:val="clear" w:color="auto" w:fill="auto"/>
          </w:tcPr>
          <w:p w14:paraId="7B66F37B" w14:textId="77777777" w:rsidR="0040300B" w:rsidRDefault="0040300B">
            <w:pPr>
              <w:rPr>
                <w:rFonts w:ascii="宋体"/>
              </w:rPr>
            </w:pPr>
          </w:p>
        </w:tc>
        <w:tc>
          <w:tcPr>
            <w:tcW w:w="5" w:type="pct"/>
            <w:shd w:val="clear" w:color="auto" w:fill="auto"/>
          </w:tcPr>
          <w:p w14:paraId="7B66F37C" w14:textId="77777777" w:rsidR="0040300B" w:rsidRDefault="0040300B">
            <w:pPr>
              <w:rPr>
                <w:rFonts w:ascii="宋体"/>
              </w:rPr>
            </w:pPr>
          </w:p>
        </w:tc>
        <w:tc>
          <w:tcPr>
            <w:tcW w:w="50" w:type="pct"/>
            <w:shd w:val="clear" w:color="auto" w:fill="auto"/>
          </w:tcPr>
          <w:p w14:paraId="7B66F37D" w14:textId="77777777" w:rsidR="0040300B" w:rsidRDefault="0040300B">
            <w:pPr>
              <w:rPr>
                <w:rFonts w:ascii="宋体"/>
              </w:rPr>
            </w:pPr>
          </w:p>
        </w:tc>
        <w:tc>
          <w:tcPr>
            <w:tcW w:w="353" w:type="pct"/>
            <w:shd w:val="clear" w:color="auto" w:fill="auto"/>
          </w:tcPr>
          <w:p w14:paraId="7B66F37E" w14:textId="77777777" w:rsidR="0040300B" w:rsidRDefault="0040300B">
            <w:pPr>
              <w:rPr>
                <w:rFonts w:ascii="宋体"/>
              </w:rPr>
            </w:pPr>
          </w:p>
        </w:tc>
        <w:tc>
          <w:tcPr>
            <w:tcW w:w="5" w:type="pct"/>
            <w:shd w:val="clear" w:color="auto" w:fill="auto"/>
          </w:tcPr>
          <w:p w14:paraId="7B66F37F" w14:textId="77777777" w:rsidR="0040300B" w:rsidRDefault="0040300B">
            <w:pPr>
              <w:rPr>
                <w:rFonts w:ascii="宋体"/>
              </w:rPr>
            </w:pPr>
          </w:p>
        </w:tc>
        <w:tc>
          <w:tcPr>
            <w:tcW w:w="5" w:type="pct"/>
            <w:shd w:val="clear" w:color="auto" w:fill="auto"/>
          </w:tcPr>
          <w:p w14:paraId="7B66F380" w14:textId="77777777" w:rsidR="0040300B" w:rsidRDefault="0040300B">
            <w:pPr>
              <w:rPr>
                <w:rFonts w:ascii="宋体"/>
              </w:rPr>
            </w:pPr>
          </w:p>
        </w:tc>
        <w:tc>
          <w:tcPr>
            <w:tcW w:w="26" w:type="pct"/>
            <w:shd w:val="clear" w:color="auto" w:fill="auto"/>
          </w:tcPr>
          <w:p w14:paraId="7B66F381" w14:textId="77777777" w:rsidR="0040300B" w:rsidRDefault="0040300B">
            <w:pPr>
              <w:rPr>
                <w:rFonts w:ascii="宋体"/>
              </w:rPr>
            </w:pPr>
          </w:p>
        </w:tc>
        <w:tc>
          <w:tcPr>
            <w:tcW w:w="5" w:type="pct"/>
            <w:shd w:val="clear" w:color="auto" w:fill="auto"/>
          </w:tcPr>
          <w:p w14:paraId="7B66F382" w14:textId="77777777" w:rsidR="0040300B" w:rsidRDefault="0040300B">
            <w:pPr>
              <w:rPr>
                <w:rFonts w:ascii="宋体"/>
              </w:rPr>
            </w:pPr>
          </w:p>
        </w:tc>
        <w:tc>
          <w:tcPr>
            <w:tcW w:w="50" w:type="pct"/>
            <w:shd w:val="clear" w:color="auto" w:fill="auto"/>
          </w:tcPr>
          <w:p w14:paraId="7B66F383" w14:textId="77777777" w:rsidR="0040300B" w:rsidRDefault="0040300B">
            <w:pPr>
              <w:rPr>
                <w:rFonts w:ascii="宋体"/>
              </w:rPr>
            </w:pPr>
          </w:p>
        </w:tc>
        <w:tc>
          <w:tcPr>
            <w:tcW w:w="389" w:type="pct"/>
            <w:shd w:val="clear" w:color="auto" w:fill="auto"/>
          </w:tcPr>
          <w:p w14:paraId="7B66F384" w14:textId="77777777" w:rsidR="0040300B" w:rsidRDefault="0040300B">
            <w:pPr>
              <w:rPr>
                <w:rFonts w:ascii="宋体"/>
              </w:rPr>
            </w:pPr>
          </w:p>
        </w:tc>
        <w:tc>
          <w:tcPr>
            <w:tcW w:w="5" w:type="pct"/>
            <w:shd w:val="clear" w:color="auto" w:fill="auto"/>
          </w:tcPr>
          <w:p w14:paraId="7B66F385" w14:textId="77777777" w:rsidR="0040300B" w:rsidRDefault="0040300B">
            <w:pPr>
              <w:rPr>
                <w:rFonts w:ascii="宋体"/>
              </w:rPr>
            </w:pPr>
          </w:p>
        </w:tc>
        <w:tc>
          <w:tcPr>
            <w:tcW w:w="5" w:type="pct"/>
            <w:shd w:val="clear" w:color="auto" w:fill="auto"/>
          </w:tcPr>
          <w:p w14:paraId="7B66F386" w14:textId="77777777" w:rsidR="0040300B" w:rsidRDefault="0040300B">
            <w:pPr>
              <w:rPr>
                <w:rFonts w:ascii="宋体"/>
              </w:rPr>
            </w:pPr>
          </w:p>
        </w:tc>
        <w:tc>
          <w:tcPr>
            <w:tcW w:w="26" w:type="pct"/>
            <w:shd w:val="clear" w:color="auto" w:fill="auto"/>
          </w:tcPr>
          <w:p w14:paraId="7B66F387" w14:textId="77777777" w:rsidR="0040300B" w:rsidRDefault="0040300B">
            <w:pPr>
              <w:rPr>
                <w:rFonts w:ascii="宋体"/>
              </w:rPr>
            </w:pPr>
          </w:p>
        </w:tc>
        <w:tc>
          <w:tcPr>
            <w:tcW w:w="5" w:type="pct"/>
            <w:shd w:val="clear" w:color="auto" w:fill="auto"/>
          </w:tcPr>
          <w:p w14:paraId="7B66F388" w14:textId="77777777" w:rsidR="0040300B" w:rsidRDefault="0040300B">
            <w:pPr>
              <w:rPr>
                <w:rFonts w:ascii="宋体"/>
              </w:rPr>
            </w:pPr>
          </w:p>
        </w:tc>
        <w:tc>
          <w:tcPr>
            <w:tcW w:w="50" w:type="pct"/>
            <w:shd w:val="clear" w:color="auto" w:fill="auto"/>
          </w:tcPr>
          <w:p w14:paraId="7B66F389" w14:textId="77777777" w:rsidR="0040300B" w:rsidRDefault="0040300B">
            <w:pPr>
              <w:rPr>
                <w:rFonts w:ascii="宋体"/>
              </w:rPr>
            </w:pPr>
          </w:p>
        </w:tc>
        <w:tc>
          <w:tcPr>
            <w:tcW w:w="389" w:type="pct"/>
            <w:shd w:val="clear" w:color="auto" w:fill="auto"/>
          </w:tcPr>
          <w:p w14:paraId="7B66F38A" w14:textId="77777777" w:rsidR="0040300B" w:rsidRDefault="0040300B">
            <w:pPr>
              <w:rPr>
                <w:rFonts w:ascii="宋体"/>
              </w:rPr>
            </w:pPr>
          </w:p>
        </w:tc>
        <w:tc>
          <w:tcPr>
            <w:tcW w:w="5" w:type="pct"/>
            <w:shd w:val="clear" w:color="auto" w:fill="auto"/>
          </w:tcPr>
          <w:p w14:paraId="7B66F38B" w14:textId="77777777" w:rsidR="0040300B" w:rsidRDefault="0040300B">
            <w:pPr>
              <w:rPr>
                <w:rFonts w:ascii="宋体"/>
              </w:rPr>
            </w:pPr>
          </w:p>
        </w:tc>
        <w:tc>
          <w:tcPr>
            <w:tcW w:w="5" w:type="pct"/>
            <w:shd w:val="clear" w:color="auto" w:fill="auto"/>
          </w:tcPr>
          <w:p w14:paraId="7B66F38C" w14:textId="77777777" w:rsidR="0040300B" w:rsidRDefault="0040300B">
            <w:pPr>
              <w:rPr>
                <w:rFonts w:ascii="宋体"/>
              </w:rPr>
            </w:pPr>
          </w:p>
        </w:tc>
        <w:tc>
          <w:tcPr>
            <w:tcW w:w="26" w:type="pct"/>
            <w:shd w:val="clear" w:color="auto" w:fill="auto"/>
          </w:tcPr>
          <w:p w14:paraId="7B66F38D" w14:textId="77777777" w:rsidR="0040300B" w:rsidRDefault="0040300B">
            <w:pPr>
              <w:rPr>
                <w:rFonts w:ascii="宋体"/>
              </w:rPr>
            </w:pPr>
          </w:p>
        </w:tc>
        <w:tc>
          <w:tcPr>
            <w:tcW w:w="5" w:type="pct"/>
            <w:shd w:val="clear" w:color="auto" w:fill="auto"/>
          </w:tcPr>
          <w:p w14:paraId="7B66F38E" w14:textId="77777777" w:rsidR="0040300B" w:rsidRDefault="0040300B">
            <w:pPr>
              <w:rPr>
                <w:rFonts w:ascii="宋体"/>
              </w:rPr>
            </w:pPr>
          </w:p>
        </w:tc>
        <w:tc>
          <w:tcPr>
            <w:tcW w:w="50" w:type="pct"/>
            <w:shd w:val="clear" w:color="auto" w:fill="auto"/>
          </w:tcPr>
          <w:p w14:paraId="7B66F38F" w14:textId="77777777" w:rsidR="0040300B" w:rsidRDefault="0040300B">
            <w:pPr>
              <w:rPr>
                <w:rFonts w:ascii="宋体"/>
              </w:rPr>
            </w:pPr>
          </w:p>
        </w:tc>
        <w:tc>
          <w:tcPr>
            <w:tcW w:w="390" w:type="pct"/>
            <w:shd w:val="clear" w:color="auto" w:fill="auto"/>
          </w:tcPr>
          <w:p w14:paraId="7B66F390" w14:textId="77777777" w:rsidR="0040300B" w:rsidRDefault="0040300B">
            <w:pPr>
              <w:rPr>
                <w:rFonts w:ascii="宋体"/>
              </w:rPr>
            </w:pPr>
          </w:p>
        </w:tc>
        <w:tc>
          <w:tcPr>
            <w:tcW w:w="5" w:type="pct"/>
            <w:shd w:val="clear" w:color="auto" w:fill="auto"/>
          </w:tcPr>
          <w:p w14:paraId="7B66F391" w14:textId="77777777" w:rsidR="0040300B" w:rsidRDefault="0040300B">
            <w:pPr>
              <w:rPr>
                <w:rFonts w:ascii="宋体"/>
              </w:rPr>
            </w:pPr>
          </w:p>
        </w:tc>
      </w:tr>
      <w:tr w:rsidR="0040300B" w14:paraId="7B66F39D" w14:textId="77777777">
        <w:tc>
          <w:tcPr>
            <w:tcW w:w="0" w:type="auto"/>
            <w:gridSpan w:val="3"/>
            <w:shd w:val="clear" w:color="auto" w:fill="auto"/>
            <w:tcMar>
              <w:top w:w="0" w:type="dxa"/>
              <w:left w:w="20" w:type="dxa"/>
              <w:bottom w:w="0" w:type="dxa"/>
              <w:right w:w="20" w:type="dxa"/>
            </w:tcMar>
          </w:tcPr>
          <w:p w14:paraId="7B66F393"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394" w14:textId="77777777" w:rsidR="0040300B" w:rsidRDefault="00BB2D44">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tcPr>
          <w:p w14:paraId="7B66F39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39C" w14:textId="77777777" w:rsidR="0040300B" w:rsidRDefault="0040300B">
            <w:pPr>
              <w:rPr>
                <w:rFonts w:ascii="宋体"/>
              </w:rPr>
            </w:pPr>
          </w:p>
        </w:tc>
      </w:tr>
      <w:tr w:rsidR="0040300B" w14:paraId="7B66F3AE" w14:textId="77777777">
        <w:tc>
          <w:tcPr>
            <w:tcW w:w="0" w:type="auto"/>
            <w:gridSpan w:val="3"/>
            <w:shd w:val="clear" w:color="auto" w:fill="auto"/>
            <w:tcMar>
              <w:top w:w="40" w:type="dxa"/>
              <w:left w:w="20" w:type="dxa"/>
              <w:bottom w:w="40" w:type="dxa"/>
              <w:right w:w="20" w:type="dxa"/>
            </w:tcMar>
            <w:vAlign w:val="bottom"/>
          </w:tcPr>
          <w:p w14:paraId="7B66F39E" w14:textId="77777777" w:rsidR="0040300B" w:rsidRDefault="00BB2D44">
            <w:pPr>
              <w:textAlignment w:val="bottom"/>
            </w:pPr>
            <w:r>
              <w:rPr>
                <w:rFonts w:ascii="Times New Roman" w:eastAsia="宋体" w:hAnsi="Times New Roman"/>
                <w:color w:val="000000"/>
                <w:sz w:val="16"/>
                <w:szCs w:val="16"/>
                <w:u w:val="single"/>
              </w:rPr>
              <w:t>July 25, 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39F" w14:textId="77777777" w:rsidR="0040300B" w:rsidRDefault="00BB2D44">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tcPr>
          <w:p w14:paraId="7B66F3A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3A1" w14:textId="77777777" w:rsidR="0040300B" w:rsidRDefault="00BB2D44">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tcPr>
          <w:p w14:paraId="7B66F3A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3A3" w14:textId="77777777" w:rsidR="0040300B" w:rsidRDefault="00BB2D44">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tcPr>
          <w:p w14:paraId="7B66F3A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3A5" w14:textId="77777777" w:rsidR="0040300B" w:rsidRDefault="00BB2D44">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tcPr>
          <w:p w14:paraId="7B66F3A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3A7" w14:textId="77777777" w:rsidR="0040300B" w:rsidRDefault="00BB2D44">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tcPr>
          <w:p w14:paraId="7B66F3A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3A9" w14:textId="77777777" w:rsidR="0040300B" w:rsidRDefault="00BB2D44">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tcPr>
          <w:p w14:paraId="7B66F3A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3AB" w14:textId="77777777" w:rsidR="0040300B" w:rsidRDefault="00BB2D44">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tcPr>
          <w:p w14:paraId="7B66F3A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3AD" w14:textId="77777777" w:rsidR="0040300B" w:rsidRDefault="00BB2D44">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BB2D44" w14:paraId="7B66F3CF" w14:textId="77777777">
        <w:tc>
          <w:tcPr>
            <w:tcW w:w="0" w:type="auto"/>
            <w:gridSpan w:val="3"/>
            <w:shd w:val="clear" w:color="auto" w:fill="CCEEFF"/>
            <w:tcMar>
              <w:top w:w="40" w:type="dxa"/>
              <w:left w:w="20" w:type="dxa"/>
              <w:bottom w:w="40" w:type="dxa"/>
              <w:right w:w="20" w:type="dxa"/>
            </w:tcMar>
          </w:tcPr>
          <w:p w14:paraId="7B66F3AF" w14:textId="77777777" w:rsidR="0040300B" w:rsidRDefault="00BB2D44">
            <w:pPr>
              <w:textAlignment w:val="top"/>
            </w:pPr>
            <w:r>
              <w:rPr>
                <w:rFonts w:ascii="Times New Roman" w:eastAsia="宋体" w:hAnsi="Times New Roman"/>
                <w:color w:val="000000"/>
                <w:sz w:val="18"/>
                <w:szCs w:val="18"/>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3B0"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B1" w14:textId="77777777" w:rsidR="0040300B" w:rsidRDefault="00BB2D44">
            <w:pPr>
              <w:jc w:val="right"/>
              <w:textAlignment w:val="bottom"/>
            </w:pPr>
            <w:r>
              <w:rPr>
                <w:rFonts w:ascii="Times New Roman" w:eastAsia="宋体" w:hAnsi="Times New Roman"/>
                <w:color w:val="000000"/>
                <w:sz w:val="18"/>
                <w:szCs w:val="18"/>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B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B4"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B5" w14:textId="77777777" w:rsidR="0040300B" w:rsidRDefault="00BB2D44">
            <w:pPr>
              <w:jc w:val="right"/>
              <w:textAlignment w:val="bottom"/>
            </w:pPr>
            <w:r>
              <w:rPr>
                <w:rFonts w:ascii="Times New Roman" w:eastAsia="宋体" w:hAnsi="Times New Roman"/>
                <w:color w:val="000000"/>
                <w:sz w:val="18"/>
                <w:szCs w:val="18"/>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B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B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B8"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B9" w14:textId="77777777" w:rsidR="0040300B" w:rsidRDefault="00BB2D44">
            <w:pPr>
              <w:jc w:val="right"/>
              <w:textAlignment w:val="bottom"/>
            </w:pPr>
            <w:r>
              <w:rPr>
                <w:rFonts w:ascii="Times New Roman" w:eastAsia="宋体" w:hAnsi="Times New Roman"/>
                <w:color w:val="000000"/>
                <w:sz w:val="18"/>
                <w:szCs w:val="18"/>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B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B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BC"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BD" w14:textId="77777777" w:rsidR="0040300B" w:rsidRDefault="00BB2D44">
            <w:pPr>
              <w:jc w:val="right"/>
              <w:textAlignment w:val="bottom"/>
            </w:pPr>
            <w:r>
              <w:rPr>
                <w:rFonts w:ascii="Times New Roman" w:eastAsia="宋体" w:hAnsi="Times New Roman"/>
                <w:color w:val="000000"/>
                <w:sz w:val="18"/>
                <w:szCs w:val="18"/>
              </w:rPr>
              <w:t>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B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C0"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C1" w14:textId="77777777" w:rsidR="0040300B" w:rsidRDefault="00BB2D44">
            <w:pPr>
              <w:jc w:val="right"/>
              <w:textAlignment w:val="bottom"/>
            </w:pPr>
            <w:r>
              <w:rPr>
                <w:rFonts w:ascii="Times New Roman" w:eastAsia="宋体" w:hAnsi="Times New Roman"/>
                <w:color w:val="000000"/>
                <w:sz w:val="18"/>
                <w:szCs w:val="18"/>
              </w:rPr>
              <w:t>1,889 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C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C4"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C5" w14:textId="77777777" w:rsidR="0040300B" w:rsidRDefault="00BB2D44">
            <w:pPr>
              <w:jc w:val="right"/>
              <w:textAlignment w:val="bottom"/>
            </w:pPr>
            <w:r>
              <w:rPr>
                <w:rFonts w:ascii="Times New Roman" w:eastAsia="宋体" w:hAnsi="Times New Roman"/>
                <w:color w:val="000000"/>
                <w:sz w:val="18"/>
                <w:szCs w:val="18"/>
              </w:rPr>
              <w:t>2,013 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C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C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C8"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C9" w14:textId="77777777" w:rsidR="0040300B" w:rsidRDefault="00BB2D44">
            <w:pPr>
              <w:jc w:val="right"/>
              <w:textAlignment w:val="bottom"/>
            </w:pPr>
            <w:r>
              <w:rPr>
                <w:rFonts w:ascii="Times New Roman" w:eastAsia="宋体" w:hAnsi="Times New Roman"/>
                <w:color w:val="000000"/>
                <w:sz w:val="18"/>
                <w:szCs w:val="18"/>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C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3CC"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3CD" w14:textId="77777777" w:rsidR="0040300B" w:rsidRDefault="00BB2D44">
            <w:pPr>
              <w:jc w:val="right"/>
              <w:textAlignment w:val="bottom"/>
            </w:pPr>
            <w:r>
              <w:rPr>
                <w:rFonts w:ascii="Times New Roman" w:eastAsia="宋体" w:hAnsi="Times New Roman"/>
                <w:color w:val="000000"/>
                <w:sz w:val="18"/>
                <w:szCs w:val="18"/>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3CE" w14:textId="77777777" w:rsidR="0040300B" w:rsidRDefault="0040300B">
            <w:pPr>
              <w:jc w:val="right"/>
              <w:rPr>
                <w:rFonts w:ascii="宋体"/>
              </w:rPr>
            </w:pPr>
          </w:p>
        </w:tc>
      </w:tr>
      <w:tr w:rsidR="0040300B" w14:paraId="7B66F3E8" w14:textId="77777777">
        <w:tc>
          <w:tcPr>
            <w:tcW w:w="0" w:type="auto"/>
            <w:gridSpan w:val="3"/>
            <w:shd w:val="clear" w:color="auto" w:fill="FFFFFF"/>
            <w:tcMar>
              <w:top w:w="40" w:type="dxa"/>
              <w:left w:w="20" w:type="dxa"/>
              <w:bottom w:w="40" w:type="dxa"/>
              <w:right w:w="20" w:type="dxa"/>
            </w:tcMar>
          </w:tcPr>
          <w:p w14:paraId="7B66F3D0" w14:textId="77777777" w:rsidR="0040300B" w:rsidRDefault="00BB2D44">
            <w:pPr>
              <w:textAlignment w:val="top"/>
            </w:pPr>
            <w:r>
              <w:rPr>
                <w:rFonts w:ascii="Times New Roman" w:eastAsia="宋体" w:hAnsi="Times New Roman"/>
                <w:color w:val="000000"/>
                <w:sz w:val="18"/>
                <w:szCs w:val="18"/>
              </w:rPr>
              <w:t>Loan receivables</w:t>
            </w:r>
          </w:p>
        </w:tc>
        <w:tc>
          <w:tcPr>
            <w:tcW w:w="0" w:type="auto"/>
            <w:gridSpan w:val="2"/>
            <w:shd w:val="clear" w:color="auto" w:fill="FFFFFF"/>
            <w:tcMar>
              <w:top w:w="40" w:type="dxa"/>
              <w:left w:w="20" w:type="dxa"/>
              <w:bottom w:w="40" w:type="dxa"/>
              <w:right w:w="0" w:type="dxa"/>
            </w:tcMar>
            <w:vAlign w:val="bottom"/>
          </w:tcPr>
          <w:p w14:paraId="7B66F3D1" w14:textId="77777777" w:rsidR="0040300B" w:rsidRDefault="00BB2D44">
            <w:pPr>
              <w:jc w:val="right"/>
              <w:textAlignment w:val="bottom"/>
            </w:pPr>
            <w:r>
              <w:rPr>
                <w:rFonts w:ascii="Times New Roman" w:eastAsia="宋体" w:hAnsi="Times New Roman"/>
                <w:color w:val="000000"/>
                <w:sz w:val="18"/>
                <w:szCs w:val="18"/>
              </w:rPr>
              <w:t>129 </w:t>
            </w:r>
          </w:p>
        </w:tc>
        <w:tc>
          <w:tcPr>
            <w:tcW w:w="0" w:type="auto"/>
            <w:shd w:val="clear" w:color="auto" w:fill="FFFFFF"/>
            <w:tcMar>
              <w:top w:w="40" w:type="dxa"/>
              <w:left w:w="0" w:type="dxa"/>
              <w:bottom w:w="40" w:type="dxa"/>
              <w:right w:w="20" w:type="dxa"/>
            </w:tcMar>
            <w:vAlign w:val="bottom"/>
          </w:tcPr>
          <w:p w14:paraId="7B66F3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D4" w14:textId="77777777" w:rsidR="0040300B" w:rsidRDefault="00BB2D44">
            <w:pPr>
              <w:jc w:val="right"/>
              <w:textAlignment w:val="bottom"/>
            </w:pPr>
            <w:r>
              <w:rPr>
                <w:rFonts w:ascii="Times New Roman" w:eastAsia="宋体" w:hAnsi="Times New Roman"/>
                <w:color w:val="000000"/>
                <w:sz w:val="18"/>
                <w:szCs w:val="18"/>
              </w:rPr>
              <w:t>78 </w:t>
            </w:r>
          </w:p>
        </w:tc>
        <w:tc>
          <w:tcPr>
            <w:tcW w:w="0" w:type="auto"/>
            <w:shd w:val="clear" w:color="auto" w:fill="FFFFFF"/>
            <w:tcMar>
              <w:top w:w="40" w:type="dxa"/>
              <w:left w:w="0" w:type="dxa"/>
              <w:bottom w:w="40" w:type="dxa"/>
              <w:right w:w="20" w:type="dxa"/>
            </w:tcMar>
            <w:vAlign w:val="bottom"/>
          </w:tcPr>
          <w:p w14:paraId="7B66F3D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D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D7" w14:textId="77777777" w:rsidR="0040300B" w:rsidRDefault="00BB2D44">
            <w:pPr>
              <w:jc w:val="right"/>
              <w:textAlignment w:val="bottom"/>
            </w:pPr>
            <w:r>
              <w:rPr>
                <w:rFonts w:ascii="Times New Roman" w:eastAsia="宋体" w:hAnsi="Times New Roman"/>
                <w:color w:val="000000"/>
                <w:sz w:val="18"/>
                <w:szCs w:val="18"/>
              </w:rPr>
              <w:t>78 </w:t>
            </w:r>
          </w:p>
        </w:tc>
        <w:tc>
          <w:tcPr>
            <w:tcW w:w="0" w:type="auto"/>
            <w:shd w:val="clear" w:color="auto" w:fill="FFFFFF"/>
            <w:tcMar>
              <w:top w:w="40" w:type="dxa"/>
              <w:left w:w="0" w:type="dxa"/>
              <w:bottom w:w="40" w:type="dxa"/>
              <w:right w:w="20" w:type="dxa"/>
            </w:tcMar>
            <w:vAlign w:val="bottom"/>
          </w:tcPr>
          <w:p w14:paraId="7B66F3D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D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DA" w14:textId="77777777" w:rsidR="0040300B" w:rsidRDefault="00BB2D44">
            <w:pPr>
              <w:jc w:val="right"/>
              <w:textAlignment w:val="bottom"/>
            </w:pPr>
            <w:r>
              <w:rPr>
                <w:rFonts w:ascii="Times New Roman" w:eastAsia="宋体" w:hAnsi="Times New Roman"/>
                <w:color w:val="000000"/>
                <w:sz w:val="18"/>
                <w:szCs w:val="18"/>
              </w:rPr>
              <w:t>285 </w:t>
            </w:r>
          </w:p>
        </w:tc>
        <w:tc>
          <w:tcPr>
            <w:tcW w:w="0" w:type="auto"/>
            <w:shd w:val="clear" w:color="auto" w:fill="FFFFFF"/>
            <w:tcMar>
              <w:top w:w="40" w:type="dxa"/>
              <w:left w:w="0" w:type="dxa"/>
              <w:bottom w:w="40" w:type="dxa"/>
              <w:right w:w="20" w:type="dxa"/>
            </w:tcMar>
            <w:vAlign w:val="bottom"/>
          </w:tcPr>
          <w:p w14:paraId="7B66F3D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D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DD" w14:textId="77777777" w:rsidR="0040300B" w:rsidRDefault="00BB2D44">
            <w:pPr>
              <w:jc w:val="right"/>
              <w:textAlignment w:val="bottom"/>
            </w:pPr>
            <w:r>
              <w:rPr>
                <w:rFonts w:ascii="Times New Roman" w:eastAsia="宋体" w:hAnsi="Times New Roman"/>
                <w:color w:val="000000"/>
                <w:sz w:val="18"/>
                <w:szCs w:val="18"/>
              </w:rPr>
              <w:t>5,</w:t>
            </w:r>
            <w:r>
              <w:rPr>
                <w:rFonts w:ascii="Times New Roman" w:eastAsia="宋体" w:hAnsi="Times New Roman"/>
                <w:color w:val="000000"/>
                <w:sz w:val="18"/>
                <w:szCs w:val="18"/>
              </w:rPr>
              <w:t>652 </w:t>
            </w:r>
          </w:p>
        </w:tc>
        <w:tc>
          <w:tcPr>
            <w:tcW w:w="0" w:type="auto"/>
            <w:shd w:val="clear" w:color="auto" w:fill="FFFFFF"/>
            <w:tcMar>
              <w:top w:w="40" w:type="dxa"/>
              <w:left w:w="0" w:type="dxa"/>
              <w:bottom w:w="40" w:type="dxa"/>
              <w:right w:w="20" w:type="dxa"/>
            </w:tcMar>
            <w:vAlign w:val="bottom"/>
          </w:tcPr>
          <w:p w14:paraId="7B66F3D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D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E0" w14:textId="77777777" w:rsidR="0040300B" w:rsidRDefault="00BB2D44">
            <w:pPr>
              <w:jc w:val="right"/>
              <w:textAlignment w:val="bottom"/>
            </w:pPr>
            <w:r>
              <w:rPr>
                <w:rFonts w:ascii="Times New Roman" w:eastAsia="宋体" w:hAnsi="Times New Roman"/>
                <w:color w:val="000000"/>
                <w:sz w:val="18"/>
                <w:szCs w:val="18"/>
              </w:rPr>
              <w:t>5,937 </w:t>
            </w:r>
          </w:p>
        </w:tc>
        <w:tc>
          <w:tcPr>
            <w:tcW w:w="0" w:type="auto"/>
            <w:shd w:val="clear" w:color="auto" w:fill="FFFFFF"/>
            <w:tcMar>
              <w:top w:w="40" w:type="dxa"/>
              <w:left w:w="0" w:type="dxa"/>
              <w:bottom w:w="40" w:type="dxa"/>
              <w:right w:w="20" w:type="dxa"/>
            </w:tcMar>
            <w:vAlign w:val="bottom"/>
          </w:tcPr>
          <w:p w14:paraId="7B66F3E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E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E3" w14:textId="77777777" w:rsidR="0040300B" w:rsidRDefault="00BB2D44">
            <w:pPr>
              <w:jc w:val="right"/>
              <w:textAlignment w:val="bottom"/>
            </w:pPr>
            <w:r>
              <w:rPr>
                <w:rFonts w:ascii="Times New Roman" w:eastAsia="宋体" w:hAnsi="Times New Roman"/>
                <w:color w:val="000000"/>
                <w:sz w:val="18"/>
                <w:szCs w:val="18"/>
              </w:rPr>
              <w:t>65 </w:t>
            </w:r>
          </w:p>
        </w:tc>
        <w:tc>
          <w:tcPr>
            <w:tcW w:w="0" w:type="auto"/>
            <w:shd w:val="clear" w:color="auto" w:fill="FFFFFF"/>
            <w:tcMar>
              <w:top w:w="40" w:type="dxa"/>
              <w:left w:w="0" w:type="dxa"/>
              <w:bottom w:w="40" w:type="dxa"/>
              <w:right w:w="20" w:type="dxa"/>
            </w:tcMar>
            <w:vAlign w:val="bottom"/>
          </w:tcPr>
          <w:p w14:paraId="7B66F3E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3E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3E6" w14:textId="77777777" w:rsidR="0040300B" w:rsidRDefault="00BB2D44">
            <w:pPr>
              <w:jc w:val="right"/>
              <w:textAlignment w:val="bottom"/>
            </w:pPr>
            <w:r>
              <w:rPr>
                <w:rFonts w:ascii="Times New Roman" w:eastAsia="宋体" w:hAnsi="Times New Roman"/>
                <w:color w:val="000000"/>
                <w:sz w:val="18"/>
                <w:szCs w:val="18"/>
              </w:rPr>
              <w:t>65 </w:t>
            </w:r>
          </w:p>
        </w:tc>
        <w:tc>
          <w:tcPr>
            <w:tcW w:w="0" w:type="auto"/>
            <w:shd w:val="clear" w:color="auto" w:fill="FFFFFF"/>
            <w:tcMar>
              <w:top w:w="40" w:type="dxa"/>
              <w:left w:w="0" w:type="dxa"/>
              <w:bottom w:w="40" w:type="dxa"/>
              <w:right w:w="20" w:type="dxa"/>
            </w:tcMar>
            <w:vAlign w:val="bottom"/>
          </w:tcPr>
          <w:p w14:paraId="7B66F3E7" w14:textId="77777777" w:rsidR="0040300B" w:rsidRDefault="0040300B">
            <w:pPr>
              <w:jc w:val="right"/>
              <w:rPr>
                <w:rFonts w:ascii="宋体"/>
              </w:rPr>
            </w:pPr>
          </w:p>
        </w:tc>
      </w:tr>
      <w:tr w:rsidR="0040300B" w14:paraId="7B66F401" w14:textId="77777777">
        <w:tc>
          <w:tcPr>
            <w:tcW w:w="0" w:type="auto"/>
            <w:gridSpan w:val="3"/>
            <w:shd w:val="clear" w:color="auto" w:fill="CCEEFF"/>
            <w:tcMar>
              <w:top w:w="40" w:type="dxa"/>
              <w:left w:w="20" w:type="dxa"/>
              <w:bottom w:w="40" w:type="dxa"/>
              <w:right w:w="20" w:type="dxa"/>
            </w:tcMar>
          </w:tcPr>
          <w:p w14:paraId="7B66F3E9" w14:textId="77777777" w:rsidR="0040300B" w:rsidRDefault="00BB2D44">
            <w:pPr>
              <w:textAlignment w:val="top"/>
            </w:pPr>
            <w:r>
              <w:rPr>
                <w:rFonts w:ascii="Times New Roman" w:eastAsia="宋体" w:hAnsi="Times New Roman"/>
                <w:color w:val="000000"/>
                <w:sz w:val="18"/>
                <w:szCs w:val="18"/>
              </w:rPr>
              <w:t>Financed service contracts</w:t>
            </w:r>
          </w:p>
        </w:tc>
        <w:tc>
          <w:tcPr>
            <w:tcW w:w="0" w:type="auto"/>
            <w:gridSpan w:val="2"/>
            <w:shd w:val="clear" w:color="auto" w:fill="CCEEFF"/>
            <w:tcMar>
              <w:top w:w="40" w:type="dxa"/>
              <w:left w:w="20" w:type="dxa"/>
              <w:bottom w:w="40" w:type="dxa"/>
              <w:right w:w="0" w:type="dxa"/>
            </w:tcMar>
            <w:vAlign w:val="bottom"/>
          </w:tcPr>
          <w:p w14:paraId="7B66F3EA" w14:textId="77777777" w:rsidR="0040300B" w:rsidRDefault="00BB2D44">
            <w:pPr>
              <w:jc w:val="right"/>
              <w:textAlignment w:val="bottom"/>
            </w:pPr>
            <w:r>
              <w:rPr>
                <w:rFonts w:ascii="Times New Roman" w:eastAsia="宋体" w:hAnsi="Times New Roman"/>
                <w:color w:val="000000"/>
                <w:sz w:val="18"/>
                <w:szCs w:val="18"/>
              </w:rPr>
              <w:t>69 </w:t>
            </w:r>
          </w:p>
        </w:tc>
        <w:tc>
          <w:tcPr>
            <w:tcW w:w="0" w:type="auto"/>
            <w:shd w:val="clear" w:color="auto" w:fill="CCEEFF"/>
            <w:tcMar>
              <w:top w:w="40" w:type="dxa"/>
              <w:left w:w="0" w:type="dxa"/>
              <w:bottom w:w="40" w:type="dxa"/>
              <w:right w:w="20" w:type="dxa"/>
            </w:tcMar>
            <w:vAlign w:val="bottom"/>
          </w:tcPr>
          <w:p w14:paraId="7B66F3E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E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ED" w14:textId="77777777" w:rsidR="0040300B" w:rsidRDefault="00BB2D44">
            <w:pPr>
              <w:jc w:val="right"/>
              <w:textAlignment w:val="bottom"/>
            </w:pPr>
            <w:r>
              <w:rPr>
                <w:rFonts w:ascii="Times New Roman" w:eastAsia="宋体" w:hAnsi="Times New Roman"/>
                <w:color w:val="000000"/>
                <w:sz w:val="18"/>
                <w:szCs w:val="18"/>
              </w:rPr>
              <w:t>75 </w:t>
            </w:r>
          </w:p>
        </w:tc>
        <w:tc>
          <w:tcPr>
            <w:tcW w:w="0" w:type="auto"/>
            <w:shd w:val="clear" w:color="auto" w:fill="CCEEFF"/>
            <w:tcMar>
              <w:top w:w="40" w:type="dxa"/>
              <w:left w:w="0" w:type="dxa"/>
              <w:bottom w:w="40" w:type="dxa"/>
              <w:right w:w="20" w:type="dxa"/>
            </w:tcMar>
            <w:vAlign w:val="bottom"/>
          </w:tcPr>
          <w:p w14:paraId="7B66F3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E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0" w14:textId="77777777" w:rsidR="0040300B" w:rsidRDefault="00BB2D44">
            <w:pPr>
              <w:jc w:val="right"/>
              <w:textAlignment w:val="bottom"/>
            </w:pPr>
            <w:r>
              <w:rPr>
                <w:rFonts w:ascii="Times New Roman" w:eastAsia="宋体" w:hAnsi="Times New Roman"/>
                <w:color w:val="000000"/>
                <w:sz w:val="18"/>
                <w:szCs w:val="18"/>
              </w:rPr>
              <w:t>124 </w:t>
            </w:r>
          </w:p>
        </w:tc>
        <w:tc>
          <w:tcPr>
            <w:tcW w:w="0" w:type="auto"/>
            <w:shd w:val="clear" w:color="auto" w:fill="CCEEFF"/>
            <w:tcMar>
              <w:top w:w="40" w:type="dxa"/>
              <w:left w:w="0" w:type="dxa"/>
              <w:bottom w:w="40" w:type="dxa"/>
              <w:right w:w="20" w:type="dxa"/>
            </w:tcMar>
            <w:vAlign w:val="bottom"/>
          </w:tcPr>
          <w:p w14:paraId="7B66F3F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F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3" w14:textId="77777777" w:rsidR="0040300B" w:rsidRDefault="00BB2D44">
            <w:pPr>
              <w:jc w:val="right"/>
              <w:textAlignment w:val="bottom"/>
            </w:pPr>
            <w:r>
              <w:rPr>
                <w:rFonts w:ascii="Times New Roman" w:eastAsia="宋体" w:hAnsi="Times New Roman"/>
                <w:color w:val="000000"/>
                <w:sz w:val="18"/>
                <w:szCs w:val="18"/>
              </w:rPr>
              <w:t>268 </w:t>
            </w:r>
          </w:p>
        </w:tc>
        <w:tc>
          <w:tcPr>
            <w:tcW w:w="0" w:type="auto"/>
            <w:shd w:val="clear" w:color="auto" w:fill="CCEEFF"/>
            <w:tcMar>
              <w:top w:w="40" w:type="dxa"/>
              <w:left w:w="0" w:type="dxa"/>
              <w:bottom w:w="40" w:type="dxa"/>
              <w:right w:w="20" w:type="dxa"/>
            </w:tcMar>
            <w:vAlign w:val="bottom"/>
          </w:tcPr>
          <w:p w14:paraId="7B66F3F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F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6" w14:textId="77777777" w:rsidR="0040300B" w:rsidRDefault="00BB2D44">
            <w:pPr>
              <w:jc w:val="right"/>
              <w:textAlignment w:val="bottom"/>
            </w:pPr>
            <w:r>
              <w:rPr>
                <w:rFonts w:ascii="Times New Roman" w:eastAsia="宋体" w:hAnsi="Times New Roman"/>
                <w:color w:val="000000"/>
                <w:sz w:val="18"/>
                <w:szCs w:val="18"/>
              </w:rPr>
              <w:t>2,562 </w:t>
            </w:r>
          </w:p>
        </w:tc>
        <w:tc>
          <w:tcPr>
            <w:tcW w:w="0" w:type="auto"/>
            <w:shd w:val="clear" w:color="auto" w:fill="CCEEFF"/>
            <w:tcMar>
              <w:top w:w="40" w:type="dxa"/>
              <w:left w:w="0" w:type="dxa"/>
              <w:bottom w:w="40" w:type="dxa"/>
              <w:right w:w="20" w:type="dxa"/>
            </w:tcMar>
            <w:vAlign w:val="bottom"/>
          </w:tcPr>
          <w:p w14:paraId="7B66F3F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F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9" w14:textId="77777777" w:rsidR="0040300B" w:rsidRDefault="00BB2D44">
            <w:pPr>
              <w:jc w:val="right"/>
              <w:textAlignment w:val="bottom"/>
            </w:pPr>
            <w:r>
              <w:rPr>
                <w:rFonts w:ascii="Times New Roman" w:eastAsia="宋体" w:hAnsi="Times New Roman"/>
                <w:color w:val="000000"/>
                <w:sz w:val="18"/>
                <w:szCs w:val="18"/>
              </w:rPr>
              <w:t>2,830 </w:t>
            </w:r>
          </w:p>
        </w:tc>
        <w:tc>
          <w:tcPr>
            <w:tcW w:w="0" w:type="auto"/>
            <w:shd w:val="clear" w:color="auto" w:fill="CCEEFF"/>
            <w:tcMar>
              <w:top w:w="40" w:type="dxa"/>
              <w:left w:w="0" w:type="dxa"/>
              <w:bottom w:w="40" w:type="dxa"/>
              <w:right w:w="20" w:type="dxa"/>
            </w:tcMar>
            <w:vAlign w:val="bottom"/>
          </w:tcPr>
          <w:p w14:paraId="7B66F3F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F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C" w14:textId="77777777" w:rsidR="0040300B" w:rsidRDefault="00BB2D44">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7B66F3F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3F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3FF" w14:textId="77777777" w:rsidR="0040300B" w:rsidRDefault="00BB2D44">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7B66F400" w14:textId="77777777" w:rsidR="0040300B" w:rsidRDefault="0040300B">
            <w:pPr>
              <w:jc w:val="right"/>
              <w:rPr>
                <w:rFonts w:ascii="宋体"/>
              </w:rPr>
            </w:pPr>
          </w:p>
        </w:tc>
      </w:tr>
      <w:tr w:rsidR="00BB2D44" w14:paraId="7B66F422" w14:textId="77777777">
        <w:tc>
          <w:tcPr>
            <w:tcW w:w="0" w:type="auto"/>
            <w:gridSpan w:val="3"/>
            <w:shd w:val="clear" w:color="auto" w:fill="FFFFFF"/>
            <w:tcMar>
              <w:top w:w="40" w:type="dxa"/>
              <w:left w:w="380" w:type="dxa"/>
              <w:bottom w:w="40" w:type="dxa"/>
              <w:right w:w="20" w:type="dxa"/>
            </w:tcMar>
          </w:tcPr>
          <w:p w14:paraId="7B66F402" w14:textId="77777777" w:rsidR="0040300B" w:rsidRDefault="00BB2D44">
            <w:pPr>
              <w:textAlignment w:val="top"/>
            </w:pPr>
            <w:r>
              <w:rPr>
                <w:rFonts w:ascii="Times New Roman" w:eastAsia="宋体" w:hAnsi="Times New Roman"/>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03"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04" w14:textId="77777777" w:rsidR="0040300B" w:rsidRDefault="00BB2D44">
            <w:pPr>
              <w:jc w:val="right"/>
              <w:textAlignment w:val="bottom"/>
            </w:pPr>
            <w:r>
              <w:rPr>
                <w:rFonts w:ascii="Times New Roman" w:eastAsia="宋体" w:hAnsi="Times New Roman"/>
                <w:color w:val="000000"/>
                <w:sz w:val="18"/>
                <w:szCs w:val="18"/>
              </w:rPr>
              <w:t>227 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0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0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07"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08" w14:textId="77777777" w:rsidR="0040300B" w:rsidRDefault="00BB2D44">
            <w:pPr>
              <w:jc w:val="right"/>
              <w:textAlignment w:val="bottom"/>
            </w:pPr>
            <w:r>
              <w:rPr>
                <w:rFonts w:ascii="Times New Roman" w:eastAsia="宋体" w:hAnsi="Times New Roman"/>
                <w:color w:val="000000"/>
                <w:sz w:val="18"/>
                <w:szCs w:val="18"/>
              </w:rPr>
              <w:t>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0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0B"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0C" w14:textId="77777777" w:rsidR="0040300B" w:rsidRDefault="00BB2D44">
            <w:pPr>
              <w:jc w:val="right"/>
              <w:textAlignment w:val="bottom"/>
            </w:pPr>
            <w:r>
              <w:rPr>
                <w:rFonts w:ascii="Times New Roman" w:eastAsia="宋体" w:hAnsi="Times New Roman"/>
                <w:color w:val="000000"/>
                <w:sz w:val="18"/>
                <w:szCs w:val="18"/>
              </w:rPr>
              <w:t>250 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0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0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0F"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10" w14:textId="77777777" w:rsidR="0040300B" w:rsidRDefault="00BB2D44">
            <w:pPr>
              <w:jc w:val="right"/>
              <w:textAlignment w:val="bottom"/>
            </w:pPr>
            <w:r>
              <w:rPr>
                <w:rFonts w:ascii="Times New Roman" w:eastAsia="宋体" w:hAnsi="Times New Roman"/>
                <w:color w:val="000000"/>
                <w:sz w:val="18"/>
                <w:szCs w:val="18"/>
              </w:rPr>
              <w:t>677 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1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1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13"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14" w14:textId="77777777" w:rsidR="0040300B" w:rsidRDefault="00BB2D44">
            <w:pPr>
              <w:jc w:val="right"/>
              <w:textAlignment w:val="bottom"/>
            </w:pPr>
            <w:r>
              <w:rPr>
                <w:rFonts w:ascii="Times New Roman" w:eastAsia="宋体" w:hAnsi="Times New Roman"/>
                <w:color w:val="000000"/>
                <w:sz w:val="18"/>
                <w:szCs w:val="18"/>
              </w:rPr>
              <w:t>10,103 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1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1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17"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18" w14:textId="77777777" w:rsidR="0040300B" w:rsidRDefault="00BB2D44">
            <w:pPr>
              <w:jc w:val="right"/>
              <w:textAlignment w:val="bottom"/>
            </w:pPr>
            <w:r>
              <w:rPr>
                <w:rFonts w:ascii="Times New Roman" w:eastAsia="宋体" w:hAnsi="Times New Roman"/>
                <w:color w:val="000000"/>
                <w:sz w:val="18"/>
                <w:szCs w:val="18"/>
              </w:rPr>
              <w:t>10,780 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1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1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1B"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1C" w14:textId="77777777" w:rsidR="0040300B" w:rsidRDefault="00BB2D44">
            <w:pPr>
              <w:jc w:val="right"/>
              <w:textAlignment w:val="bottom"/>
            </w:pPr>
            <w:r>
              <w:rPr>
                <w:rFonts w:ascii="Times New Roman" w:eastAsia="宋体" w:hAnsi="Times New Roman"/>
                <w:color w:val="000000"/>
                <w:sz w:val="18"/>
                <w:szCs w:val="18"/>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1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1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41F"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420" w14:textId="77777777" w:rsidR="0040300B" w:rsidRDefault="00BB2D44">
            <w:pPr>
              <w:jc w:val="right"/>
              <w:textAlignment w:val="bottom"/>
            </w:pPr>
            <w:r>
              <w:rPr>
                <w:rFonts w:ascii="Times New Roman" w:eastAsia="宋体" w:hAnsi="Times New Roman"/>
                <w:color w:val="000000"/>
                <w:sz w:val="18"/>
                <w:szCs w:val="18"/>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421" w14:textId="77777777" w:rsidR="0040300B" w:rsidRDefault="0040300B">
            <w:pPr>
              <w:jc w:val="right"/>
              <w:rPr>
                <w:rFonts w:ascii="宋体"/>
              </w:rPr>
            </w:pPr>
          </w:p>
        </w:tc>
      </w:tr>
    </w:tbl>
    <w:p w14:paraId="7B66F423" w14:textId="77777777" w:rsidR="0040300B" w:rsidRDefault="00BB2D44">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presented by contract, and the aging classification of each contract is based on the</w:t>
      </w:r>
      <w:r>
        <w:rPr>
          <w:rFonts w:ascii="Times New Roman" w:eastAsia="宋体" w:hAnsi="Times New Roman"/>
          <w:color w:val="000000"/>
          <w:sz w:val="20"/>
          <w:szCs w:val="20"/>
        </w:rPr>
        <w:t xml:space="preserve"> oldest outstanding receivable, and therefore past due amounts also include unbilled and current receivables within the same contract. </w:t>
      </w:r>
    </w:p>
    <w:p w14:paraId="7B66F424" w14:textId="77777777" w:rsidR="0040300B" w:rsidRDefault="00BB2D44">
      <w:pPr>
        <w:spacing w:before="120"/>
        <w:jc w:val="both"/>
      </w:pPr>
      <w:r>
        <w:rPr>
          <w:rFonts w:ascii="Times New Roman" w:eastAsia="宋体" w:hAnsi="Times New Roman"/>
          <w:color w:val="000000"/>
          <w:sz w:val="20"/>
          <w:szCs w:val="20"/>
        </w:rPr>
        <w:t>As of July 25, 2020, we had financing receivables of $67 million, net of unbilled or current receivables, that were grea</w:t>
      </w:r>
      <w:r>
        <w:rPr>
          <w:rFonts w:ascii="Times New Roman" w:eastAsia="宋体" w:hAnsi="Times New Roman"/>
          <w:color w:val="000000"/>
          <w:sz w:val="20"/>
          <w:szCs w:val="20"/>
        </w:rPr>
        <w:t xml:space="preserve">ter than 120 days plus past due but remained on accrual status as they are well secured and in the process of collection. </w:t>
      </w:r>
    </w:p>
    <w:p w14:paraId="7B66F425" w14:textId="77777777" w:rsidR="0040300B" w:rsidRDefault="00BB2D44">
      <w:pPr>
        <w:spacing w:before="120"/>
        <w:ind w:hanging="360"/>
      </w:pPr>
      <w:r>
        <w:rPr>
          <w:rFonts w:ascii="Times New Roman" w:eastAsia="宋体" w:hAnsi="Times New Roman"/>
          <w:b/>
          <w:bCs/>
          <w:color w:val="000000"/>
          <w:sz w:val="20"/>
          <w:szCs w:val="20"/>
        </w:rPr>
        <w:t xml:space="preserve">(c)Allowance for Credit Loss Rollforward </w:t>
      </w:r>
    </w:p>
    <w:p w14:paraId="7B66F426" w14:textId="77777777" w:rsidR="0040300B" w:rsidRDefault="00BB2D44">
      <w:pPr>
        <w:spacing w:before="120"/>
        <w:jc w:val="both"/>
      </w:pPr>
      <w:r>
        <w:rPr>
          <w:rFonts w:ascii="Times New Roman" w:eastAsia="宋体" w:hAnsi="Times New Roman"/>
          <w:color w:val="000000"/>
          <w:sz w:val="20"/>
          <w:szCs w:val="20"/>
        </w:rPr>
        <w:t>The allowances for credit loss and the related financing receivables are summarized as foll</w:t>
      </w:r>
      <w:r>
        <w:rPr>
          <w:rFonts w:ascii="Times New Roman" w:eastAsia="宋体" w:hAnsi="Times New Roman"/>
          <w:color w:val="000000"/>
          <w:sz w:val="20"/>
          <w:szCs w:val="20"/>
        </w:rPr>
        <w:t xml:space="preserve">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110"/>
        <w:gridCol w:w="38"/>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40300B" w14:paraId="7B66F43F" w14:textId="77777777">
        <w:trPr>
          <w:jc w:val="center"/>
        </w:trPr>
        <w:tc>
          <w:tcPr>
            <w:tcW w:w="50" w:type="pct"/>
            <w:shd w:val="clear" w:color="auto" w:fill="auto"/>
          </w:tcPr>
          <w:p w14:paraId="7B66F427" w14:textId="77777777" w:rsidR="0040300B" w:rsidRDefault="0040300B">
            <w:pPr>
              <w:rPr>
                <w:rFonts w:ascii="宋体"/>
              </w:rPr>
            </w:pPr>
          </w:p>
        </w:tc>
        <w:tc>
          <w:tcPr>
            <w:tcW w:w="1902" w:type="pct"/>
            <w:shd w:val="clear" w:color="auto" w:fill="auto"/>
          </w:tcPr>
          <w:p w14:paraId="7B66F428" w14:textId="77777777" w:rsidR="0040300B" w:rsidRDefault="0040300B">
            <w:pPr>
              <w:rPr>
                <w:rFonts w:ascii="宋体"/>
              </w:rPr>
            </w:pPr>
          </w:p>
        </w:tc>
        <w:tc>
          <w:tcPr>
            <w:tcW w:w="5" w:type="pct"/>
            <w:shd w:val="clear" w:color="auto" w:fill="auto"/>
          </w:tcPr>
          <w:p w14:paraId="7B66F429" w14:textId="77777777" w:rsidR="0040300B" w:rsidRDefault="0040300B">
            <w:pPr>
              <w:rPr>
                <w:rFonts w:ascii="宋体"/>
              </w:rPr>
            </w:pPr>
          </w:p>
        </w:tc>
        <w:tc>
          <w:tcPr>
            <w:tcW w:w="50" w:type="pct"/>
            <w:shd w:val="clear" w:color="auto" w:fill="auto"/>
          </w:tcPr>
          <w:p w14:paraId="7B66F42A" w14:textId="77777777" w:rsidR="0040300B" w:rsidRDefault="0040300B">
            <w:pPr>
              <w:rPr>
                <w:rFonts w:ascii="宋体"/>
              </w:rPr>
            </w:pPr>
          </w:p>
        </w:tc>
        <w:tc>
          <w:tcPr>
            <w:tcW w:w="678" w:type="pct"/>
            <w:shd w:val="clear" w:color="auto" w:fill="auto"/>
          </w:tcPr>
          <w:p w14:paraId="7B66F42B" w14:textId="77777777" w:rsidR="0040300B" w:rsidRDefault="0040300B">
            <w:pPr>
              <w:rPr>
                <w:rFonts w:ascii="宋体"/>
              </w:rPr>
            </w:pPr>
          </w:p>
        </w:tc>
        <w:tc>
          <w:tcPr>
            <w:tcW w:w="5" w:type="pct"/>
            <w:shd w:val="clear" w:color="auto" w:fill="auto"/>
          </w:tcPr>
          <w:p w14:paraId="7B66F42C" w14:textId="77777777" w:rsidR="0040300B" w:rsidRDefault="0040300B">
            <w:pPr>
              <w:rPr>
                <w:rFonts w:ascii="宋体"/>
              </w:rPr>
            </w:pPr>
          </w:p>
        </w:tc>
        <w:tc>
          <w:tcPr>
            <w:tcW w:w="5" w:type="pct"/>
            <w:shd w:val="clear" w:color="auto" w:fill="auto"/>
          </w:tcPr>
          <w:p w14:paraId="7B66F42D" w14:textId="77777777" w:rsidR="0040300B" w:rsidRDefault="0040300B">
            <w:pPr>
              <w:rPr>
                <w:rFonts w:ascii="宋体"/>
              </w:rPr>
            </w:pPr>
          </w:p>
        </w:tc>
        <w:tc>
          <w:tcPr>
            <w:tcW w:w="26" w:type="pct"/>
            <w:shd w:val="clear" w:color="auto" w:fill="auto"/>
          </w:tcPr>
          <w:p w14:paraId="7B66F42E" w14:textId="77777777" w:rsidR="0040300B" w:rsidRDefault="0040300B">
            <w:pPr>
              <w:rPr>
                <w:rFonts w:ascii="宋体"/>
              </w:rPr>
            </w:pPr>
          </w:p>
        </w:tc>
        <w:tc>
          <w:tcPr>
            <w:tcW w:w="5" w:type="pct"/>
            <w:shd w:val="clear" w:color="auto" w:fill="auto"/>
          </w:tcPr>
          <w:p w14:paraId="7B66F42F" w14:textId="77777777" w:rsidR="0040300B" w:rsidRDefault="0040300B">
            <w:pPr>
              <w:rPr>
                <w:rFonts w:ascii="宋体"/>
              </w:rPr>
            </w:pPr>
          </w:p>
        </w:tc>
        <w:tc>
          <w:tcPr>
            <w:tcW w:w="50" w:type="pct"/>
            <w:shd w:val="clear" w:color="auto" w:fill="auto"/>
          </w:tcPr>
          <w:p w14:paraId="7B66F430" w14:textId="77777777" w:rsidR="0040300B" w:rsidRDefault="0040300B">
            <w:pPr>
              <w:rPr>
                <w:rFonts w:ascii="宋体"/>
              </w:rPr>
            </w:pPr>
          </w:p>
        </w:tc>
        <w:tc>
          <w:tcPr>
            <w:tcW w:w="678" w:type="pct"/>
            <w:shd w:val="clear" w:color="auto" w:fill="auto"/>
          </w:tcPr>
          <w:p w14:paraId="7B66F431" w14:textId="77777777" w:rsidR="0040300B" w:rsidRDefault="0040300B">
            <w:pPr>
              <w:rPr>
                <w:rFonts w:ascii="宋体"/>
              </w:rPr>
            </w:pPr>
          </w:p>
        </w:tc>
        <w:tc>
          <w:tcPr>
            <w:tcW w:w="5" w:type="pct"/>
            <w:shd w:val="clear" w:color="auto" w:fill="auto"/>
          </w:tcPr>
          <w:p w14:paraId="7B66F432" w14:textId="77777777" w:rsidR="0040300B" w:rsidRDefault="0040300B">
            <w:pPr>
              <w:rPr>
                <w:rFonts w:ascii="宋体"/>
              </w:rPr>
            </w:pPr>
          </w:p>
        </w:tc>
        <w:tc>
          <w:tcPr>
            <w:tcW w:w="5" w:type="pct"/>
            <w:shd w:val="clear" w:color="auto" w:fill="auto"/>
          </w:tcPr>
          <w:p w14:paraId="7B66F433" w14:textId="77777777" w:rsidR="0040300B" w:rsidRDefault="0040300B">
            <w:pPr>
              <w:rPr>
                <w:rFonts w:ascii="宋体"/>
              </w:rPr>
            </w:pPr>
          </w:p>
        </w:tc>
        <w:tc>
          <w:tcPr>
            <w:tcW w:w="26" w:type="pct"/>
            <w:shd w:val="clear" w:color="auto" w:fill="auto"/>
          </w:tcPr>
          <w:p w14:paraId="7B66F434" w14:textId="77777777" w:rsidR="0040300B" w:rsidRDefault="0040300B">
            <w:pPr>
              <w:rPr>
                <w:rFonts w:ascii="宋体"/>
              </w:rPr>
            </w:pPr>
          </w:p>
        </w:tc>
        <w:tc>
          <w:tcPr>
            <w:tcW w:w="5" w:type="pct"/>
            <w:shd w:val="clear" w:color="auto" w:fill="auto"/>
          </w:tcPr>
          <w:p w14:paraId="7B66F435" w14:textId="77777777" w:rsidR="0040300B" w:rsidRDefault="0040300B">
            <w:pPr>
              <w:rPr>
                <w:rFonts w:ascii="宋体"/>
              </w:rPr>
            </w:pPr>
          </w:p>
        </w:tc>
        <w:tc>
          <w:tcPr>
            <w:tcW w:w="50" w:type="pct"/>
            <w:shd w:val="clear" w:color="auto" w:fill="auto"/>
          </w:tcPr>
          <w:p w14:paraId="7B66F436" w14:textId="77777777" w:rsidR="0040300B" w:rsidRDefault="0040300B">
            <w:pPr>
              <w:rPr>
                <w:rFonts w:ascii="宋体"/>
              </w:rPr>
            </w:pPr>
          </w:p>
        </w:tc>
        <w:tc>
          <w:tcPr>
            <w:tcW w:w="678" w:type="pct"/>
            <w:shd w:val="clear" w:color="auto" w:fill="auto"/>
          </w:tcPr>
          <w:p w14:paraId="7B66F437" w14:textId="77777777" w:rsidR="0040300B" w:rsidRDefault="0040300B">
            <w:pPr>
              <w:rPr>
                <w:rFonts w:ascii="宋体"/>
              </w:rPr>
            </w:pPr>
          </w:p>
        </w:tc>
        <w:tc>
          <w:tcPr>
            <w:tcW w:w="5" w:type="pct"/>
            <w:shd w:val="clear" w:color="auto" w:fill="auto"/>
          </w:tcPr>
          <w:p w14:paraId="7B66F438" w14:textId="77777777" w:rsidR="0040300B" w:rsidRDefault="0040300B">
            <w:pPr>
              <w:rPr>
                <w:rFonts w:ascii="宋体"/>
              </w:rPr>
            </w:pPr>
          </w:p>
        </w:tc>
        <w:tc>
          <w:tcPr>
            <w:tcW w:w="5" w:type="pct"/>
            <w:shd w:val="clear" w:color="auto" w:fill="auto"/>
          </w:tcPr>
          <w:p w14:paraId="7B66F439" w14:textId="77777777" w:rsidR="0040300B" w:rsidRDefault="0040300B">
            <w:pPr>
              <w:rPr>
                <w:rFonts w:ascii="宋体"/>
              </w:rPr>
            </w:pPr>
          </w:p>
        </w:tc>
        <w:tc>
          <w:tcPr>
            <w:tcW w:w="26" w:type="pct"/>
            <w:shd w:val="clear" w:color="auto" w:fill="auto"/>
          </w:tcPr>
          <w:p w14:paraId="7B66F43A" w14:textId="77777777" w:rsidR="0040300B" w:rsidRDefault="0040300B">
            <w:pPr>
              <w:rPr>
                <w:rFonts w:ascii="宋体"/>
              </w:rPr>
            </w:pPr>
          </w:p>
        </w:tc>
        <w:tc>
          <w:tcPr>
            <w:tcW w:w="5" w:type="pct"/>
            <w:shd w:val="clear" w:color="auto" w:fill="auto"/>
          </w:tcPr>
          <w:p w14:paraId="7B66F43B" w14:textId="77777777" w:rsidR="0040300B" w:rsidRDefault="0040300B">
            <w:pPr>
              <w:rPr>
                <w:rFonts w:ascii="宋体"/>
              </w:rPr>
            </w:pPr>
          </w:p>
        </w:tc>
        <w:tc>
          <w:tcPr>
            <w:tcW w:w="50" w:type="pct"/>
            <w:shd w:val="clear" w:color="auto" w:fill="auto"/>
          </w:tcPr>
          <w:p w14:paraId="7B66F43C" w14:textId="77777777" w:rsidR="0040300B" w:rsidRDefault="0040300B">
            <w:pPr>
              <w:rPr>
                <w:rFonts w:ascii="宋体"/>
              </w:rPr>
            </w:pPr>
          </w:p>
        </w:tc>
        <w:tc>
          <w:tcPr>
            <w:tcW w:w="678" w:type="pct"/>
            <w:shd w:val="clear" w:color="auto" w:fill="auto"/>
          </w:tcPr>
          <w:p w14:paraId="7B66F43D" w14:textId="77777777" w:rsidR="0040300B" w:rsidRDefault="0040300B">
            <w:pPr>
              <w:rPr>
                <w:rFonts w:ascii="宋体"/>
              </w:rPr>
            </w:pPr>
          </w:p>
        </w:tc>
        <w:tc>
          <w:tcPr>
            <w:tcW w:w="5" w:type="pct"/>
            <w:shd w:val="clear" w:color="auto" w:fill="auto"/>
          </w:tcPr>
          <w:p w14:paraId="7B66F43E" w14:textId="77777777" w:rsidR="0040300B" w:rsidRDefault="0040300B">
            <w:pPr>
              <w:rPr>
                <w:rFonts w:ascii="宋体"/>
              </w:rPr>
            </w:pPr>
          </w:p>
        </w:tc>
      </w:tr>
      <w:tr w:rsidR="0040300B" w14:paraId="7B66F442" w14:textId="77777777">
        <w:trPr>
          <w:jc w:val="center"/>
        </w:trPr>
        <w:tc>
          <w:tcPr>
            <w:tcW w:w="0" w:type="auto"/>
            <w:gridSpan w:val="3"/>
            <w:shd w:val="clear" w:color="auto" w:fill="auto"/>
            <w:tcMar>
              <w:top w:w="40" w:type="dxa"/>
              <w:left w:w="20" w:type="dxa"/>
              <w:bottom w:w="40" w:type="dxa"/>
              <w:right w:w="20" w:type="dxa"/>
            </w:tcMar>
            <w:vAlign w:val="bottom"/>
          </w:tcPr>
          <w:p w14:paraId="7B66F440" w14:textId="77777777" w:rsidR="0040300B" w:rsidRDefault="00BB2D44">
            <w:pPr>
              <w:textAlignment w:val="bottom"/>
            </w:pPr>
            <w:r>
              <w:rPr>
                <w:rFonts w:ascii="Times New Roman" w:eastAsia="宋体" w:hAnsi="Times New Roman"/>
                <w:color w:val="000000"/>
                <w:sz w:val="16"/>
                <w:szCs w:val="16"/>
                <w:u w:val="single"/>
              </w:rPr>
              <w:t>Three months ended May 1, 2021</w:t>
            </w:r>
          </w:p>
        </w:tc>
        <w:tc>
          <w:tcPr>
            <w:tcW w:w="0" w:type="auto"/>
            <w:gridSpan w:val="21"/>
            <w:shd w:val="clear" w:color="auto" w:fill="auto"/>
            <w:tcMar>
              <w:top w:w="40" w:type="dxa"/>
              <w:left w:w="20" w:type="dxa"/>
              <w:bottom w:w="40" w:type="dxa"/>
              <w:right w:w="20" w:type="dxa"/>
            </w:tcMar>
            <w:vAlign w:val="bottom"/>
          </w:tcPr>
          <w:p w14:paraId="7B66F441" w14:textId="77777777" w:rsidR="0040300B" w:rsidRDefault="00BB2D44">
            <w:pPr>
              <w:jc w:val="center"/>
              <w:textAlignment w:val="bottom"/>
            </w:pPr>
            <w:r>
              <w:rPr>
                <w:rFonts w:ascii="Times New Roman" w:eastAsia="宋体" w:hAnsi="Times New Roman"/>
                <w:color w:val="000000"/>
                <w:sz w:val="18"/>
                <w:szCs w:val="18"/>
              </w:rPr>
              <w:t>CREDIT LOSS ALLOWANCES</w:t>
            </w:r>
          </w:p>
        </w:tc>
      </w:tr>
      <w:tr w:rsidR="0040300B" w14:paraId="7B66F44B" w14:textId="77777777">
        <w:trPr>
          <w:jc w:val="center"/>
        </w:trPr>
        <w:tc>
          <w:tcPr>
            <w:tcW w:w="0" w:type="auto"/>
            <w:gridSpan w:val="3"/>
            <w:shd w:val="clear" w:color="auto" w:fill="auto"/>
            <w:tcMar>
              <w:top w:w="0" w:type="dxa"/>
              <w:left w:w="20" w:type="dxa"/>
              <w:bottom w:w="0" w:type="dxa"/>
              <w:right w:w="20" w:type="dxa"/>
            </w:tcMar>
          </w:tcPr>
          <w:p w14:paraId="7B66F44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44" w14:textId="77777777" w:rsidR="0040300B" w:rsidRDefault="00BB2D4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44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46" w14:textId="77777777" w:rsidR="0040300B" w:rsidRDefault="00BB2D4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44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48" w14:textId="77777777" w:rsidR="0040300B" w:rsidRDefault="00BB2D4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7B66F44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4A"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F45C" w14:textId="77777777">
        <w:trPr>
          <w:jc w:val="center"/>
        </w:trPr>
        <w:tc>
          <w:tcPr>
            <w:tcW w:w="0" w:type="auto"/>
            <w:gridSpan w:val="3"/>
            <w:shd w:val="clear" w:color="auto" w:fill="CCEEFF"/>
            <w:tcMar>
              <w:top w:w="40" w:type="dxa"/>
              <w:left w:w="20" w:type="dxa"/>
              <w:bottom w:w="40" w:type="dxa"/>
              <w:right w:w="20" w:type="dxa"/>
            </w:tcMar>
          </w:tcPr>
          <w:p w14:paraId="7B66F44C" w14:textId="77777777" w:rsidR="0040300B" w:rsidRDefault="00BB2D44">
            <w:pPr>
              <w:textAlignment w:val="top"/>
            </w:pPr>
            <w:r>
              <w:rPr>
                <w:rFonts w:ascii="Times New Roman" w:eastAsia="宋体" w:hAnsi="Times New Roman"/>
                <w:color w:val="000000"/>
                <w:sz w:val="19"/>
                <w:szCs w:val="19"/>
              </w:rPr>
              <w:t>Allowance for credit loss as of January 23,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44D"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4E" w14:textId="77777777" w:rsidR="0040300B" w:rsidRDefault="00BB2D44">
            <w:pPr>
              <w:jc w:val="right"/>
              <w:textAlignment w:val="bottom"/>
            </w:pPr>
            <w:r>
              <w:rPr>
                <w:rFonts w:ascii="Times New Roman" w:eastAsia="宋体" w:hAnsi="Times New Roman"/>
                <w:color w:val="000000"/>
                <w:sz w:val="19"/>
                <w:szCs w:val="19"/>
              </w:rPr>
              <w:t>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4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5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51"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52" w14:textId="77777777" w:rsidR="0040300B" w:rsidRDefault="00BB2D44">
            <w:pPr>
              <w:jc w:val="right"/>
              <w:textAlignment w:val="bottom"/>
            </w:pPr>
            <w:r>
              <w:rPr>
                <w:rFonts w:ascii="Times New Roman" w:eastAsia="宋体" w:hAnsi="Times New Roman"/>
                <w:color w:val="000000"/>
                <w:sz w:val="19"/>
                <w:szCs w:val="19"/>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5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5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55"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56" w14:textId="77777777" w:rsidR="0040300B" w:rsidRDefault="00BB2D44">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5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5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59"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5A" w14:textId="77777777" w:rsidR="0040300B" w:rsidRDefault="00BB2D44">
            <w:pPr>
              <w:jc w:val="right"/>
              <w:textAlignment w:val="bottom"/>
            </w:pPr>
            <w:r>
              <w:rPr>
                <w:rFonts w:ascii="Times New Roman" w:eastAsia="宋体" w:hAnsi="Times New Roman"/>
                <w:color w:val="000000"/>
                <w:sz w:val="19"/>
                <w:szCs w:val="19"/>
              </w:rPr>
              <w:t>148 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5B" w14:textId="77777777" w:rsidR="0040300B" w:rsidRDefault="0040300B">
            <w:pPr>
              <w:jc w:val="right"/>
              <w:rPr>
                <w:rFonts w:ascii="宋体"/>
              </w:rPr>
            </w:pPr>
          </w:p>
        </w:tc>
      </w:tr>
      <w:tr w:rsidR="0040300B" w14:paraId="7B66F469" w14:textId="77777777">
        <w:trPr>
          <w:jc w:val="center"/>
        </w:trPr>
        <w:tc>
          <w:tcPr>
            <w:tcW w:w="0" w:type="auto"/>
            <w:gridSpan w:val="3"/>
            <w:shd w:val="clear" w:color="auto" w:fill="auto"/>
            <w:tcMar>
              <w:top w:w="40" w:type="dxa"/>
              <w:left w:w="20" w:type="dxa"/>
              <w:bottom w:w="40" w:type="dxa"/>
              <w:right w:w="20" w:type="dxa"/>
            </w:tcMar>
          </w:tcPr>
          <w:p w14:paraId="7B66F45D" w14:textId="77777777" w:rsidR="0040300B" w:rsidRDefault="00BB2D4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7B66F45E"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auto"/>
            <w:tcMar>
              <w:top w:w="40" w:type="dxa"/>
              <w:left w:w="0" w:type="dxa"/>
              <w:bottom w:w="40" w:type="dxa"/>
              <w:right w:w="20" w:type="dxa"/>
            </w:tcMar>
            <w:vAlign w:val="bottom"/>
          </w:tcPr>
          <w:p w14:paraId="7B66F45F"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60"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61"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7B66F462"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63"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64"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7B66F46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6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67" w14:textId="77777777" w:rsidR="0040300B" w:rsidRDefault="00BB2D44">
            <w:pPr>
              <w:jc w:val="right"/>
              <w:textAlignment w:val="bottom"/>
            </w:pPr>
            <w:r>
              <w:rPr>
                <w:rFonts w:ascii="Times New Roman" w:eastAsia="宋体" w:hAnsi="Times New Roman"/>
                <w:color w:val="000000"/>
                <w:sz w:val="19"/>
                <w:szCs w:val="19"/>
              </w:rPr>
              <w:t>(10)</w:t>
            </w:r>
          </w:p>
        </w:tc>
        <w:tc>
          <w:tcPr>
            <w:tcW w:w="0" w:type="auto"/>
            <w:shd w:val="clear" w:color="auto" w:fill="auto"/>
            <w:tcMar>
              <w:top w:w="40" w:type="dxa"/>
              <w:left w:w="0" w:type="dxa"/>
              <w:bottom w:w="40" w:type="dxa"/>
              <w:right w:w="20" w:type="dxa"/>
            </w:tcMar>
            <w:vAlign w:val="bottom"/>
          </w:tcPr>
          <w:p w14:paraId="7B66F468" w14:textId="77777777" w:rsidR="0040300B" w:rsidRDefault="0040300B">
            <w:pPr>
              <w:jc w:val="right"/>
              <w:rPr>
                <w:rFonts w:ascii="宋体"/>
              </w:rPr>
            </w:pPr>
          </w:p>
        </w:tc>
      </w:tr>
      <w:tr w:rsidR="0040300B" w14:paraId="7B66F476" w14:textId="77777777">
        <w:trPr>
          <w:jc w:val="center"/>
        </w:trPr>
        <w:tc>
          <w:tcPr>
            <w:tcW w:w="0" w:type="auto"/>
            <w:gridSpan w:val="3"/>
            <w:shd w:val="clear" w:color="auto" w:fill="CCEEFF"/>
            <w:tcMar>
              <w:top w:w="40" w:type="dxa"/>
              <w:left w:w="20" w:type="dxa"/>
              <w:bottom w:w="40" w:type="dxa"/>
              <w:right w:w="20" w:type="dxa"/>
            </w:tcMar>
          </w:tcPr>
          <w:p w14:paraId="7B66F46A" w14:textId="77777777" w:rsidR="0040300B" w:rsidRDefault="00BB2D44">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7B66F46B"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46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6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6E"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46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7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71"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B66F47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7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74"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7B66F475" w14:textId="77777777" w:rsidR="0040300B" w:rsidRDefault="0040300B">
            <w:pPr>
              <w:jc w:val="right"/>
              <w:rPr>
                <w:rFonts w:ascii="宋体"/>
              </w:rPr>
            </w:pPr>
          </w:p>
        </w:tc>
      </w:tr>
      <w:tr w:rsidR="0040300B" w14:paraId="7B66F483" w14:textId="77777777">
        <w:trPr>
          <w:jc w:val="center"/>
        </w:trPr>
        <w:tc>
          <w:tcPr>
            <w:tcW w:w="0" w:type="auto"/>
            <w:gridSpan w:val="3"/>
            <w:shd w:val="clear" w:color="auto" w:fill="FFFFFF"/>
            <w:tcMar>
              <w:top w:w="40" w:type="dxa"/>
              <w:left w:w="20" w:type="dxa"/>
              <w:bottom w:w="40" w:type="dxa"/>
              <w:right w:w="20" w:type="dxa"/>
            </w:tcMar>
          </w:tcPr>
          <w:p w14:paraId="7B66F477" w14:textId="77777777" w:rsidR="0040300B" w:rsidRDefault="00BB2D44">
            <w:pPr>
              <w:textAlignment w:val="top"/>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7B66F478"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4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7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7B"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47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7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7E"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47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8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81"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482" w14:textId="77777777" w:rsidR="0040300B" w:rsidRDefault="0040300B">
            <w:pPr>
              <w:jc w:val="right"/>
              <w:rPr>
                <w:rFonts w:ascii="宋体"/>
              </w:rPr>
            </w:pPr>
          </w:p>
        </w:tc>
      </w:tr>
      <w:tr w:rsidR="0040300B" w14:paraId="7B66F494" w14:textId="77777777">
        <w:trPr>
          <w:jc w:val="center"/>
        </w:trPr>
        <w:tc>
          <w:tcPr>
            <w:tcW w:w="0" w:type="auto"/>
            <w:gridSpan w:val="3"/>
            <w:shd w:val="clear" w:color="auto" w:fill="CCEEFF"/>
            <w:tcMar>
              <w:top w:w="40" w:type="dxa"/>
              <w:left w:w="20" w:type="dxa"/>
              <w:bottom w:w="40" w:type="dxa"/>
              <w:right w:w="20" w:type="dxa"/>
            </w:tcMar>
          </w:tcPr>
          <w:p w14:paraId="7B66F484" w14:textId="77777777" w:rsidR="0040300B" w:rsidRDefault="00BB2D44">
            <w:pPr>
              <w:textAlignment w:val="top"/>
            </w:pPr>
            <w:r>
              <w:rPr>
                <w:rFonts w:ascii="Times New Roman" w:eastAsia="宋体" w:hAnsi="Times New Roman"/>
                <w:color w:val="000000"/>
                <w:sz w:val="19"/>
                <w:szCs w:val="19"/>
              </w:rPr>
              <w:t>Allowance for credit loss as of May 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85"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86" w14:textId="77777777" w:rsidR="0040300B" w:rsidRDefault="00BB2D44">
            <w:pPr>
              <w:jc w:val="right"/>
              <w:textAlignment w:val="bottom"/>
            </w:pPr>
            <w:r>
              <w:rPr>
                <w:rFonts w:ascii="Times New Roman" w:eastAsia="宋体" w:hAnsi="Times New Roman"/>
                <w:color w:val="000000"/>
                <w:sz w:val="19"/>
                <w:szCs w:val="19"/>
              </w:rPr>
              <w:t>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8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88"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89"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8A" w14:textId="77777777" w:rsidR="0040300B" w:rsidRDefault="00BB2D44">
            <w:pPr>
              <w:jc w:val="right"/>
              <w:textAlignment w:val="bottom"/>
            </w:pPr>
            <w:r>
              <w:rPr>
                <w:rFonts w:ascii="Times New Roman" w:eastAsia="宋体" w:hAnsi="Times New Roman"/>
                <w:color w:val="000000"/>
                <w:sz w:val="19"/>
                <w:szCs w:val="19"/>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8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8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8D"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8E" w14:textId="77777777" w:rsidR="0040300B" w:rsidRDefault="00BB2D44">
            <w:pPr>
              <w:jc w:val="right"/>
              <w:textAlignment w:val="bottom"/>
            </w:pPr>
            <w:r>
              <w:rPr>
                <w:rFonts w:ascii="Times New Roman" w:eastAsia="宋体" w:hAnsi="Times New Roman"/>
                <w:color w:val="000000"/>
                <w:sz w:val="19"/>
                <w:szCs w:val="19"/>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8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90"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91"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92" w14:textId="77777777" w:rsidR="0040300B" w:rsidRDefault="00BB2D44">
            <w:pPr>
              <w:jc w:val="right"/>
              <w:textAlignment w:val="bottom"/>
            </w:pPr>
            <w:r>
              <w:rPr>
                <w:rFonts w:ascii="Times New Roman" w:eastAsia="宋体" w:hAnsi="Times New Roman"/>
                <w:color w:val="000000"/>
                <w:sz w:val="19"/>
                <w:szCs w:val="19"/>
              </w:rPr>
              <w:t>136 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93" w14:textId="77777777" w:rsidR="0040300B" w:rsidRDefault="0040300B">
            <w:pPr>
              <w:jc w:val="right"/>
              <w:rPr>
                <w:rFonts w:ascii="宋体"/>
              </w:rPr>
            </w:pPr>
          </w:p>
        </w:tc>
      </w:tr>
    </w:tbl>
    <w:p w14:paraId="7B66F495" w14:textId="77777777" w:rsidR="0040300B" w:rsidRDefault="0040300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110"/>
        <w:gridCol w:w="38"/>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40300B" w14:paraId="7B66F4AE" w14:textId="77777777">
        <w:trPr>
          <w:jc w:val="center"/>
        </w:trPr>
        <w:tc>
          <w:tcPr>
            <w:tcW w:w="50" w:type="pct"/>
            <w:shd w:val="clear" w:color="auto" w:fill="auto"/>
          </w:tcPr>
          <w:p w14:paraId="7B66F496" w14:textId="77777777" w:rsidR="0040300B" w:rsidRDefault="0040300B">
            <w:pPr>
              <w:rPr>
                <w:rFonts w:ascii="宋体"/>
              </w:rPr>
            </w:pPr>
          </w:p>
        </w:tc>
        <w:tc>
          <w:tcPr>
            <w:tcW w:w="1902" w:type="pct"/>
            <w:shd w:val="clear" w:color="auto" w:fill="auto"/>
          </w:tcPr>
          <w:p w14:paraId="7B66F497" w14:textId="77777777" w:rsidR="0040300B" w:rsidRDefault="0040300B">
            <w:pPr>
              <w:rPr>
                <w:rFonts w:ascii="宋体"/>
              </w:rPr>
            </w:pPr>
          </w:p>
        </w:tc>
        <w:tc>
          <w:tcPr>
            <w:tcW w:w="5" w:type="pct"/>
            <w:shd w:val="clear" w:color="auto" w:fill="auto"/>
          </w:tcPr>
          <w:p w14:paraId="7B66F498" w14:textId="77777777" w:rsidR="0040300B" w:rsidRDefault="0040300B">
            <w:pPr>
              <w:rPr>
                <w:rFonts w:ascii="宋体"/>
              </w:rPr>
            </w:pPr>
          </w:p>
        </w:tc>
        <w:tc>
          <w:tcPr>
            <w:tcW w:w="50" w:type="pct"/>
            <w:shd w:val="clear" w:color="auto" w:fill="auto"/>
          </w:tcPr>
          <w:p w14:paraId="7B66F499" w14:textId="77777777" w:rsidR="0040300B" w:rsidRDefault="0040300B">
            <w:pPr>
              <w:rPr>
                <w:rFonts w:ascii="宋体"/>
              </w:rPr>
            </w:pPr>
          </w:p>
        </w:tc>
        <w:tc>
          <w:tcPr>
            <w:tcW w:w="678" w:type="pct"/>
            <w:shd w:val="clear" w:color="auto" w:fill="auto"/>
          </w:tcPr>
          <w:p w14:paraId="7B66F49A" w14:textId="77777777" w:rsidR="0040300B" w:rsidRDefault="0040300B">
            <w:pPr>
              <w:rPr>
                <w:rFonts w:ascii="宋体"/>
              </w:rPr>
            </w:pPr>
          </w:p>
        </w:tc>
        <w:tc>
          <w:tcPr>
            <w:tcW w:w="5" w:type="pct"/>
            <w:shd w:val="clear" w:color="auto" w:fill="auto"/>
          </w:tcPr>
          <w:p w14:paraId="7B66F49B" w14:textId="77777777" w:rsidR="0040300B" w:rsidRDefault="0040300B">
            <w:pPr>
              <w:rPr>
                <w:rFonts w:ascii="宋体"/>
              </w:rPr>
            </w:pPr>
          </w:p>
        </w:tc>
        <w:tc>
          <w:tcPr>
            <w:tcW w:w="5" w:type="pct"/>
            <w:shd w:val="clear" w:color="auto" w:fill="auto"/>
          </w:tcPr>
          <w:p w14:paraId="7B66F49C" w14:textId="77777777" w:rsidR="0040300B" w:rsidRDefault="0040300B">
            <w:pPr>
              <w:rPr>
                <w:rFonts w:ascii="宋体"/>
              </w:rPr>
            </w:pPr>
          </w:p>
        </w:tc>
        <w:tc>
          <w:tcPr>
            <w:tcW w:w="26" w:type="pct"/>
            <w:shd w:val="clear" w:color="auto" w:fill="auto"/>
          </w:tcPr>
          <w:p w14:paraId="7B66F49D" w14:textId="77777777" w:rsidR="0040300B" w:rsidRDefault="0040300B">
            <w:pPr>
              <w:rPr>
                <w:rFonts w:ascii="宋体"/>
              </w:rPr>
            </w:pPr>
          </w:p>
        </w:tc>
        <w:tc>
          <w:tcPr>
            <w:tcW w:w="5" w:type="pct"/>
            <w:shd w:val="clear" w:color="auto" w:fill="auto"/>
          </w:tcPr>
          <w:p w14:paraId="7B66F49E" w14:textId="77777777" w:rsidR="0040300B" w:rsidRDefault="0040300B">
            <w:pPr>
              <w:rPr>
                <w:rFonts w:ascii="宋体"/>
              </w:rPr>
            </w:pPr>
          </w:p>
        </w:tc>
        <w:tc>
          <w:tcPr>
            <w:tcW w:w="50" w:type="pct"/>
            <w:shd w:val="clear" w:color="auto" w:fill="auto"/>
          </w:tcPr>
          <w:p w14:paraId="7B66F49F" w14:textId="77777777" w:rsidR="0040300B" w:rsidRDefault="0040300B">
            <w:pPr>
              <w:rPr>
                <w:rFonts w:ascii="宋体"/>
              </w:rPr>
            </w:pPr>
          </w:p>
        </w:tc>
        <w:tc>
          <w:tcPr>
            <w:tcW w:w="678" w:type="pct"/>
            <w:shd w:val="clear" w:color="auto" w:fill="auto"/>
          </w:tcPr>
          <w:p w14:paraId="7B66F4A0" w14:textId="77777777" w:rsidR="0040300B" w:rsidRDefault="0040300B">
            <w:pPr>
              <w:rPr>
                <w:rFonts w:ascii="宋体"/>
              </w:rPr>
            </w:pPr>
          </w:p>
        </w:tc>
        <w:tc>
          <w:tcPr>
            <w:tcW w:w="5" w:type="pct"/>
            <w:shd w:val="clear" w:color="auto" w:fill="auto"/>
          </w:tcPr>
          <w:p w14:paraId="7B66F4A1" w14:textId="77777777" w:rsidR="0040300B" w:rsidRDefault="0040300B">
            <w:pPr>
              <w:rPr>
                <w:rFonts w:ascii="宋体"/>
              </w:rPr>
            </w:pPr>
          </w:p>
        </w:tc>
        <w:tc>
          <w:tcPr>
            <w:tcW w:w="5" w:type="pct"/>
            <w:shd w:val="clear" w:color="auto" w:fill="auto"/>
          </w:tcPr>
          <w:p w14:paraId="7B66F4A2" w14:textId="77777777" w:rsidR="0040300B" w:rsidRDefault="0040300B">
            <w:pPr>
              <w:rPr>
                <w:rFonts w:ascii="宋体"/>
              </w:rPr>
            </w:pPr>
          </w:p>
        </w:tc>
        <w:tc>
          <w:tcPr>
            <w:tcW w:w="26" w:type="pct"/>
            <w:shd w:val="clear" w:color="auto" w:fill="auto"/>
          </w:tcPr>
          <w:p w14:paraId="7B66F4A3" w14:textId="77777777" w:rsidR="0040300B" w:rsidRDefault="0040300B">
            <w:pPr>
              <w:rPr>
                <w:rFonts w:ascii="宋体"/>
              </w:rPr>
            </w:pPr>
          </w:p>
        </w:tc>
        <w:tc>
          <w:tcPr>
            <w:tcW w:w="5" w:type="pct"/>
            <w:shd w:val="clear" w:color="auto" w:fill="auto"/>
          </w:tcPr>
          <w:p w14:paraId="7B66F4A4" w14:textId="77777777" w:rsidR="0040300B" w:rsidRDefault="0040300B">
            <w:pPr>
              <w:rPr>
                <w:rFonts w:ascii="宋体"/>
              </w:rPr>
            </w:pPr>
          </w:p>
        </w:tc>
        <w:tc>
          <w:tcPr>
            <w:tcW w:w="50" w:type="pct"/>
            <w:shd w:val="clear" w:color="auto" w:fill="auto"/>
          </w:tcPr>
          <w:p w14:paraId="7B66F4A5" w14:textId="77777777" w:rsidR="0040300B" w:rsidRDefault="0040300B">
            <w:pPr>
              <w:rPr>
                <w:rFonts w:ascii="宋体"/>
              </w:rPr>
            </w:pPr>
          </w:p>
        </w:tc>
        <w:tc>
          <w:tcPr>
            <w:tcW w:w="678" w:type="pct"/>
            <w:shd w:val="clear" w:color="auto" w:fill="auto"/>
          </w:tcPr>
          <w:p w14:paraId="7B66F4A6" w14:textId="77777777" w:rsidR="0040300B" w:rsidRDefault="0040300B">
            <w:pPr>
              <w:rPr>
                <w:rFonts w:ascii="宋体"/>
              </w:rPr>
            </w:pPr>
          </w:p>
        </w:tc>
        <w:tc>
          <w:tcPr>
            <w:tcW w:w="5" w:type="pct"/>
            <w:shd w:val="clear" w:color="auto" w:fill="auto"/>
          </w:tcPr>
          <w:p w14:paraId="7B66F4A7" w14:textId="77777777" w:rsidR="0040300B" w:rsidRDefault="0040300B">
            <w:pPr>
              <w:rPr>
                <w:rFonts w:ascii="宋体"/>
              </w:rPr>
            </w:pPr>
          </w:p>
        </w:tc>
        <w:tc>
          <w:tcPr>
            <w:tcW w:w="5" w:type="pct"/>
            <w:shd w:val="clear" w:color="auto" w:fill="auto"/>
          </w:tcPr>
          <w:p w14:paraId="7B66F4A8" w14:textId="77777777" w:rsidR="0040300B" w:rsidRDefault="0040300B">
            <w:pPr>
              <w:rPr>
                <w:rFonts w:ascii="宋体"/>
              </w:rPr>
            </w:pPr>
          </w:p>
        </w:tc>
        <w:tc>
          <w:tcPr>
            <w:tcW w:w="26" w:type="pct"/>
            <w:shd w:val="clear" w:color="auto" w:fill="auto"/>
          </w:tcPr>
          <w:p w14:paraId="7B66F4A9" w14:textId="77777777" w:rsidR="0040300B" w:rsidRDefault="0040300B">
            <w:pPr>
              <w:rPr>
                <w:rFonts w:ascii="宋体"/>
              </w:rPr>
            </w:pPr>
          </w:p>
        </w:tc>
        <w:tc>
          <w:tcPr>
            <w:tcW w:w="5" w:type="pct"/>
            <w:shd w:val="clear" w:color="auto" w:fill="auto"/>
          </w:tcPr>
          <w:p w14:paraId="7B66F4AA" w14:textId="77777777" w:rsidR="0040300B" w:rsidRDefault="0040300B">
            <w:pPr>
              <w:rPr>
                <w:rFonts w:ascii="宋体"/>
              </w:rPr>
            </w:pPr>
          </w:p>
        </w:tc>
        <w:tc>
          <w:tcPr>
            <w:tcW w:w="50" w:type="pct"/>
            <w:shd w:val="clear" w:color="auto" w:fill="auto"/>
          </w:tcPr>
          <w:p w14:paraId="7B66F4AB" w14:textId="77777777" w:rsidR="0040300B" w:rsidRDefault="0040300B">
            <w:pPr>
              <w:rPr>
                <w:rFonts w:ascii="宋体"/>
              </w:rPr>
            </w:pPr>
          </w:p>
        </w:tc>
        <w:tc>
          <w:tcPr>
            <w:tcW w:w="678" w:type="pct"/>
            <w:shd w:val="clear" w:color="auto" w:fill="auto"/>
          </w:tcPr>
          <w:p w14:paraId="7B66F4AC" w14:textId="77777777" w:rsidR="0040300B" w:rsidRDefault="0040300B">
            <w:pPr>
              <w:rPr>
                <w:rFonts w:ascii="宋体"/>
              </w:rPr>
            </w:pPr>
          </w:p>
        </w:tc>
        <w:tc>
          <w:tcPr>
            <w:tcW w:w="5" w:type="pct"/>
            <w:shd w:val="clear" w:color="auto" w:fill="auto"/>
          </w:tcPr>
          <w:p w14:paraId="7B66F4AD" w14:textId="77777777" w:rsidR="0040300B" w:rsidRDefault="0040300B">
            <w:pPr>
              <w:rPr>
                <w:rFonts w:ascii="宋体"/>
              </w:rPr>
            </w:pPr>
          </w:p>
        </w:tc>
      </w:tr>
      <w:tr w:rsidR="0040300B" w14:paraId="7B66F4B1" w14:textId="77777777">
        <w:trPr>
          <w:jc w:val="center"/>
        </w:trPr>
        <w:tc>
          <w:tcPr>
            <w:tcW w:w="0" w:type="auto"/>
            <w:gridSpan w:val="3"/>
            <w:shd w:val="clear" w:color="auto" w:fill="auto"/>
            <w:tcMar>
              <w:top w:w="40" w:type="dxa"/>
              <w:left w:w="20" w:type="dxa"/>
              <w:bottom w:w="40" w:type="dxa"/>
              <w:right w:w="20" w:type="dxa"/>
            </w:tcMar>
            <w:vAlign w:val="bottom"/>
          </w:tcPr>
          <w:p w14:paraId="7B66F4AF" w14:textId="77777777" w:rsidR="0040300B" w:rsidRDefault="00BB2D44">
            <w:pPr>
              <w:textAlignment w:val="bottom"/>
            </w:pPr>
            <w:r>
              <w:rPr>
                <w:rFonts w:ascii="Times New Roman" w:eastAsia="宋体" w:hAnsi="Times New Roman"/>
                <w:color w:val="000000"/>
                <w:sz w:val="16"/>
                <w:szCs w:val="16"/>
                <w:u w:val="single"/>
              </w:rPr>
              <w:t>Nine months ended May 1, 2021</w:t>
            </w:r>
          </w:p>
        </w:tc>
        <w:tc>
          <w:tcPr>
            <w:tcW w:w="0" w:type="auto"/>
            <w:gridSpan w:val="21"/>
            <w:shd w:val="clear" w:color="auto" w:fill="auto"/>
            <w:tcMar>
              <w:top w:w="40" w:type="dxa"/>
              <w:left w:w="20" w:type="dxa"/>
              <w:bottom w:w="40" w:type="dxa"/>
              <w:right w:w="20" w:type="dxa"/>
            </w:tcMar>
            <w:vAlign w:val="bottom"/>
          </w:tcPr>
          <w:p w14:paraId="7B66F4B0" w14:textId="77777777" w:rsidR="0040300B" w:rsidRDefault="00BB2D44">
            <w:pPr>
              <w:jc w:val="center"/>
              <w:textAlignment w:val="bottom"/>
            </w:pPr>
            <w:r>
              <w:rPr>
                <w:rFonts w:ascii="Times New Roman" w:eastAsia="宋体" w:hAnsi="Times New Roman"/>
                <w:color w:val="000000"/>
                <w:sz w:val="18"/>
                <w:szCs w:val="18"/>
              </w:rPr>
              <w:t>CREDIT LOSS ALLOWANCES</w:t>
            </w:r>
          </w:p>
        </w:tc>
      </w:tr>
      <w:tr w:rsidR="0040300B" w14:paraId="7B66F4BA" w14:textId="77777777">
        <w:trPr>
          <w:jc w:val="center"/>
        </w:trPr>
        <w:tc>
          <w:tcPr>
            <w:tcW w:w="0" w:type="auto"/>
            <w:gridSpan w:val="3"/>
            <w:shd w:val="clear" w:color="auto" w:fill="auto"/>
            <w:tcMar>
              <w:top w:w="0" w:type="dxa"/>
              <w:left w:w="20" w:type="dxa"/>
              <w:bottom w:w="0" w:type="dxa"/>
              <w:right w:w="20" w:type="dxa"/>
            </w:tcMar>
          </w:tcPr>
          <w:p w14:paraId="7B66F4B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B3" w14:textId="77777777" w:rsidR="0040300B" w:rsidRDefault="00BB2D4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4B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B5" w14:textId="77777777" w:rsidR="0040300B" w:rsidRDefault="00BB2D4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4B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B7" w14:textId="77777777" w:rsidR="0040300B" w:rsidRDefault="00BB2D4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7B66F4B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4B9"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F4CB" w14:textId="77777777">
        <w:trPr>
          <w:jc w:val="center"/>
        </w:trPr>
        <w:tc>
          <w:tcPr>
            <w:tcW w:w="0" w:type="auto"/>
            <w:gridSpan w:val="3"/>
            <w:shd w:val="clear" w:color="auto" w:fill="CCEEFF"/>
            <w:tcMar>
              <w:top w:w="40" w:type="dxa"/>
              <w:left w:w="20" w:type="dxa"/>
              <w:bottom w:w="40" w:type="dxa"/>
              <w:right w:w="20" w:type="dxa"/>
            </w:tcMar>
          </w:tcPr>
          <w:p w14:paraId="7B66F4BB" w14:textId="77777777" w:rsidR="0040300B" w:rsidRDefault="00BB2D44">
            <w:pPr>
              <w:textAlignment w:val="top"/>
            </w:pPr>
            <w:r>
              <w:rPr>
                <w:rFonts w:ascii="Times New Roman" w:eastAsia="宋体" w:hAnsi="Times New Roman"/>
                <w:color w:val="000000"/>
                <w:sz w:val="19"/>
                <w:szCs w:val="19"/>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4B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BD" w14:textId="77777777" w:rsidR="0040300B" w:rsidRDefault="00BB2D44">
            <w:pPr>
              <w:jc w:val="right"/>
              <w:textAlignment w:val="bottom"/>
            </w:pPr>
            <w:r>
              <w:rPr>
                <w:rFonts w:ascii="Times New Roman" w:eastAsia="宋体" w:hAnsi="Times New Roman"/>
                <w:color w:val="000000"/>
                <w:sz w:val="19"/>
                <w:szCs w:val="19"/>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B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C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C1" w14:textId="77777777" w:rsidR="0040300B" w:rsidRDefault="00BB2D44">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C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C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C5" w14:textId="77777777" w:rsidR="0040300B" w:rsidRDefault="00BB2D44">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C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C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4C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4C9" w14:textId="77777777" w:rsidR="0040300B" w:rsidRDefault="00BB2D44">
            <w:pPr>
              <w:jc w:val="right"/>
              <w:textAlignment w:val="bottom"/>
            </w:pPr>
            <w:r>
              <w:rPr>
                <w:rFonts w:ascii="Times New Roman" w:eastAsia="宋体" w:hAnsi="Times New Roman"/>
                <w:color w:val="000000"/>
                <w:sz w:val="19"/>
                <w:szCs w:val="19"/>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4CA" w14:textId="77777777" w:rsidR="0040300B" w:rsidRDefault="0040300B">
            <w:pPr>
              <w:jc w:val="right"/>
              <w:rPr>
                <w:rFonts w:ascii="宋体"/>
              </w:rPr>
            </w:pPr>
          </w:p>
        </w:tc>
      </w:tr>
      <w:tr w:rsidR="0040300B" w14:paraId="7B66F4D8" w14:textId="77777777">
        <w:trPr>
          <w:jc w:val="center"/>
        </w:trPr>
        <w:tc>
          <w:tcPr>
            <w:tcW w:w="0" w:type="auto"/>
            <w:gridSpan w:val="3"/>
            <w:shd w:val="clear" w:color="auto" w:fill="auto"/>
            <w:tcMar>
              <w:top w:w="40" w:type="dxa"/>
              <w:left w:w="20" w:type="dxa"/>
              <w:bottom w:w="40" w:type="dxa"/>
              <w:right w:w="20" w:type="dxa"/>
            </w:tcMar>
          </w:tcPr>
          <w:p w14:paraId="7B66F4CC" w14:textId="77777777" w:rsidR="0040300B" w:rsidRDefault="00BB2D4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7B66F4CD" w14:textId="77777777" w:rsidR="0040300B" w:rsidRDefault="00BB2D44">
            <w:pPr>
              <w:jc w:val="right"/>
              <w:textAlignment w:val="bottom"/>
            </w:pPr>
            <w:r>
              <w:rPr>
                <w:rFonts w:ascii="Times New Roman" w:eastAsia="宋体" w:hAnsi="Times New Roman"/>
                <w:color w:val="000000"/>
                <w:sz w:val="19"/>
                <w:szCs w:val="19"/>
              </w:rPr>
              <w:t>(9)</w:t>
            </w:r>
          </w:p>
        </w:tc>
        <w:tc>
          <w:tcPr>
            <w:tcW w:w="0" w:type="auto"/>
            <w:shd w:val="clear" w:color="auto" w:fill="auto"/>
            <w:tcMar>
              <w:top w:w="40" w:type="dxa"/>
              <w:left w:w="0" w:type="dxa"/>
              <w:bottom w:w="40" w:type="dxa"/>
              <w:right w:w="20" w:type="dxa"/>
            </w:tcMar>
            <w:vAlign w:val="bottom"/>
          </w:tcPr>
          <w:p w14:paraId="7B66F4CE"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CF"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D0" w14:textId="77777777" w:rsidR="0040300B" w:rsidRDefault="00BB2D44">
            <w:pPr>
              <w:jc w:val="right"/>
              <w:textAlignment w:val="bottom"/>
            </w:pPr>
            <w:r>
              <w:rPr>
                <w:rFonts w:ascii="Times New Roman" w:eastAsia="宋体" w:hAnsi="Times New Roman"/>
                <w:color w:val="000000"/>
                <w:sz w:val="19"/>
                <w:szCs w:val="19"/>
              </w:rPr>
              <w:t>(7)</w:t>
            </w:r>
          </w:p>
        </w:tc>
        <w:tc>
          <w:tcPr>
            <w:tcW w:w="0" w:type="auto"/>
            <w:shd w:val="clear" w:color="auto" w:fill="auto"/>
            <w:tcMar>
              <w:top w:w="40" w:type="dxa"/>
              <w:left w:w="0" w:type="dxa"/>
              <w:bottom w:w="40" w:type="dxa"/>
              <w:right w:w="20" w:type="dxa"/>
            </w:tcMar>
            <w:vAlign w:val="bottom"/>
          </w:tcPr>
          <w:p w14:paraId="7B66F4D1"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D2"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D3" w14:textId="77777777" w:rsidR="0040300B" w:rsidRDefault="00BB2D44">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7B66F4D4"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4D5"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4D6" w14:textId="77777777" w:rsidR="0040300B" w:rsidRDefault="00BB2D44">
            <w:pPr>
              <w:jc w:val="right"/>
              <w:textAlignment w:val="bottom"/>
            </w:pPr>
            <w:r>
              <w:rPr>
                <w:rFonts w:ascii="Times New Roman" w:eastAsia="宋体" w:hAnsi="Times New Roman"/>
                <w:color w:val="000000"/>
                <w:sz w:val="19"/>
                <w:szCs w:val="19"/>
              </w:rPr>
              <w:t>(19)</w:t>
            </w:r>
          </w:p>
        </w:tc>
        <w:tc>
          <w:tcPr>
            <w:tcW w:w="0" w:type="auto"/>
            <w:shd w:val="clear" w:color="auto" w:fill="auto"/>
            <w:tcMar>
              <w:top w:w="40" w:type="dxa"/>
              <w:left w:w="0" w:type="dxa"/>
              <w:bottom w:w="40" w:type="dxa"/>
              <w:right w:w="20" w:type="dxa"/>
            </w:tcMar>
            <w:vAlign w:val="bottom"/>
          </w:tcPr>
          <w:p w14:paraId="7B66F4D7" w14:textId="77777777" w:rsidR="0040300B" w:rsidRDefault="0040300B">
            <w:pPr>
              <w:jc w:val="right"/>
              <w:rPr>
                <w:rFonts w:ascii="宋体"/>
              </w:rPr>
            </w:pPr>
          </w:p>
        </w:tc>
      </w:tr>
      <w:tr w:rsidR="0040300B" w14:paraId="7B66F4E5" w14:textId="77777777">
        <w:trPr>
          <w:jc w:val="center"/>
        </w:trPr>
        <w:tc>
          <w:tcPr>
            <w:tcW w:w="0" w:type="auto"/>
            <w:gridSpan w:val="3"/>
            <w:shd w:val="clear" w:color="auto" w:fill="CCEEFF"/>
            <w:tcMar>
              <w:top w:w="40" w:type="dxa"/>
              <w:left w:w="20" w:type="dxa"/>
              <w:bottom w:w="40" w:type="dxa"/>
              <w:right w:w="20" w:type="dxa"/>
            </w:tcMar>
          </w:tcPr>
          <w:p w14:paraId="7B66F4D9" w14:textId="77777777" w:rsidR="0040300B" w:rsidRDefault="00BB2D44">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7B66F4DA"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4D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D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DD"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4D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D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E0"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B66F4E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E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4E3"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7B66F4E4" w14:textId="77777777" w:rsidR="0040300B" w:rsidRDefault="0040300B">
            <w:pPr>
              <w:jc w:val="right"/>
              <w:rPr>
                <w:rFonts w:ascii="宋体"/>
              </w:rPr>
            </w:pPr>
          </w:p>
        </w:tc>
      </w:tr>
      <w:tr w:rsidR="0040300B" w14:paraId="7B66F4F2" w14:textId="77777777">
        <w:trPr>
          <w:jc w:val="center"/>
        </w:trPr>
        <w:tc>
          <w:tcPr>
            <w:tcW w:w="0" w:type="auto"/>
            <w:gridSpan w:val="3"/>
            <w:shd w:val="clear" w:color="auto" w:fill="FFFFFF"/>
            <w:tcMar>
              <w:top w:w="40" w:type="dxa"/>
              <w:left w:w="20" w:type="dxa"/>
              <w:bottom w:w="40" w:type="dxa"/>
              <w:right w:w="20" w:type="dxa"/>
            </w:tcMar>
          </w:tcPr>
          <w:p w14:paraId="7B66F4E6" w14:textId="77777777" w:rsidR="0040300B" w:rsidRDefault="00BB2D44">
            <w:pPr>
              <w:textAlignment w:val="top"/>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7B66F4E7" w14:textId="77777777" w:rsidR="0040300B" w:rsidRDefault="00BB2D44">
            <w:pPr>
              <w:jc w:val="right"/>
              <w:textAlignment w:val="bottom"/>
            </w:pPr>
            <w:r>
              <w:rPr>
                <w:rFonts w:ascii="Times New Roman" w:eastAsia="宋体" w:hAnsi="Times New Roman"/>
                <w:color w:val="000000"/>
                <w:sz w:val="19"/>
                <w:szCs w:val="19"/>
              </w:rPr>
              <w:t>2 </w:t>
            </w:r>
          </w:p>
        </w:tc>
        <w:tc>
          <w:tcPr>
            <w:tcW w:w="0" w:type="auto"/>
            <w:shd w:val="clear" w:color="auto" w:fill="FFFFFF"/>
            <w:tcMar>
              <w:top w:w="40" w:type="dxa"/>
              <w:left w:w="0" w:type="dxa"/>
              <w:bottom w:w="40" w:type="dxa"/>
              <w:right w:w="20" w:type="dxa"/>
            </w:tcMar>
            <w:vAlign w:val="bottom"/>
          </w:tcPr>
          <w:p w14:paraId="7B66F4E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E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EA" w14:textId="77777777" w:rsidR="0040300B" w:rsidRDefault="00BB2D44">
            <w:pPr>
              <w:jc w:val="right"/>
              <w:textAlignment w:val="bottom"/>
            </w:pPr>
            <w:r>
              <w:rPr>
                <w:rFonts w:ascii="Times New Roman" w:eastAsia="宋体" w:hAnsi="Times New Roman"/>
                <w:color w:val="000000"/>
                <w:sz w:val="19"/>
                <w:szCs w:val="19"/>
              </w:rPr>
              <w:t>18 </w:t>
            </w:r>
          </w:p>
        </w:tc>
        <w:tc>
          <w:tcPr>
            <w:tcW w:w="0" w:type="auto"/>
            <w:shd w:val="clear" w:color="auto" w:fill="FFFFFF"/>
            <w:tcMar>
              <w:top w:w="40" w:type="dxa"/>
              <w:left w:w="0" w:type="dxa"/>
              <w:bottom w:w="40" w:type="dxa"/>
              <w:right w:w="20" w:type="dxa"/>
            </w:tcMar>
            <w:vAlign w:val="bottom"/>
          </w:tcPr>
          <w:p w14:paraId="7B66F4E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E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ED"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7B66F4E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4E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4F0" w14:textId="77777777" w:rsidR="0040300B" w:rsidRDefault="00BB2D44">
            <w:pPr>
              <w:jc w:val="right"/>
              <w:textAlignment w:val="bottom"/>
            </w:pPr>
            <w:r>
              <w:rPr>
                <w:rFonts w:ascii="Times New Roman" w:eastAsia="宋体" w:hAnsi="Times New Roman"/>
                <w:color w:val="000000"/>
                <w:sz w:val="19"/>
                <w:szCs w:val="19"/>
              </w:rPr>
              <w:t>19 </w:t>
            </w:r>
          </w:p>
        </w:tc>
        <w:tc>
          <w:tcPr>
            <w:tcW w:w="0" w:type="auto"/>
            <w:shd w:val="clear" w:color="auto" w:fill="FFFFFF"/>
            <w:tcMar>
              <w:top w:w="40" w:type="dxa"/>
              <w:left w:w="0" w:type="dxa"/>
              <w:bottom w:w="40" w:type="dxa"/>
              <w:right w:w="20" w:type="dxa"/>
            </w:tcMar>
            <w:vAlign w:val="bottom"/>
          </w:tcPr>
          <w:p w14:paraId="7B66F4F1" w14:textId="77777777" w:rsidR="0040300B" w:rsidRDefault="0040300B">
            <w:pPr>
              <w:jc w:val="right"/>
              <w:rPr>
                <w:rFonts w:ascii="宋体"/>
              </w:rPr>
            </w:pPr>
          </w:p>
        </w:tc>
      </w:tr>
      <w:tr w:rsidR="0040300B" w14:paraId="7B66F503" w14:textId="77777777">
        <w:trPr>
          <w:jc w:val="center"/>
        </w:trPr>
        <w:tc>
          <w:tcPr>
            <w:tcW w:w="0" w:type="auto"/>
            <w:gridSpan w:val="3"/>
            <w:shd w:val="clear" w:color="auto" w:fill="CCEEFF"/>
            <w:tcMar>
              <w:top w:w="40" w:type="dxa"/>
              <w:left w:w="20" w:type="dxa"/>
              <w:bottom w:w="40" w:type="dxa"/>
              <w:right w:w="20" w:type="dxa"/>
            </w:tcMar>
          </w:tcPr>
          <w:p w14:paraId="7B66F4F3" w14:textId="77777777" w:rsidR="0040300B" w:rsidRDefault="00BB2D44">
            <w:pPr>
              <w:textAlignment w:val="top"/>
            </w:pPr>
            <w:r>
              <w:rPr>
                <w:rFonts w:ascii="Times New Roman" w:eastAsia="宋体" w:hAnsi="Times New Roman"/>
                <w:color w:val="000000"/>
                <w:sz w:val="19"/>
                <w:szCs w:val="19"/>
              </w:rPr>
              <w:t>Allowance for credit loss as of May 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F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F5" w14:textId="77777777" w:rsidR="0040300B" w:rsidRDefault="00BB2D44">
            <w:pPr>
              <w:jc w:val="right"/>
              <w:textAlignment w:val="bottom"/>
            </w:pPr>
            <w:r>
              <w:rPr>
                <w:rFonts w:ascii="Times New Roman" w:eastAsia="宋体" w:hAnsi="Times New Roman"/>
                <w:color w:val="000000"/>
                <w:sz w:val="19"/>
                <w:szCs w:val="19"/>
              </w:rPr>
              <w:t>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F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F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F9" w14:textId="77777777" w:rsidR="0040300B" w:rsidRDefault="00BB2D44">
            <w:pPr>
              <w:jc w:val="right"/>
              <w:textAlignment w:val="bottom"/>
            </w:pPr>
            <w:r>
              <w:rPr>
                <w:rFonts w:ascii="Times New Roman" w:eastAsia="宋体" w:hAnsi="Times New Roman"/>
                <w:color w:val="000000"/>
                <w:sz w:val="19"/>
                <w:szCs w:val="19"/>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F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F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4F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4FD" w14:textId="77777777" w:rsidR="0040300B" w:rsidRDefault="00BB2D44">
            <w:pPr>
              <w:jc w:val="right"/>
              <w:textAlignment w:val="bottom"/>
            </w:pPr>
            <w:r>
              <w:rPr>
                <w:rFonts w:ascii="Times New Roman" w:eastAsia="宋体" w:hAnsi="Times New Roman"/>
                <w:color w:val="000000"/>
                <w:sz w:val="19"/>
                <w:szCs w:val="19"/>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4F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4F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0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01" w14:textId="77777777" w:rsidR="0040300B" w:rsidRDefault="00BB2D44">
            <w:pPr>
              <w:jc w:val="right"/>
              <w:textAlignment w:val="bottom"/>
            </w:pPr>
            <w:r>
              <w:rPr>
                <w:rFonts w:ascii="Times New Roman" w:eastAsia="宋体" w:hAnsi="Times New Roman"/>
                <w:color w:val="000000"/>
                <w:sz w:val="19"/>
                <w:szCs w:val="19"/>
              </w:rPr>
              <w:t>136 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02" w14:textId="77777777" w:rsidR="0040300B" w:rsidRDefault="0040300B">
            <w:pPr>
              <w:jc w:val="right"/>
              <w:rPr>
                <w:rFonts w:ascii="宋体"/>
              </w:rPr>
            </w:pPr>
          </w:p>
        </w:tc>
      </w:tr>
    </w:tbl>
    <w:p w14:paraId="7B66F504" w14:textId="77777777" w:rsidR="0040300B" w:rsidRDefault="0040300B">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085"/>
        <w:gridCol w:w="38"/>
        <w:gridCol w:w="116"/>
        <w:gridCol w:w="1067"/>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40300B" w14:paraId="7B66F51D" w14:textId="77777777">
        <w:trPr>
          <w:jc w:val="center"/>
        </w:trPr>
        <w:tc>
          <w:tcPr>
            <w:tcW w:w="50" w:type="pct"/>
            <w:shd w:val="clear" w:color="auto" w:fill="auto"/>
          </w:tcPr>
          <w:p w14:paraId="7B66F505" w14:textId="77777777" w:rsidR="0040300B" w:rsidRDefault="0040300B">
            <w:pPr>
              <w:rPr>
                <w:rFonts w:ascii="宋体"/>
              </w:rPr>
            </w:pPr>
          </w:p>
        </w:tc>
        <w:tc>
          <w:tcPr>
            <w:tcW w:w="1896" w:type="pct"/>
            <w:shd w:val="clear" w:color="auto" w:fill="auto"/>
          </w:tcPr>
          <w:p w14:paraId="7B66F506" w14:textId="77777777" w:rsidR="0040300B" w:rsidRDefault="0040300B">
            <w:pPr>
              <w:rPr>
                <w:rFonts w:ascii="宋体"/>
              </w:rPr>
            </w:pPr>
          </w:p>
        </w:tc>
        <w:tc>
          <w:tcPr>
            <w:tcW w:w="5" w:type="pct"/>
            <w:shd w:val="clear" w:color="auto" w:fill="auto"/>
          </w:tcPr>
          <w:p w14:paraId="7B66F507" w14:textId="77777777" w:rsidR="0040300B" w:rsidRDefault="0040300B">
            <w:pPr>
              <w:rPr>
                <w:rFonts w:ascii="宋体"/>
              </w:rPr>
            </w:pPr>
          </w:p>
        </w:tc>
        <w:tc>
          <w:tcPr>
            <w:tcW w:w="50" w:type="pct"/>
            <w:shd w:val="clear" w:color="auto" w:fill="auto"/>
          </w:tcPr>
          <w:p w14:paraId="7B66F508" w14:textId="77777777" w:rsidR="0040300B" w:rsidRDefault="0040300B">
            <w:pPr>
              <w:rPr>
                <w:rFonts w:ascii="宋体"/>
              </w:rPr>
            </w:pPr>
          </w:p>
        </w:tc>
        <w:tc>
          <w:tcPr>
            <w:tcW w:w="674" w:type="pct"/>
            <w:shd w:val="clear" w:color="auto" w:fill="auto"/>
          </w:tcPr>
          <w:p w14:paraId="7B66F509" w14:textId="77777777" w:rsidR="0040300B" w:rsidRDefault="0040300B">
            <w:pPr>
              <w:rPr>
                <w:rFonts w:ascii="宋体"/>
              </w:rPr>
            </w:pPr>
          </w:p>
        </w:tc>
        <w:tc>
          <w:tcPr>
            <w:tcW w:w="5" w:type="pct"/>
            <w:shd w:val="clear" w:color="auto" w:fill="auto"/>
          </w:tcPr>
          <w:p w14:paraId="7B66F50A" w14:textId="77777777" w:rsidR="0040300B" w:rsidRDefault="0040300B">
            <w:pPr>
              <w:rPr>
                <w:rFonts w:ascii="宋体"/>
              </w:rPr>
            </w:pPr>
          </w:p>
        </w:tc>
        <w:tc>
          <w:tcPr>
            <w:tcW w:w="5" w:type="pct"/>
            <w:shd w:val="clear" w:color="auto" w:fill="auto"/>
          </w:tcPr>
          <w:p w14:paraId="7B66F50B" w14:textId="77777777" w:rsidR="0040300B" w:rsidRDefault="0040300B">
            <w:pPr>
              <w:rPr>
                <w:rFonts w:ascii="宋体"/>
              </w:rPr>
            </w:pPr>
          </w:p>
        </w:tc>
        <w:tc>
          <w:tcPr>
            <w:tcW w:w="26" w:type="pct"/>
            <w:shd w:val="clear" w:color="auto" w:fill="auto"/>
          </w:tcPr>
          <w:p w14:paraId="7B66F50C" w14:textId="77777777" w:rsidR="0040300B" w:rsidRDefault="0040300B">
            <w:pPr>
              <w:rPr>
                <w:rFonts w:ascii="宋体"/>
              </w:rPr>
            </w:pPr>
          </w:p>
        </w:tc>
        <w:tc>
          <w:tcPr>
            <w:tcW w:w="5" w:type="pct"/>
            <w:shd w:val="clear" w:color="auto" w:fill="auto"/>
          </w:tcPr>
          <w:p w14:paraId="7B66F50D" w14:textId="77777777" w:rsidR="0040300B" w:rsidRDefault="0040300B">
            <w:pPr>
              <w:rPr>
                <w:rFonts w:ascii="宋体"/>
              </w:rPr>
            </w:pPr>
          </w:p>
        </w:tc>
        <w:tc>
          <w:tcPr>
            <w:tcW w:w="50" w:type="pct"/>
            <w:shd w:val="clear" w:color="auto" w:fill="auto"/>
          </w:tcPr>
          <w:p w14:paraId="7B66F50E" w14:textId="77777777" w:rsidR="0040300B" w:rsidRDefault="0040300B">
            <w:pPr>
              <w:rPr>
                <w:rFonts w:ascii="宋体"/>
              </w:rPr>
            </w:pPr>
          </w:p>
        </w:tc>
        <w:tc>
          <w:tcPr>
            <w:tcW w:w="681" w:type="pct"/>
            <w:shd w:val="clear" w:color="auto" w:fill="auto"/>
          </w:tcPr>
          <w:p w14:paraId="7B66F50F" w14:textId="77777777" w:rsidR="0040300B" w:rsidRDefault="0040300B">
            <w:pPr>
              <w:rPr>
                <w:rFonts w:ascii="宋体"/>
              </w:rPr>
            </w:pPr>
          </w:p>
        </w:tc>
        <w:tc>
          <w:tcPr>
            <w:tcW w:w="5" w:type="pct"/>
            <w:shd w:val="clear" w:color="auto" w:fill="auto"/>
          </w:tcPr>
          <w:p w14:paraId="7B66F510" w14:textId="77777777" w:rsidR="0040300B" w:rsidRDefault="0040300B">
            <w:pPr>
              <w:rPr>
                <w:rFonts w:ascii="宋体"/>
              </w:rPr>
            </w:pPr>
          </w:p>
        </w:tc>
        <w:tc>
          <w:tcPr>
            <w:tcW w:w="5" w:type="pct"/>
            <w:shd w:val="clear" w:color="auto" w:fill="auto"/>
          </w:tcPr>
          <w:p w14:paraId="7B66F511" w14:textId="77777777" w:rsidR="0040300B" w:rsidRDefault="0040300B">
            <w:pPr>
              <w:rPr>
                <w:rFonts w:ascii="宋体"/>
              </w:rPr>
            </w:pPr>
          </w:p>
        </w:tc>
        <w:tc>
          <w:tcPr>
            <w:tcW w:w="26" w:type="pct"/>
            <w:shd w:val="clear" w:color="auto" w:fill="auto"/>
          </w:tcPr>
          <w:p w14:paraId="7B66F512" w14:textId="77777777" w:rsidR="0040300B" w:rsidRDefault="0040300B">
            <w:pPr>
              <w:rPr>
                <w:rFonts w:ascii="宋体"/>
              </w:rPr>
            </w:pPr>
          </w:p>
        </w:tc>
        <w:tc>
          <w:tcPr>
            <w:tcW w:w="5" w:type="pct"/>
            <w:shd w:val="clear" w:color="auto" w:fill="auto"/>
          </w:tcPr>
          <w:p w14:paraId="7B66F513" w14:textId="77777777" w:rsidR="0040300B" w:rsidRDefault="0040300B">
            <w:pPr>
              <w:rPr>
                <w:rFonts w:ascii="宋体"/>
              </w:rPr>
            </w:pPr>
          </w:p>
        </w:tc>
        <w:tc>
          <w:tcPr>
            <w:tcW w:w="50" w:type="pct"/>
            <w:shd w:val="clear" w:color="auto" w:fill="auto"/>
          </w:tcPr>
          <w:p w14:paraId="7B66F514" w14:textId="77777777" w:rsidR="0040300B" w:rsidRDefault="0040300B">
            <w:pPr>
              <w:rPr>
                <w:rFonts w:ascii="宋体"/>
              </w:rPr>
            </w:pPr>
          </w:p>
        </w:tc>
        <w:tc>
          <w:tcPr>
            <w:tcW w:w="681" w:type="pct"/>
            <w:shd w:val="clear" w:color="auto" w:fill="auto"/>
          </w:tcPr>
          <w:p w14:paraId="7B66F515" w14:textId="77777777" w:rsidR="0040300B" w:rsidRDefault="0040300B">
            <w:pPr>
              <w:rPr>
                <w:rFonts w:ascii="宋体"/>
              </w:rPr>
            </w:pPr>
          </w:p>
        </w:tc>
        <w:tc>
          <w:tcPr>
            <w:tcW w:w="5" w:type="pct"/>
            <w:shd w:val="clear" w:color="auto" w:fill="auto"/>
          </w:tcPr>
          <w:p w14:paraId="7B66F516" w14:textId="77777777" w:rsidR="0040300B" w:rsidRDefault="0040300B">
            <w:pPr>
              <w:rPr>
                <w:rFonts w:ascii="宋体"/>
              </w:rPr>
            </w:pPr>
          </w:p>
        </w:tc>
        <w:tc>
          <w:tcPr>
            <w:tcW w:w="5" w:type="pct"/>
            <w:shd w:val="clear" w:color="auto" w:fill="auto"/>
          </w:tcPr>
          <w:p w14:paraId="7B66F517" w14:textId="77777777" w:rsidR="0040300B" w:rsidRDefault="0040300B">
            <w:pPr>
              <w:rPr>
                <w:rFonts w:ascii="宋体"/>
              </w:rPr>
            </w:pPr>
          </w:p>
        </w:tc>
        <w:tc>
          <w:tcPr>
            <w:tcW w:w="26" w:type="pct"/>
            <w:shd w:val="clear" w:color="auto" w:fill="auto"/>
          </w:tcPr>
          <w:p w14:paraId="7B66F518" w14:textId="77777777" w:rsidR="0040300B" w:rsidRDefault="0040300B">
            <w:pPr>
              <w:rPr>
                <w:rFonts w:ascii="宋体"/>
              </w:rPr>
            </w:pPr>
          </w:p>
        </w:tc>
        <w:tc>
          <w:tcPr>
            <w:tcW w:w="5" w:type="pct"/>
            <w:shd w:val="clear" w:color="auto" w:fill="auto"/>
          </w:tcPr>
          <w:p w14:paraId="7B66F519" w14:textId="77777777" w:rsidR="0040300B" w:rsidRDefault="0040300B">
            <w:pPr>
              <w:rPr>
                <w:rFonts w:ascii="宋体"/>
              </w:rPr>
            </w:pPr>
          </w:p>
        </w:tc>
        <w:tc>
          <w:tcPr>
            <w:tcW w:w="50" w:type="pct"/>
            <w:shd w:val="clear" w:color="auto" w:fill="auto"/>
          </w:tcPr>
          <w:p w14:paraId="7B66F51A" w14:textId="77777777" w:rsidR="0040300B" w:rsidRDefault="0040300B">
            <w:pPr>
              <w:rPr>
                <w:rFonts w:ascii="宋体"/>
              </w:rPr>
            </w:pPr>
          </w:p>
        </w:tc>
        <w:tc>
          <w:tcPr>
            <w:tcW w:w="681" w:type="pct"/>
            <w:shd w:val="clear" w:color="auto" w:fill="auto"/>
          </w:tcPr>
          <w:p w14:paraId="7B66F51B" w14:textId="77777777" w:rsidR="0040300B" w:rsidRDefault="0040300B">
            <w:pPr>
              <w:rPr>
                <w:rFonts w:ascii="宋体"/>
              </w:rPr>
            </w:pPr>
          </w:p>
        </w:tc>
        <w:tc>
          <w:tcPr>
            <w:tcW w:w="5" w:type="pct"/>
            <w:shd w:val="clear" w:color="auto" w:fill="auto"/>
          </w:tcPr>
          <w:p w14:paraId="7B66F51C" w14:textId="77777777" w:rsidR="0040300B" w:rsidRDefault="0040300B">
            <w:pPr>
              <w:rPr>
                <w:rFonts w:ascii="宋体"/>
              </w:rPr>
            </w:pPr>
          </w:p>
        </w:tc>
      </w:tr>
      <w:tr w:rsidR="0040300B" w14:paraId="7B66F520" w14:textId="77777777">
        <w:trPr>
          <w:jc w:val="center"/>
        </w:trPr>
        <w:tc>
          <w:tcPr>
            <w:tcW w:w="0" w:type="auto"/>
            <w:gridSpan w:val="3"/>
            <w:shd w:val="clear" w:color="auto" w:fill="auto"/>
            <w:tcMar>
              <w:top w:w="40" w:type="dxa"/>
              <w:left w:w="20" w:type="dxa"/>
              <w:bottom w:w="40" w:type="dxa"/>
              <w:right w:w="20" w:type="dxa"/>
            </w:tcMar>
            <w:vAlign w:val="bottom"/>
          </w:tcPr>
          <w:p w14:paraId="7B66F51E" w14:textId="77777777" w:rsidR="0040300B" w:rsidRDefault="00BB2D44">
            <w:pPr>
              <w:textAlignment w:val="bottom"/>
            </w:pPr>
            <w:r>
              <w:rPr>
                <w:rFonts w:ascii="Times New Roman" w:eastAsia="宋体" w:hAnsi="Times New Roman"/>
                <w:color w:val="000000"/>
                <w:sz w:val="16"/>
                <w:szCs w:val="16"/>
                <w:u w:val="single"/>
              </w:rPr>
              <w:t>Three months ended April 25, 2020</w:t>
            </w:r>
          </w:p>
        </w:tc>
        <w:tc>
          <w:tcPr>
            <w:tcW w:w="0" w:type="auto"/>
            <w:gridSpan w:val="21"/>
            <w:shd w:val="clear" w:color="auto" w:fill="auto"/>
            <w:tcMar>
              <w:top w:w="40" w:type="dxa"/>
              <w:left w:w="20" w:type="dxa"/>
              <w:bottom w:w="40" w:type="dxa"/>
              <w:right w:w="20" w:type="dxa"/>
            </w:tcMar>
            <w:vAlign w:val="bottom"/>
          </w:tcPr>
          <w:p w14:paraId="7B66F51F" w14:textId="77777777" w:rsidR="0040300B" w:rsidRDefault="00BB2D44">
            <w:pPr>
              <w:jc w:val="center"/>
              <w:textAlignment w:val="bottom"/>
            </w:pPr>
            <w:r>
              <w:rPr>
                <w:rFonts w:ascii="Times New Roman" w:eastAsia="宋体" w:hAnsi="Times New Roman"/>
                <w:color w:val="000000"/>
                <w:sz w:val="18"/>
                <w:szCs w:val="18"/>
              </w:rPr>
              <w:t>CREDIT LOSS ALLOWANCES</w:t>
            </w:r>
          </w:p>
        </w:tc>
      </w:tr>
      <w:tr w:rsidR="0040300B" w14:paraId="7B66F529" w14:textId="77777777">
        <w:trPr>
          <w:jc w:val="center"/>
        </w:trPr>
        <w:tc>
          <w:tcPr>
            <w:tcW w:w="0" w:type="auto"/>
            <w:gridSpan w:val="3"/>
            <w:shd w:val="clear" w:color="auto" w:fill="auto"/>
            <w:tcMar>
              <w:top w:w="0" w:type="dxa"/>
              <w:left w:w="20" w:type="dxa"/>
              <w:bottom w:w="0" w:type="dxa"/>
              <w:right w:w="20" w:type="dxa"/>
            </w:tcMar>
          </w:tcPr>
          <w:p w14:paraId="7B66F52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22" w14:textId="77777777" w:rsidR="0040300B" w:rsidRDefault="00BB2D4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52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24" w14:textId="77777777" w:rsidR="0040300B" w:rsidRDefault="00BB2D4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52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26" w14:textId="77777777" w:rsidR="0040300B" w:rsidRDefault="00BB2D4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7B66F52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28"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F53A" w14:textId="77777777">
        <w:trPr>
          <w:jc w:val="center"/>
        </w:trPr>
        <w:tc>
          <w:tcPr>
            <w:tcW w:w="0" w:type="auto"/>
            <w:gridSpan w:val="3"/>
            <w:shd w:val="clear" w:color="auto" w:fill="CCEEFF"/>
            <w:tcMar>
              <w:top w:w="40" w:type="dxa"/>
              <w:left w:w="20" w:type="dxa"/>
              <w:bottom w:w="40" w:type="dxa"/>
              <w:right w:w="20" w:type="dxa"/>
            </w:tcMar>
          </w:tcPr>
          <w:p w14:paraId="7B66F52A" w14:textId="77777777" w:rsidR="0040300B" w:rsidRDefault="00BB2D44">
            <w:pPr>
              <w:textAlignment w:val="top"/>
            </w:pPr>
            <w:r>
              <w:rPr>
                <w:rFonts w:ascii="Times New Roman" w:eastAsia="宋体" w:hAnsi="Times New Roman"/>
                <w:color w:val="000000"/>
                <w:sz w:val="19"/>
                <w:szCs w:val="19"/>
              </w:rPr>
              <w:t>Allowance for credit loss as of January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52B"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2C" w14:textId="77777777" w:rsidR="0040300B" w:rsidRDefault="00BB2D44">
            <w:pPr>
              <w:jc w:val="right"/>
              <w:textAlignment w:val="bottom"/>
            </w:pPr>
            <w:r>
              <w:rPr>
                <w:rFonts w:ascii="Times New Roman" w:eastAsia="宋体" w:hAnsi="Times New Roman"/>
                <w:color w:val="000000"/>
                <w:sz w:val="19"/>
                <w:szCs w:val="19"/>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2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2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2F"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30" w14:textId="77777777" w:rsidR="0040300B" w:rsidRDefault="00BB2D44">
            <w:pPr>
              <w:jc w:val="right"/>
              <w:textAlignment w:val="bottom"/>
            </w:pPr>
            <w:r>
              <w:rPr>
                <w:rFonts w:ascii="Times New Roman" w:eastAsia="宋体" w:hAnsi="Times New Roman"/>
                <w:color w:val="000000"/>
                <w:sz w:val="19"/>
                <w:szCs w:val="19"/>
              </w:rPr>
              <w:t>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3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33"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34" w14:textId="77777777" w:rsidR="0040300B" w:rsidRDefault="00BB2D44">
            <w:pPr>
              <w:jc w:val="right"/>
              <w:textAlignment w:val="bottom"/>
            </w:pPr>
            <w:r>
              <w:rPr>
                <w:rFonts w:ascii="Times New Roman" w:eastAsia="宋体" w:hAnsi="Times New Roman"/>
                <w:color w:val="000000"/>
                <w:sz w:val="19"/>
                <w:szCs w:val="19"/>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3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36"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37"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38" w14:textId="77777777" w:rsidR="0040300B" w:rsidRDefault="00BB2D44">
            <w:pPr>
              <w:jc w:val="right"/>
              <w:textAlignment w:val="bottom"/>
            </w:pPr>
            <w:r>
              <w:rPr>
                <w:rFonts w:ascii="Times New Roman" w:eastAsia="宋体" w:hAnsi="Times New Roman"/>
                <w:color w:val="000000"/>
                <w:sz w:val="19"/>
                <w:szCs w:val="19"/>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39" w14:textId="77777777" w:rsidR="0040300B" w:rsidRDefault="0040300B">
            <w:pPr>
              <w:jc w:val="right"/>
              <w:rPr>
                <w:rFonts w:ascii="宋体"/>
              </w:rPr>
            </w:pPr>
          </w:p>
        </w:tc>
      </w:tr>
      <w:tr w:rsidR="0040300B" w14:paraId="7B66F547" w14:textId="77777777">
        <w:trPr>
          <w:jc w:val="center"/>
        </w:trPr>
        <w:tc>
          <w:tcPr>
            <w:tcW w:w="0" w:type="auto"/>
            <w:gridSpan w:val="3"/>
            <w:shd w:val="clear" w:color="auto" w:fill="auto"/>
            <w:tcMar>
              <w:top w:w="40" w:type="dxa"/>
              <w:left w:w="20" w:type="dxa"/>
              <w:bottom w:w="40" w:type="dxa"/>
              <w:right w:w="20" w:type="dxa"/>
            </w:tcMar>
          </w:tcPr>
          <w:p w14:paraId="7B66F53B" w14:textId="77777777" w:rsidR="0040300B" w:rsidRDefault="00BB2D4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7B66F53C"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auto"/>
            <w:tcMar>
              <w:top w:w="40" w:type="dxa"/>
              <w:left w:w="0" w:type="dxa"/>
              <w:bottom w:w="40" w:type="dxa"/>
              <w:right w:w="20" w:type="dxa"/>
            </w:tcMar>
            <w:vAlign w:val="bottom"/>
          </w:tcPr>
          <w:p w14:paraId="7B66F53D"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3E"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3F" w14:textId="77777777" w:rsidR="0040300B" w:rsidRDefault="00BB2D44">
            <w:pPr>
              <w:jc w:val="right"/>
              <w:textAlignment w:val="bottom"/>
            </w:pPr>
            <w:r>
              <w:rPr>
                <w:rFonts w:ascii="Times New Roman" w:eastAsia="宋体" w:hAnsi="Times New Roman"/>
                <w:color w:val="000000"/>
                <w:sz w:val="19"/>
                <w:szCs w:val="19"/>
              </w:rPr>
              <w:t>(5)</w:t>
            </w:r>
          </w:p>
        </w:tc>
        <w:tc>
          <w:tcPr>
            <w:tcW w:w="0" w:type="auto"/>
            <w:shd w:val="clear" w:color="auto" w:fill="auto"/>
            <w:tcMar>
              <w:top w:w="40" w:type="dxa"/>
              <w:left w:w="0" w:type="dxa"/>
              <w:bottom w:w="40" w:type="dxa"/>
              <w:right w:w="20" w:type="dxa"/>
            </w:tcMar>
            <w:vAlign w:val="bottom"/>
          </w:tcPr>
          <w:p w14:paraId="7B66F540"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41"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42"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auto"/>
            <w:tcMar>
              <w:top w:w="40" w:type="dxa"/>
              <w:left w:w="0" w:type="dxa"/>
              <w:bottom w:w="40" w:type="dxa"/>
              <w:right w:w="20" w:type="dxa"/>
            </w:tcMar>
            <w:vAlign w:val="bottom"/>
          </w:tcPr>
          <w:p w14:paraId="7B66F54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44"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45" w14:textId="77777777" w:rsidR="0040300B" w:rsidRDefault="00BB2D44">
            <w:pPr>
              <w:jc w:val="right"/>
              <w:textAlignment w:val="bottom"/>
            </w:pPr>
            <w:r>
              <w:rPr>
                <w:rFonts w:ascii="Times New Roman" w:eastAsia="宋体" w:hAnsi="Times New Roman"/>
                <w:color w:val="000000"/>
                <w:sz w:val="19"/>
                <w:szCs w:val="19"/>
              </w:rPr>
              <w:t>(11)</w:t>
            </w:r>
          </w:p>
        </w:tc>
        <w:tc>
          <w:tcPr>
            <w:tcW w:w="0" w:type="auto"/>
            <w:shd w:val="clear" w:color="auto" w:fill="auto"/>
            <w:tcMar>
              <w:top w:w="40" w:type="dxa"/>
              <w:left w:w="0" w:type="dxa"/>
              <w:bottom w:w="40" w:type="dxa"/>
              <w:right w:w="20" w:type="dxa"/>
            </w:tcMar>
            <w:vAlign w:val="bottom"/>
          </w:tcPr>
          <w:p w14:paraId="7B66F546" w14:textId="77777777" w:rsidR="0040300B" w:rsidRDefault="0040300B">
            <w:pPr>
              <w:jc w:val="right"/>
              <w:rPr>
                <w:rFonts w:ascii="宋体"/>
              </w:rPr>
            </w:pPr>
          </w:p>
        </w:tc>
      </w:tr>
      <w:tr w:rsidR="0040300B" w14:paraId="7B66F554" w14:textId="77777777">
        <w:trPr>
          <w:jc w:val="center"/>
        </w:trPr>
        <w:tc>
          <w:tcPr>
            <w:tcW w:w="0" w:type="auto"/>
            <w:gridSpan w:val="3"/>
            <w:shd w:val="clear" w:color="auto" w:fill="CCEEFF"/>
            <w:tcMar>
              <w:top w:w="40" w:type="dxa"/>
              <w:left w:w="20" w:type="dxa"/>
              <w:bottom w:w="40" w:type="dxa"/>
              <w:right w:w="20" w:type="dxa"/>
            </w:tcMar>
          </w:tcPr>
          <w:p w14:paraId="7B66F548" w14:textId="77777777" w:rsidR="0040300B" w:rsidRDefault="00BB2D44">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7B66F549"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54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4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4C"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7B66F54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4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4F"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B66F5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52"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7B66F553" w14:textId="77777777" w:rsidR="0040300B" w:rsidRDefault="0040300B">
            <w:pPr>
              <w:jc w:val="right"/>
              <w:rPr>
                <w:rFonts w:ascii="宋体"/>
              </w:rPr>
            </w:pPr>
          </w:p>
        </w:tc>
      </w:tr>
      <w:tr w:rsidR="0040300B" w14:paraId="7B66F561" w14:textId="77777777">
        <w:trPr>
          <w:jc w:val="center"/>
        </w:trPr>
        <w:tc>
          <w:tcPr>
            <w:tcW w:w="0" w:type="auto"/>
            <w:gridSpan w:val="3"/>
            <w:shd w:val="clear" w:color="auto" w:fill="FFFFFF"/>
            <w:tcMar>
              <w:top w:w="40" w:type="dxa"/>
              <w:left w:w="20" w:type="dxa"/>
              <w:bottom w:w="40" w:type="dxa"/>
              <w:right w:w="20" w:type="dxa"/>
            </w:tcMar>
          </w:tcPr>
          <w:p w14:paraId="7B66F555" w14:textId="77777777" w:rsidR="0040300B" w:rsidRDefault="00BB2D44">
            <w:pPr>
              <w:textAlignment w:val="top"/>
            </w:pPr>
            <w:r>
              <w:rPr>
                <w:rFonts w:ascii="Times New Roman" w:eastAsia="宋体" w:hAnsi="Times New Roman"/>
                <w:color w:val="000000"/>
                <w:sz w:val="19"/>
                <w:szCs w:val="19"/>
              </w:rPr>
              <w:t>Foreign exchange and other</w:t>
            </w:r>
          </w:p>
        </w:tc>
        <w:tc>
          <w:tcPr>
            <w:tcW w:w="0" w:type="auto"/>
            <w:gridSpan w:val="2"/>
            <w:shd w:val="clear" w:color="auto" w:fill="FFFFFF"/>
            <w:tcMar>
              <w:top w:w="40" w:type="dxa"/>
              <w:left w:w="20" w:type="dxa"/>
              <w:bottom w:w="40" w:type="dxa"/>
              <w:right w:w="0" w:type="dxa"/>
            </w:tcMar>
            <w:vAlign w:val="bottom"/>
          </w:tcPr>
          <w:p w14:paraId="7B66F556"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7B66F5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5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59" w14:textId="77777777" w:rsidR="0040300B" w:rsidRDefault="00BB2D44">
            <w:pPr>
              <w:jc w:val="right"/>
              <w:textAlignment w:val="bottom"/>
            </w:pPr>
            <w:r>
              <w:rPr>
                <w:rFonts w:ascii="Times New Roman" w:eastAsia="宋体" w:hAnsi="Times New Roman"/>
                <w:color w:val="000000"/>
                <w:sz w:val="19"/>
                <w:szCs w:val="19"/>
              </w:rPr>
              <w:t>(3)</w:t>
            </w:r>
          </w:p>
        </w:tc>
        <w:tc>
          <w:tcPr>
            <w:tcW w:w="0" w:type="auto"/>
            <w:shd w:val="clear" w:color="auto" w:fill="FFFFFF"/>
            <w:tcMar>
              <w:top w:w="40" w:type="dxa"/>
              <w:left w:w="0" w:type="dxa"/>
              <w:bottom w:w="40" w:type="dxa"/>
              <w:right w:w="20" w:type="dxa"/>
            </w:tcMar>
            <w:vAlign w:val="bottom"/>
          </w:tcPr>
          <w:p w14:paraId="7B66F55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5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5C"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55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5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5F"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7B66F560" w14:textId="77777777" w:rsidR="0040300B" w:rsidRDefault="0040300B">
            <w:pPr>
              <w:jc w:val="right"/>
              <w:rPr>
                <w:rFonts w:ascii="宋体"/>
              </w:rPr>
            </w:pPr>
          </w:p>
        </w:tc>
      </w:tr>
      <w:tr w:rsidR="0040300B" w14:paraId="7B66F572" w14:textId="77777777">
        <w:trPr>
          <w:jc w:val="center"/>
        </w:trPr>
        <w:tc>
          <w:tcPr>
            <w:tcW w:w="0" w:type="auto"/>
            <w:gridSpan w:val="3"/>
            <w:shd w:val="clear" w:color="auto" w:fill="CCEEFF"/>
            <w:tcMar>
              <w:top w:w="40" w:type="dxa"/>
              <w:left w:w="20" w:type="dxa"/>
              <w:bottom w:w="40" w:type="dxa"/>
              <w:right w:w="20" w:type="dxa"/>
            </w:tcMar>
          </w:tcPr>
          <w:p w14:paraId="7B66F562" w14:textId="77777777" w:rsidR="0040300B" w:rsidRDefault="00BB2D44">
            <w:pPr>
              <w:textAlignment w:val="top"/>
            </w:pPr>
            <w:r>
              <w:rPr>
                <w:rFonts w:ascii="Times New Roman" w:eastAsia="宋体" w:hAnsi="Times New Roman"/>
                <w:color w:val="000000"/>
                <w:sz w:val="19"/>
                <w:szCs w:val="19"/>
              </w:rPr>
              <w:t>Allowance for credit loss as of April 25,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63"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64" w14:textId="77777777" w:rsidR="0040300B" w:rsidRDefault="00BB2D44">
            <w:pPr>
              <w:jc w:val="right"/>
              <w:textAlignment w:val="bottom"/>
            </w:pPr>
            <w:r>
              <w:rPr>
                <w:rFonts w:ascii="Times New Roman" w:eastAsia="宋体" w:hAnsi="Times New Roman"/>
                <w:color w:val="000000"/>
                <w:sz w:val="19"/>
                <w:szCs w:val="19"/>
              </w:rPr>
              <w:t>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6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66"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67"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68" w14:textId="77777777" w:rsidR="0040300B" w:rsidRDefault="00BB2D44">
            <w:pPr>
              <w:jc w:val="right"/>
              <w:textAlignment w:val="bottom"/>
            </w:pPr>
            <w:r>
              <w:rPr>
                <w:rFonts w:ascii="Times New Roman" w:eastAsia="宋体" w:hAnsi="Times New Roman"/>
                <w:color w:val="000000"/>
                <w:sz w:val="19"/>
                <w:szCs w:val="19"/>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6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6A"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6B"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6C" w14:textId="77777777" w:rsidR="0040300B" w:rsidRDefault="00BB2D44">
            <w:pPr>
              <w:jc w:val="right"/>
              <w:textAlignment w:val="bottom"/>
            </w:pPr>
            <w:r>
              <w:rPr>
                <w:rFonts w:ascii="Times New Roman" w:eastAsia="宋体" w:hAnsi="Times New Roman"/>
                <w:color w:val="000000"/>
                <w:sz w:val="19"/>
                <w:szCs w:val="19"/>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6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6E"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6F"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70" w14:textId="77777777" w:rsidR="0040300B" w:rsidRDefault="00BB2D44">
            <w:pPr>
              <w:jc w:val="right"/>
              <w:textAlignment w:val="bottom"/>
            </w:pPr>
            <w:r>
              <w:rPr>
                <w:rFonts w:ascii="Times New Roman" w:eastAsia="宋体" w:hAnsi="Times New Roman"/>
                <w:color w:val="000000"/>
                <w:sz w:val="19"/>
                <w:szCs w:val="19"/>
              </w:rPr>
              <w:t>128 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71" w14:textId="77777777" w:rsidR="0040300B" w:rsidRDefault="0040300B">
            <w:pPr>
              <w:jc w:val="right"/>
              <w:rPr>
                <w:rFonts w:ascii="宋体"/>
              </w:rPr>
            </w:pPr>
          </w:p>
        </w:tc>
      </w:tr>
    </w:tbl>
    <w:p w14:paraId="7B66F573" w14:textId="77777777" w:rsidR="0040300B" w:rsidRDefault="00BB2D44">
      <w:pPr>
        <w:jc w:val="center"/>
      </w:pPr>
      <w:r>
        <w:rPr>
          <w:rFonts w:ascii="Times New Roman" w:eastAsia="宋体" w:hAnsi="Times New Roman"/>
          <w:color w:val="000000"/>
          <w:sz w:val="20"/>
          <w:szCs w:val="20"/>
        </w:rPr>
        <w:t>21</w:t>
      </w:r>
    </w:p>
    <w:p w14:paraId="7B66F574" w14:textId="77777777" w:rsidR="0040300B" w:rsidRDefault="00BB2D44">
      <w:r>
        <w:pict w14:anchorId="7B671C25">
          <v:rect id="_x0000_i1045" style="width:415.3pt;height:1.5pt" o:hralign="center" o:hrstd="t" o:hr="t" fillcolor="#a0a0a0" stroked="f"/>
        </w:pict>
      </w:r>
    </w:p>
    <w:p w14:paraId="7B66F575" w14:textId="77777777" w:rsidR="0040300B" w:rsidRDefault="00BB2D44">
      <w:hyperlink r:id="rId67" w:anchor="i52d5b40dbad7426a9806a2fd5167029f_7" w:history="1">
        <w:r>
          <w:rPr>
            <w:rStyle w:val="a5"/>
            <w:rFonts w:ascii="Times New Roman" w:eastAsia="宋体" w:hAnsi="Times New Roman"/>
            <w:sz w:val="18"/>
            <w:szCs w:val="18"/>
          </w:rPr>
          <w:t>Table of Contents</w:t>
        </w:r>
      </w:hyperlink>
    </w:p>
    <w:p w14:paraId="7B66F576" w14:textId="77777777" w:rsidR="0040300B" w:rsidRDefault="00BB2D44">
      <w:pPr>
        <w:jc w:val="center"/>
      </w:pPr>
      <w:r>
        <w:rPr>
          <w:rFonts w:ascii="Times New Roman" w:eastAsia="宋体" w:hAnsi="Times New Roman"/>
          <w:b/>
          <w:bCs/>
          <w:color w:val="000000"/>
          <w:sz w:val="18"/>
          <w:szCs w:val="18"/>
        </w:rPr>
        <w:t>CISCO SYSTEMS, INC.</w:t>
      </w:r>
    </w:p>
    <w:p w14:paraId="7B66F577"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578" w14:textId="77777777" w:rsidR="0040300B" w:rsidRDefault="00BB2D44">
      <w:pPr>
        <w:jc w:val="center"/>
      </w:pPr>
      <w:r>
        <w:rPr>
          <w:rFonts w:ascii="Times New Roman" w:eastAsia="宋体" w:hAnsi="Times New Roman"/>
          <w:b/>
          <w:bCs/>
          <w:color w:val="000000"/>
          <w:sz w:val="18"/>
          <w:szCs w:val="18"/>
        </w:rPr>
        <w:t xml:space="preserve">(Unaudited) </w:t>
      </w:r>
    </w:p>
    <w:p w14:paraId="7B66F579" w14:textId="77777777" w:rsidR="0040300B" w:rsidRDefault="0040300B">
      <w:pPr>
        <w:jc w:val="center"/>
      </w:pPr>
    </w:p>
    <w:tbl>
      <w:tblPr>
        <w:tblW w:w="4963" w:type="pct"/>
        <w:tblCellMar>
          <w:top w:w="15" w:type="dxa"/>
          <w:left w:w="15" w:type="dxa"/>
          <w:bottom w:w="15" w:type="dxa"/>
          <w:right w:w="15" w:type="dxa"/>
        </w:tblCellMar>
        <w:tblLook w:val="04A0" w:firstRow="1" w:lastRow="0" w:firstColumn="1" w:lastColumn="0" w:noHBand="0" w:noVBand="1"/>
      </w:tblPr>
      <w:tblGrid>
        <w:gridCol w:w="39"/>
        <w:gridCol w:w="3085"/>
        <w:gridCol w:w="38"/>
        <w:gridCol w:w="116"/>
        <w:gridCol w:w="1067"/>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40300B" w14:paraId="7B66F592" w14:textId="77777777">
        <w:tc>
          <w:tcPr>
            <w:tcW w:w="50" w:type="pct"/>
            <w:shd w:val="clear" w:color="auto" w:fill="auto"/>
          </w:tcPr>
          <w:p w14:paraId="7B66F57A" w14:textId="77777777" w:rsidR="0040300B" w:rsidRDefault="0040300B">
            <w:pPr>
              <w:rPr>
                <w:rFonts w:ascii="宋体"/>
              </w:rPr>
            </w:pPr>
          </w:p>
        </w:tc>
        <w:tc>
          <w:tcPr>
            <w:tcW w:w="1896" w:type="pct"/>
            <w:shd w:val="clear" w:color="auto" w:fill="auto"/>
          </w:tcPr>
          <w:p w14:paraId="7B66F57B" w14:textId="77777777" w:rsidR="0040300B" w:rsidRDefault="0040300B">
            <w:pPr>
              <w:rPr>
                <w:rFonts w:ascii="宋体"/>
              </w:rPr>
            </w:pPr>
          </w:p>
        </w:tc>
        <w:tc>
          <w:tcPr>
            <w:tcW w:w="5" w:type="pct"/>
            <w:shd w:val="clear" w:color="auto" w:fill="auto"/>
          </w:tcPr>
          <w:p w14:paraId="7B66F57C" w14:textId="77777777" w:rsidR="0040300B" w:rsidRDefault="0040300B">
            <w:pPr>
              <w:rPr>
                <w:rFonts w:ascii="宋体"/>
              </w:rPr>
            </w:pPr>
          </w:p>
        </w:tc>
        <w:tc>
          <w:tcPr>
            <w:tcW w:w="50" w:type="pct"/>
            <w:shd w:val="clear" w:color="auto" w:fill="auto"/>
          </w:tcPr>
          <w:p w14:paraId="7B66F57D" w14:textId="77777777" w:rsidR="0040300B" w:rsidRDefault="0040300B">
            <w:pPr>
              <w:rPr>
                <w:rFonts w:ascii="宋体"/>
              </w:rPr>
            </w:pPr>
          </w:p>
        </w:tc>
        <w:tc>
          <w:tcPr>
            <w:tcW w:w="674" w:type="pct"/>
            <w:shd w:val="clear" w:color="auto" w:fill="auto"/>
          </w:tcPr>
          <w:p w14:paraId="7B66F57E" w14:textId="77777777" w:rsidR="0040300B" w:rsidRDefault="0040300B">
            <w:pPr>
              <w:rPr>
                <w:rFonts w:ascii="宋体"/>
              </w:rPr>
            </w:pPr>
          </w:p>
        </w:tc>
        <w:tc>
          <w:tcPr>
            <w:tcW w:w="5" w:type="pct"/>
            <w:shd w:val="clear" w:color="auto" w:fill="auto"/>
          </w:tcPr>
          <w:p w14:paraId="7B66F57F" w14:textId="77777777" w:rsidR="0040300B" w:rsidRDefault="0040300B">
            <w:pPr>
              <w:rPr>
                <w:rFonts w:ascii="宋体"/>
              </w:rPr>
            </w:pPr>
          </w:p>
        </w:tc>
        <w:tc>
          <w:tcPr>
            <w:tcW w:w="5" w:type="pct"/>
            <w:shd w:val="clear" w:color="auto" w:fill="auto"/>
          </w:tcPr>
          <w:p w14:paraId="7B66F580" w14:textId="77777777" w:rsidR="0040300B" w:rsidRDefault="0040300B">
            <w:pPr>
              <w:rPr>
                <w:rFonts w:ascii="宋体"/>
              </w:rPr>
            </w:pPr>
          </w:p>
        </w:tc>
        <w:tc>
          <w:tcPr>
            <w:tcW w:w="26" w:type="pct"/>
            <w:shd w:val="clear" w:color="auto" w:fill="auto"/>
          </w:tcPr>
          <w:p w14:paraId="7B66F581" w14:textId="77777777" w:rsidR="0040300B" w:rsidRDefault="0040300B">
            <w:pPr>
              <w:rPr>
                <w:rFonts w:ascii="宋体"/>
              </w:rPr>
            </w:pPr>
          </w:p>
        </w:tc>
        <w:tc>
          <w:tcPr>
            <w:tcW w:w="5" w:type="pct"/>
            <w:shd w:val="clear" w:color="auto" w:fill="auto"/>
          </w:tcPr>
          <w:p w14:paraId="7B66F582" w14:textId="77777777" w:rsidR="0040300B" w:rsidRDefault="0040300B">
            <w:pPr>
              <w:rPr>
                <w:rFonts w:ascii="宋体"/>
              </w:rPr>
            </w:pPr>
          </w:p>
        </w:tc>
        <w:tc>
          <w:tcPr>
            <w:tcW w:w="50" w:type="pct"/>
            <w:shd w:val="clear" w:color="auto" w:fill="auto"/>
          </w:tcPr>
          <w:p w14:paraId="7B66F583" w14:textId="77777777" w:rsidR="0040300B" w:rsidRDefault="0040300B">
            <w:pPr>
              <w:rPr>
                <w:rFonts w:ascii="宋体"/>
              </w:rPr>
            </w:pPr>
          </w:p>
        </w:tc>
        <w:tc>
          <w:tcPr>
            <w:tcW w:w="681" w:type="pct"/>
            <w:shd w:val="clear" w:color="auto" w:fill="auto"/>
          </w:tcPr>
          <w:p w14:paraId="7B66F584" w14:textId="77777777" w:rsidR="0040300B" w:rsidRDefault="0040300B">
            <w:pPr>
              <w:rPr>
                <w:rFonts w:ascii="宋体"/>
              </w:rPr>
            </w:pPr>
          </w:p>
        </w:tc>
        <w:tc>
          <w:tcPr>
            <w:tcW w:w="5" w:type="pct"/>
            <w:shd w:val="clear" w:color="auto" w:fill="auto"/>
          </w:tcPr>
          <w:p w14:paraId="7B66F585" w14:textId="77777777" w:rsidR="0040300B" w:rsidRDefault="0040300B">
            <w:pPr>
              <w:rPr>
                <w:rFonts w:ascii="宋体"/>
              </w:rPr>
            </w:pPr>
          </w:p>
        </w:tc>
        <w:tc>
          <w:tcPr>
            <w:tcW w:w="5" w:type="pct"/>
            <w:shd w:val="clear" w:color="auto" w:fill="auto"/>
          </w:tcPr>
          <w:p w14:paraId="7B66F586" w14:textId="77777777" w:rsidR="0040300B" w:rsidRDefault="0040300B">
            <w:pPr>
              <w:rPr>
                <w:rFonts w:ascii="宋体"/>
              </w:rPr>
            </w:pPr>
          </w:p>
        </w:tc>
        <w:tc>
          <w:tcPr>
            <w:tcW w:w="26" w:type="pct"/>
            <w:shd w:val="clear" w:color="auto" w:fill="auto"/>
          </w:tcPr>
          <w:p w14:paraId="7B66F587" w14:textId="77777777" w:rsidR="0040300B" w:rsidRDefault="0040300B">
            <w:pPr>
              <w:rPr>
                <w:rFonts w:ascii="宋体"/>
              </w:rPr>
            </w:pPr>
          </w:p>
        </w:tc>
        <w:tc>
          <w:tcPr>
            <w:tcW w:w="5" w:type="pct"/>
            <w:shd w:val="clear" w:color="auto" w:fill="auto"/>
          </w:tcPr>
          <w:p w14:paraId="7B66F588" w14:textId="77777777" w:rsidR="0040300B" w:rsidRDefault="0040300B">
            <w:pPr>
              <w:rPr>
                <w:rFonts w:ascii="宋体"/>
              </w:rPr>
            </w:pPr>
          </w:p>
        </w:tc>
        <w:tc>
          <w:tcPr>
            <w:tcW w:w="50" w:type="pct"/>
            <w:shd w:val="clear" w:color="auto" w:fill="auto"/>
          </w:tcPr>
          <w:p w14:paraId="7B66F589" w14:textId="77777777" w:rsidR="0040300B" w:rsidRDefault="0040300B">
            <w:pPr>
              <w:rPr>
                <w:rFonts w:ascii="宋体"/>
              </w:rPr>
            </w:pPr>
          </w:p>
        </w:tc>
        <w:tc>
          <w:tcPr>
            <w:tcW w:w="681" w:type="pct"/>
            <w:shd w:val="clear" w:color="auto" w:fill="auto"/>
          </w:tcPr>
          <w:p w14:paraId="7B66F58A" w14:textId="77777777" w:rsidR="0040300B" w:rsidRDefault="0040300B">
            <w:pPr>
              <w:rPr>
                <w:rFonts w:ascii="宋体"/>
              </w:rPr>
            </w:pPr>
          </w:p>
        </w:tc>
        <w:tc>
          <w:tcPr>
            <w:tcW w:w="5" w:type="pct"/>
            <w:shd w:val="clear" w:color="auto" w:fill="auto"/>
          </w:tcPr>
          <w:p w14:paraId="7B66F58B" w14:textId="77777777" w:rsidR="0040300B" w:rsidRDefault="0040300B">
            <w:pPr>
              <w:rPr>
                <w:rFonts w:ascii="宋体"/>
              </w:rPr>
            </w:pPr>
          </w:p>
        </w:tc>
        <w:tc>
          <w:tcPr>
            <w:tcW w:w="5" w:type="pct"/>
            <w:shd w:val="clear" w:color="auto" w:fill="auto"/>
          </w:tcPr>
          <w:p w14:paraId="7B66F58C" w14:textId="77777777" w:rsidR="0040300B" w:rsidRDefault="0040300B">
            <w:pPr>
              <w:rPr>
                <w:rFonts w:ascii="宋体"/>
              </w:rPr>
            </w:pPr>
          </w:p>
        </w:tc>
        <w:tc>
          <w:tcPr>
            <w:tcW w:w="26" w:type="pct"/>
            <w:shd w:val="clear" w:color="auto" w:fill="auto"/>
          </w:tcPr>
          <w:p w14:paraId="7B66F58D" w14:textId="77777777" w:rsidR="0040300B" w:rsidRDefault="0040300B">
            <w:pPr>
              <w:rPr>
                <w:rFonts w:ascii="宋体"/>
              </w:rPr>
            </w:pPr>
          </w:p>
        </w:tc>
        <w:tc>
          <w:tcPr>
            <w:tcW w:w="5" w:type="pct"/>
            <w:shd w:val="clear" w:color="auto" w:fill="auto"/>
          </w:tcPr>
          <w:p w14:paraId="7B66F58E" w14:textId="77777777" w:rsidR="0040300B" w:rsidRDefault="0040300B">
            <w:pPr>
              <w:rPr>
                <w:rFonts w:ascii="宋体"/>
              </w:rPr>
            </w:pPr>
          </w:p>
        </w:tc>
        <w:tc>
          <w:tcPr>
            <w:tcW w:w="50" w:type="pct"/>
            <w:shd w:val="clear" w:color="auto" w:fill="auto"/>
          </w:tcPr>
          <w:p w14:paraId="7B66F58F" w14:textId="77777777" w:rsidR="0040300B" w:rsidRDefault="0040300B">
            <w:pPr>
              <w:rPr>
                <w:rFonts w:ascii="宋体"/>
              </w:rPr>
            </w:pPr>
          </w:p>
        </w:tc>
        <w:tc>
          <w:tcPr>
            <w:tcW w:w="681" w:type="pct"/>
            <w:shd w:val="clear" w:color="auto" w:fill="auto"/>
          </w:tcPr>
          <w:p w14:paraId="7B66F590" w14:textId="77777777" w:rsidR="0040300B" w:rsidRDefault="0040300B">
            <w:pPr>
              <w:rPr>
                <w:rFonts w:ascii="宋体"/>
              </w:rPr>
            </w:pPr>
          </w:p>
        </w:tc>
        <w:tc>
          <w:tcPr>
            <w:tcW w:w="5" w:type="pct"/>
            <w:shd w:val="clear" w:color="auto" w:fill="auto"/>
          </w:tcPr>
          <w:p w14:paraId="7B66F591" w14:textId="77777777" w:rsidR="0040300B" w:rsidRDefault="0040300B">
            <w:pPr>
              <w:rPr>
                <w:rFonts w:ascii="宋体"/>
              </w:rPr>
            </w:pPr>
          </w:p>
        </w:tc>
      </w:tr>
      <w:tr w:rsidR="0040300B" w14:paraId="7B66F595" w14:textId="77777777">
        <w:tc>
          <w:tcPr>
            <w:tcW w:w="0" w:type="auto"/>
            <w:gridSpan w:val="3"/>
            <w:shd w:val="clear" w:color="auto" w:fill="auto"/>
            <w:tcMar>
              <w:top w:w="40" w:type="dxa"/>
              <w:left w:w="20" w:type="dxa"/>
              <w:bottom w:w="40" w:type="dxa"/>
              <w:right w:w="20" w:type="dxa"/>
            </w:tcMar>
            <w:vAlign w:val="bottom"/>
          </w:tcPr>
          <w:p w14:paraId="7B66F593" w14:textId="77777777" w:rsidR="0040300B" w:rsidRDefault="00BB2D44">
            <w:pPr>
              <w:textAlignment w:val="bottom"/>
            </w:pPr>
            <w:r>
              <w:rPr>
                <w:rFonts w:ascii="Times New Roman" w:eastAsia="宋体" w:hAnsi="Times New Roman"/>
                <w:color w:val="000000"/>
                <w:sz w:val="16"/>
                <w:szCs w:val="16"/>
                <w:u w:val="single"/>
              </w:rPr>
              <w:t>Nine months ended April 25, 2020</w:t>
            </w:r>
          </w:p>
        </w:tc>
        <w:tc>
          <w:tcPr>
            <w:tcW w:w="0" w:type="auto"/>
            <w:gridSpan w:val="21"/>
            <w:shd w:val="clear" w:color="auto" w:fill="auto"/>
            <w:tcMar>
              <w:top w:w="40" w:type="dxa"/>
              <w:left w:w="20" w:type="dxa"/>
              <w:bottom w:w="40" w:type="dxa"/>
              <w:right w:w="20" w:type="dxa"/>
            </w:tcMar>
            <w:vAlign w:val="bottom"/>
          </w:tcPr>
          <w:p w14:paraId="7B66F594" w14:textId="77777777" w:rsidR="0040300B" w:rsidRDefault="00BB2D44">
            <w:pPr>
              <w:jc w:val="center"/>
              <w:textAlignment w:val="bottom"/>
            </w:pPr>
            <w:r>
              <w:rPr>
                <w:rFonts w:ascii="Times New Roman" w:eastAsia="宋体" w:hAnsi="Times New Roman"/>
                <w:color w:val="000000"/>
                <w:sz w:val="18"/>
                <w:szCs w:val="18"/>
              </w:rPr>
              <w:t>CREDIT LOSS ALLOWANCES</w:t>
            </w:r>
          </w:p>
        </w:tc>
      </w:tr>
      <w:tr w:rsidR="0040300B" w14:paraId="7B66F59E" w14:textId="77777777">
        <w:tc>
          <w:tcPr>
            <w:tcW w:w="0" w:type="auto"/>
            <w:gridSpan w:val="3"/>
            <w:shd w:val="clear" w:color="auto" w:fill="auto"/>
            <w:tcMar>
              <w:top w:w="0" w:type="dxa"/>
              <w:left w:w="20" w:type="dxa"/>
              <w:bottom w:w="0" w:type="dxa"/>
              <w:right w:w="20" w:type="dxa"/>
            </w:tcMar>
          </w:tcPr>
          <w:p w14:paraId="7B66F59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97" w14:textId="77777777" w:rsidR="0040300B" w:rsidRDefault="00BB2D4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59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99" w14:textId="77777777" w:rsidR="0040300B" w:rsidRDefault="00BB2D4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tcPr>
          <w:p w14:paraId="7B66F59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9B" w14:textId="77777777" w:rsidR="0040300B" w:rsidRDefault="00BB2D4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tcPr>
          <w:p w14:paraId="7B66F59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59D" w14:textId="77777777" w:rsidR="0040300B" w:rsidRDefault="00BB2D44">
            <w:pPr>
              <w:jc w:val="center"/>
              <w:textAlignment w:val="bottom"/>
            </w:pPr>
            <w:r>
              <w:rPr>
                <w:rFonts w:ascii="Times New Roman" w:eastAsia="宋体" w:hAnsi="Times New Roman"/>
                <w:color w:val="000000"/>
                <w:sz w:val="16"/>
                <w:szCs w:val="16"/>
              </w:rPr>
              <w:t>Total</w:t>
            </w:r>
          </w:p>
        </w:tc>
      </w:tr>
      <w:tr w:rsidR="0040300B" w14:paraId="7B66F5AF" w14:textId="77777777">
        <w:tc>
          <w:tcPr>
            <w:tcW w:w="0" w:type="auto"/>
            <w:gridSpan w:val="3"/>
            <w:shd w:val="clear" w:color="auto" w:fill="CCEEFF"/>
            <w:tcMar>
              <w:top w:w="40" w:type="dxa"/>
              <w:left w:w="20" w:type="dxa"/>
              <w:bottom w:w="40" w:type="dxa"/>
              <w:right w:w="20" w:type="dxa"/>
            </w:tcMar>
          </w:tcPr>
          <w:p w14:paraId="7B66F59F" w14:textId="77777777" w:rsidR="0040300B" w:rsidRDefault="00BB2D44">
            <w:pPr>
              <w:textAlignment w:val="top"/>
            </w:pPr>
            <w:r>
              <w:rPr>
                <w:rFonts w:ascii="Times New Roman" w:eastAsia="宋体" w:hAnsi="Times New Roman"/>
                <w:color w:val="000000"/>
                <w:sz w:val="19"/>
                <w:szCs w:val="19"/>
              </w:rPr>
              <w:t>Allowance for credit loss as of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5A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A1" w14:textId="77777777" w:rsidR="0040300B" w:rsidRDefault="00BB2D44">
            <w:pPr>
              <w:jc w:val="right"/>
              <w:textAlignment w:val="bottom"/>
            </w:pPr>
            <w:r>
              <w:rPr>
                <w:rFonts w:ascii="Times New Roman" w:eastAsia="宋体" w:hAnsi="Times New Roman"/>
                <w:color w:val="000000"/>
                <w:sz w:val="19"/>
                <w:szCs w:val="19"/>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A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A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A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A5" w14:textId="77777777" w:rsidR="0040300B" w:rsidRDefault="00BB2D44">
            <w:pPr>
              <w:jc w:val="right"/>
              <w:textAlignment w:val="bottom"/>
            </w:pPr>
            <w:r>
              <w:rPr>
                <w:rFonts w:ascii="Times New Roman" w:eastAsia="宋体" w:hAnsi="Times New Roman"/>
                <w:color w:val="000000"/>
                <w:sz w:val="19"/>
                <w:szCs w:val="19"/>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A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A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A9" w14:textId="77777777" w:rsidR="0040300B" w:rsidRDefault="00BB2D44">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A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5A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5AD" w14:textId="77777777" w:rsidR="0040300B" w:rsidRDefault="00BB2D44">
            <w:pPr>
              <w:jc w:val="right"/>
              <w:textAlignment w:val="bottom"/>
            </w:pPr>
            <w:r>
              <w:rPr>
                <w:rFonts w:ascii="Times New Roman" w:eastAsia="宋体" w:hAnsi="Times New Roman"/>
                <w:color w:val="000000"/>
                <w:sz w:val="19"/>
                <w:szCs w:val="19"/>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5AE" w14:textId="77777777" w:rsidR="0040300B" w:rsidRDefault="0040300B">
            <w:pPr>
              <w:jc w:val="right"/>
              <w:rPr>
                <w:rFonts w:ascii="宋体"/>
              </w:rPr>
            </w:pPr>
          </w:p>
        </w:tc>
      </w:tr>
      <w:tr w:rsidR="0040300B" w14:paraId="7B66F5BC" w14:textId="77777777">
        <w:tc>
          <w:tcPr>
            <w:tcW w:w="0" w:type="auto"/>
            <w:gridSpan w:val="3"/>
            <w:shd w:val="clear" w:color="auto" w:fill="auto"/>
            <w:tcMar>
              <w:top w:w="40" w:type="dxa"/>
              <w:left w:w="20" w:type="dxa"/>
              <w:bottom w:w="40" w:type="dxa"/>
              <w:right w:w="20" w:type="dxa"/>
            </w:tcMar>
          </w:tcPr>
          <w:p w14:paraId="7B66F5B0" w14:textId="77777777" w:rsidR="0040300B" w:rsidRDefault="00BB2D4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7B66F5B1" w14:textId="77777777" w:rsidR="0040300B" w:rsidRDefault="00BB2D44">
            <w:pPr>
              <w:jc w:val="right"/>
              <w:textAlignment w:val="bottom"/>
            </w:pPr>
            <w:r>
              <w:rPr>
                <w:rFonts w:ascii="Times New Roman" w:eastAsia="宋体" w:hAnsi="Times New Roman"/>
                <w:color w:val="000000"/>
                <w:sz w:val="19"/>
                <w:szCs w:val="19"/>
              </w:rPr>
              <w:t>(8)</w:t>
            </w:r>
          </w:p>
        </w:tc>
        <w:tc>
          <w:tcPr>
            <w:tcW w:w="0" w:type="auto"/>
            <w:shd w:val="clear" w:color="auto" w:fill="auto"/>
            <w:tcMar>
              <w:top w:w="40" w:type="dxa"/>
              <w:left w:w="0" w:type="dxa"/>
              <w:bottom w:w="40" w:type="dxa"/>
              <w:right w:w="20" w:type="dxa"/>
            </w:tcMar>
            <w:vAlign w:val="bottom"/>
          </w:tcPr>
          <w:p w14:paraId="7B66F5B2"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B3"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B4" w14:textId="77777777" w:rsidR="0040300B" w:rsidRDefault="00BB2D44">
            <w:pPr>
              <w:jc w:val="right"/>
              <w:textAlignment w:val="bottom"/>
            </w:pPr>
            <w:r>
              <w:rPr>
                <w:rFonts w:ascii="Times New Roman" w:eastAsia="宋体" w:hAnsi="Times New Roman"/>
                <w:color w:val="000000"/>
                <w:sz w:val="19"/>
                <w:szCs w:val="19"/>
              </w:rPr>
              <w:t>37 </w:t>
            </w:r>
          </w:p>
        </w:tc>
        <w:tc>
          <w:tcPr>
            <w:tcW w:w="0" w:type="auto"/>
            <w:shd w:val="clear" w:color="auto" w:fill="auto"/>
            <w:tcMar>
              <w:top w:w="40" w:type="dxa"/>
              <w:left w:w="0" w:type="dxa"/>
              <w:bottom w:w="40" w:type="dxa"/>
              <w:right w:w="20" w:type="dxa"/>
            </w:tcMar>
            <w:vAlign w:val="bottom"/>
          </w:tcPr>
          <w:p w14:paraId="7B66F5B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B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B7"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auto"/>
            <w:tcMar>
              <w:top w:w="40" w:type="dxa"/>
              <w:left w:w="0" w:type="dxa"/>
              <w:bottom w:w="40" w:type="dxa"/>
              <w:right w:w="20" w:type="dxa"/>
            </w:tcMar>
            <w:vAlign w:val="bottom"/>
          </w:tcPr>
          <w:p w14:paraId="7B66F5B8"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5B9"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5BA" w14:textId="77777777" w:rsidR="0040300B" w:rsidRDefault="00BB2D44">
            <w:pPr>
              <w:jc w:val="right"/>
              <w:textAlignment w:val="bottom"/>
            </w:pPr>
            <w:r>
              <w:rPr>
                <w:rFonts w:ascii="Times New Roman" w:eastAsia="宋体" w:hAnsi="Times New Roman"/>
                <w:color w:val="000000"/>
                <w:sz w:val="19"/>
                <w:szCs w:val="19"/>
              </w:rPr>
              <w:t>27 </w:t>
            </w:r>
          </w:p>
        </w:tc>
        <w:tc>
          <w:tcPr>
            <w:tcW w:w="0" w:type="auto"/>
            <w:shd w:val="clear" w:color="auto" w:fill="auto"/>
            <w:tcMar>
              <w:top w:w="40" w:type="dxa"/>
              <w:left w:w="0" w:type="dxa"/>
              <w:bottom w:w="40" w:type="dxa"/>
              <w:right w:w="20" w:type="dxa"/>
            </w:tcMar>
            <w:vAlign w:val="bottom"/>
          </w:tcPr>
          <w:p w14:paraId="7B66F5BB" w14:textId="77777777" w:rsidR="0040300B" w:rsidRDefault="0040300B">
            <w:pPr>
              <w:jc w:val="right"/>
              <w:rPr>
                <w:rFonts w:ascii="宋体"/>
              </w:rPr>
            </w:pPr>
          </w:p>
        </w:tc>
      </w:tr>
      <w:tr w:rsidR="0040300B" w14:paraId="7B66F5C9" w14:textId="77777777">
        <w:tc>
          <w:tcPr>
            <w:tcW w:w="0" w:type="auto"/>
            <w:gridSpan w:val="3"/>
            <w:shd w:val="clear" w:color="auto" w:fill="CCEEFF"/>
            <w:tcMar>
              <w:top w:w="40" w:type="dxa"/>
              <w:left w:w="20" w:type="dxa"/>
              <w:bottom w:w="40" w:type="dxa"/>
              <w:right w:w="20" w:type="dxa"/>
            </w:tcMar>
          </w:tcPr>
          <w:p w14:paraId="7B66F5BD" w14:textId="77777777" w:rsidR="0040300B" w:rsidRDefault="00BB2D44">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7B66F5BE"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7B66F5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C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C1" w14:textId="77777777" w:rsidR="0040300B" w:rsidRDefault="00BB2D44">
            <w:pPr>
              <w:jc w:val="right"/>
              <w:textAlignment w:val="bottom"/>
            </w:pPr>
            <w:r>
              <w:rPr>
                <w:rFonts w:ascii="Times New Roman" w:eastAsia="宋体" w:hAnsi="Times New Roman"/>
                <w:color w:val="000000"/>
                <w:sz w:val="19"/>
                <w:szCs w:val="19"/>
              </w:rPr>
              <w:t>(18)</w:t>
            </w:r>
          </w:p>
        </w:tc>
        <w:tc>
          <w:tcPr>
            <w:tcW w:w="0" w:type="auto"/>
            <w:shd w:val="clear" w:color="auto" w:fill="CCEEFF"/>
            <w:tcMar>
              <w:top w:w="40" w:type="dxa"/>
              <w:left w:w="0" w:type="dxa"/>
              <w:bottom w:w="40" w:type="dxa"/>
              <w:right w:w="20" w:type="dxa"/>
            </w:tcMar>
            <w:vAlign w:val="bottom"/>
          </w:tcPr>
          <w:p w14:paraId="7B66F5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C4"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7B66F5C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C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5C7" w14:textId="77777777" w:rsidR="0040300B" w:rsidRDefault="00BB2D44">
            <w:pPr>
              <w:jc w:val="right"/>
              <w:textAlignment w:val="bottom"/>
            </w:pPr>
            <w:r>
              <w:rPr>
                <w:rFonts w:ascii="Times New Roman" w:eastAsia="宋体" w:hAnsi="Times New Roman"/>
                <w:color w:val="000000"/>
                <w:sz w:val="19"/>
                <w:szCs w:val="19"/>
              </w:rPr>
              <w:t>(20)</w:t>
            </w:r>
          </w:p>
        </w:tc>
        <w:tc>
          <w:tcPr>
            <w:tcW w:w="0" w:type="auto"/>
            <w:shd w:val="clear" w:color="auto" w:fill="CCEEFF"/>
            <w:tcMar>
              <w:top w:w="40" w:type="dxa"/>
              <w:left w:w="0" w:type="dxa"/>
              <w:bottom w:w="40" w:type="dxa"/>
              <w:right w:w="20" w:type="dxa"/>
            </w:tcMar>
            <w:vAlign w:val="bottom"/>
          </w:tcPr>
          <w:p w14:paraId="7B66F5C8" w14:textId="77777777" w:rsidR="0040300B" w:rsidRDefault="0040300B">
            <w:pPr>
              <w:jc w:val="right"/>
              <w:rPr>
                <w:rFonts w:ascii="宋体"/>
              </w:rPr>
            </w:pPr>
          </w:p>
        </w:tc>
      </w:tr>
      <w:tr w:rsidR="0040300B" w14:paraId="7B66F5D6" w14:textId="77777777">
        <w:tc>
          <w:tcPr>
            <w:tcW w:w="0" w:type="auto"/>
            <w:gridSpan w:val="3"/>
            <w:shd w:val="clear" w:color="auto" w:fill="FFFFFF"/>
            <w:tcMar>
              <w:top w:w="40" w:type="dxa"/>
              <w:left w:w="20" w:type="dxa"/>
              <w:bottom w:w="40" w:type="dxa"/>
              <w:right w:w="20" w:type="dxa"/>
            </w:tcMar>
          </w:tcPr>
          <w:p w14:paraId="7B66F5CA" w14:textId="77777777" w:rsidR="0040300B" w:rsidRDefault="00BB2D44">
            <w:pPr>
              <w:textAlignment w:val="top"/>
            </w:pPr>
            <w:r>
              <w:rPr>
                <w:rFonts w:ascii="Times New Roman" w:eastAsia="宋体" w:hAnsi="Times New Roman"/>
                <w:color w:val="000000"/>
                <w:sz w:val="19"/>
                <w:szCs w:val="19"/>
              </w:rPr>
              <w:t>Foreign exchange and other</w:t>
            </w:r>
          </w:p>
        </w:tc>
        <w:tc>
          <w:tcPr>
            <w:tcW w:w="0" w:type="auto"/>
            <w:gridSpan w:val="2"/>
            <w:shd w:val="clear" w:color="auto" w:fill="FFFFFF"/>
            <w:tcMar>
              <w:top w:w="40" w:type="dxa"/>
              <w:left w:w="20" w:type="dxa"/>
              <w:bottom w:w="40" w:type="dxa"/>
              <w:right w:w="0" w:type="dxa"/>
            </w:tcMar>
            <w:vAlign w:val="bottom"/>
          </w:tcPr>
          <w:p w14:paraId="7B66F5CB" w14:textId="77777777" w:rsidR="0040300B" w:rsidRDefault="00BB2D4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7B66F5C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C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CE" w14:textId="77777777" w:rsidR="0040300B" w:rsidRDefault="00BB2D44">
            <w:pPr>
              <w:jc w:val="right"/>
              <w:textAlignment w:val="bottom"/>
            </w:pPr>
            <w:r>
              <w:rPr>
                <w:rFonts w:ascii="Times New Roman" w:eastAsia="宋体" w:hAnsi="Times New Roman"/>
                <w:color w:val="000000"/>
                <w:sz w:val="19"/>
                <w:szCs w:val="19"/>
              </w:rPr>
              <w:t>(4)</w:t>
            </w:r>
          </w:p>
        </w:tc>
        <w:tc>
          <w:tcPr>
            <w:tcW w:w="0" w:type="auto"/>
            <w:shd w:val="clear" w:color="auto" w:fill="FFFFFF"/>
            <w:tcMar>
              <w:top w:w="40" w:type="dxa"/>
              <w:left w:w="0" w:type="dxa"/>
              <w:bottom w:w="40" w:type="dxa"/>
              <w:right w:w="20" w:type="dxa"/>
            </w:tcMar>
            <w:vAlign w:val="bottom"/>
          </w:tcPr>
          <w:p w14:paraId="7B66F5C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D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D1" w14:textId="77777777" w:rsidR="0040300B" w:rsidRDefault="00BB2D44">
            <w:pPr>
              <w:jc w:val="right"/>
              <w:textAlignment w:val="bottom"/>
            </w:pPr>
            <w:r>
              <w:rPr>
                <w:rFonts w:ascii="Times New Roman" w:eastAsia="宋体" w:hAnsi="Times New Roman"/>
                <w:color w:val="000000"/>
                <w:sz w:val="19"/>
                <w:szCs w:val="19"/>
              </w:rPr>
              <w:t>(1)</w:t>
            </w:r>
          </w:p>
        </w:tc>
        <w:tc>
          <w:tcPr>
            <w:tcW w:w="0" w:type="auto"/>
            <w:shd w:val="clear" w:color="auto" w:fill="FFFFFF"/>
            <w:tcMar>
              <w:top w:w="40" w:type="dxa"/>
              <w:left w:w="0" w:type="dxa"/>
              <w:bottom w:w="40" w:type="dxa"/>
              <w:right w:w="20" w:type="dxa"/>
            </w:tcMar>
            <w:vAlign w:val="bottom"/>
          </w:tcPr>
          <w:p w14:paraId="7B66F5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5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5D4" w14:textId="77777777" w:rsidR="0040300B" w:rsidRDefault="00BB2D44">
            <w:pPr>
              <w:jc w:val="right"/>
              <w:textAlignment w:val="bottom"/>
            </w:pPr>
            <w:r>
              <w:rPr>
                <w:rFonts w:ascii="Times New Roman" w:eastAsia="宋体" w:hAnsi="Times New Roman"/>
                <w:color w:val="000000"/>
                <w:sz w:val="19"/>
                <w:szCs w:val="19"/>
              </w:rPr>
              <w:t>(5)</w:t>
            </w:r>
          </w:p>
        </w:tc>
        <w:tc>
          <w:tcPr>
            <w:tcW w:w="0" w:type="auto"/>
            <w:shd w:val="clear" w:color="auto" w:fill="FFFFFF"/>
            <w:tcMar>
              <w:top w:w="40" w:type="dxa"/>
              <w:left w:w="0" w:type="dxa"/>
              <w:bottom w:w="40" w:type="dxa"/>
              <w:right w:w="20" w:type="dxa"/>
            </w:tcMar>
            <w:vAlign w:val="bottom"/>
          </w:tcPr>
          <w:p w14:paraId="7B66F5D5" w14:textId="77777777" w:rsidR="0040300B" w:rsidRDefault="0040300B">
            <w:pPr>
              <w:jc w:val="right"/>
              <w:rPr>
                <w:rFonts w:ascii="宋体"/>
              </w:rPr>
            </w:pPr>
          </w:p>
        </w:tc>
      </w:tr>
      <w:tr w:rsidR="0040300B" w14:paraId="7B66F5E7" w14:textId="77777777">
        <w:tc>
          <w:tcPr>
            <w:tcW w:w="0" w:type="auto"/>
            <w:gridSpan w:val="3"/>
            <w:shd w:val="clear" w:color="auto" w:fill="CCEEFF"/>
            <w:tcMar>
              <w:top w:w="40" w:type="dxa"/>
              <w:left w:w="20" w:type="dxa"/>
              <w:bottom w:w="40" w:type="dxa"/>
              <w:right w:w="20" w:type="dxa"/>
            </w:tcMar>
          </w:tcPr>
          <w:p w14:paraId="7B66F5D7" w14:textId="77777777" w:rsidR="0040300B" w:rsidRDefault="00BB2D44">
            <w:pPr>
              <w:textAlignment w:val="top"/>
            </w:pPr>
            <w:r>
              <w:rPr>
                <w:rFonts w:ascii="Times New Roman" w:eastAsia="宋体" w:hAnsi="Times New Roman"/>
                <w:color w:val="000000"/>
                <w:sz w:val="19"/>
                <w:szCs w:val="19"/>
              </w:rPr>
              <w:t>Allowance for credit loss as of April 25,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D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D9" w14:textId="77777777" w:rsidR="0040300B" w:rsidRDefault="00BB2D44">
            <w:pPr>
              <w:jc w:val="right"/>
              <w:textAlignment w:val="bottom"/>
            </w:pPr>
            <w:r>
              <w:rPr>
                <w:rFonts w:ascii="Times New Roman" w:eastAsia="宋体" w:hAnsi="Times New Roman"/>
                <w:color w:val="000000"/>
                <w:sz w:val="19"/>
                <w:szCs w:val="19"/>
              </w:rPr>
              <w:t>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D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D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D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DD" w14:textId="77777777" w:rsidR="0040300B" w:rsidRDefault="00BB2D44">
            <w:pPr>
              <w:jc w:val="right"/>
              <w:textAlignment w:val="bottom"/>
            </w:pPr>
            <w:r>
              <w:rPr>
                <w:rFonts w:ascii="Times New Roman" w:eastAsia="宋体" w:hAnsi="Times New Roman"/>
                <w:color w:val="000000"/>
                <w:sz w:val="19"/>
                <w:szCs w:val="19"/>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D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D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E0"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E1" w14:textId="77777777" w:rsidR="0040300B" w:rsidRDefault="00BB2D44">
            <w:pPr>
              <w:jc w:val="right"/>
              <w:textAlignment w:val="bottom"/>
            </w:pPr>
            <w:r>
              <w:rPr>
                <w:rFonts w:ascii="Times New Roman" w:eastAsia="宋体" w:hAnsi="Times New Roman"/>
                <w:color w:val="000000"/>
                <w:sz w:val="19"/>
                <w:szCs w:val="19"/>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5E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5E4"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5E5" w14:textId="77777777" w:rsidR="0040300B" w:rsidRDefault="00BB2D44">
            <w:pPr>
              <w:jc w:val="right"/>
              <w:textAlignment w:val="bottom"/>
            </w:pPr>
            <w:r>
              <w:rPr>
                <w:rFonts w:ascii="Times New Roman" w:eastAsia="宋体" w:hAnsi="Times New Roman"/>
                <w:color w:val="000000"/>
                <w:sz w:val="19"/>
                <w:szCs w:val="19"/>
              </w:rPr>
              <w:t>128 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5E6" w14:textId="77777777" w:rsidR="0040300B" w:rsidRDefault="0040300B">
            <w:pPr>
              <w:jc w:val="right"/>
              <w:rPr>
                <w:rFonts w:ascii="宋体"/>
              </w:rPr>
            </w:pPr>
          </w:p>
        </w:tc>
      </w:tr>
    </w:tbl>
    <w:p w14:paraId="7B66F5E8" w14:textId="77777777" w:rsidR="0040300B" w:rsidRDefault="0040300B">
      <w:pPr>
        <w:spacing w:before="120"/>
        <w:jc w:val="both"/>
      </w:pPr>
    </w:p>
    <w:p w14:paraId="7B66F5E9" w14:textId="77777777" w:rsidR="0040300B" w:rsidRDefault="0040300B"/>
    <w:p w14:paraId="7B66F5EA" w14:textId="77777777" w:rsidR="0040300B" w:rsidRDefault="0040300B"/>
    <w:p w14:paraId="7B66F5EB" w14:textId="77777777" w:rsidR="0040300B" w:rsidRDefault="00BB2D44">
      <w:pPr>
        <w:ind w:hanging="360"/>
      </w:pPr>
      <w:r>
        <w:rPr>
          <w:rFonts w:ascii="Times New Roman" w:eastAsia="宋体" w:hAnsi="Times New Roman"/>
          <w:b/>
          <w:bCs/>
          <w:color w:val="000000"/>
          <w:sz w:val="20"/>
          <w:szCs w:val="20"/>
        </w:rPr>
        <w:t>10.Available-for-Sale Debt and Equity Investments</w:t>
      </w:r>
    </w:p>
    <w:p w14:paraId="7B66F5EC" w14:textId="77777777" w:rsidR="0040300B" w:rsidRDefault="00BB2D44">
      <w:pPr>
        <w:spacing w:before="100" w:after="100"/>
        <w:ind w:hanging="360"/>
      </w:pPr>
      <w:r>
        <w:rPr>
          <w:rFonts w:ascii="Times New Roman" w:eastAsia="宋体" w:hAnsi="Times New Roman"/>
          <w:b/>
          <w:bCs/>
          <w:color w:val="000000"/>
          <w:sz w:val="20"/>
          <w:szCs w:val="20"/>
        </w:rPr>
        <w:t>(a)Summary of Available-for-Sale Debt Investments</w:t>
      </w:r>
    </w:p>
    <w:p w14:paraId="7B66F5ED" w14:textId="77777777" w:rsidR="0040300B" w:rsidRDefault="00BB2D44">
      <w:pPr>
        <w:spacing w:before="120"/>
      </w:pPr>
      <w:r>
        <w:rPr>
          <w:rFonts w:ascii="Times New Roman" w:eastAsia="宋体" w:hAnsi="Times New Roman"/>
          <w:color w:val="000000"/>
          <w:sz w:val="20"/>
          <w:szCs w:val="20"/>
        </w:rPr>
        <w:t>The following tables summarize our available-for-sale debt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645"/>
        <w:gridCol w:w="37"/>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40300B" w14:paraId="7B66F606" w14:textId="77777777">
        <w:tc>
          <w:tcPr>
            <w:tcW w:w="50" w:type="pct"/>
            <w:shd w:val="clear" w:color="auto" w:fill="auto"/>
          </w:tcPr>
          <w:p w14:paraId="7B66F5EE" w14:textId="77777777" w:rsidR="0040300B" w:rsidRDefault="0040300B">
            <w:pPr>
              <w:rPr>
                <w:rFonts w:ascii="宋体"/>
              </w:rPr>
            </w:pPr>
          </w:p>
        </w:tc>
        <w:tc>
          <w:tcPr>
            <w:tcW w:w="2225" w:type="pct"/>
            <w:shd w:val="clear" w:color="auto" w:fill="auto"/>
          </w:tcPr>
          <w:p w14:paraId="7B66F5EF" w14:textId="77777777" w:rsidR="0040300B" w:rsidRDefault="0040300B">
            <w:pPr>
              <w:rPr>
                <w:rFonts w:ascii="宋体"/>
              </w:rPr>
            </w:pPr>
          </w:p>
        </w:tc>
        <w:tc>
          <w:tcPr>
            <w:tcW w:w="5" w:type="pct"/>
            <w:shd w:val="clear" w:color="auto" w:fill="auto"/>
          </w:tcPr>
          <w:p w14:paraId="7B66F5F0" w14:textId="77777777" w:rsidR="0040300B" w:rsidRDefault="0040300B">
            <w:pPr>
              <w:rPr>
                <w:rFonts w:ascii="宋体"/>
              </w:rPr>
            </w:pPr>
          </w:p>
        </w:tc>
        <w:tc>
          <w:tcPr>
            <w:tcW w:w="50" w:type="pct"/>
            <w:shd w:val="clear" w:color="auto" w:fill="auto"/>
          </w:tcPr>
          <w:p w14:paraId="7B66F5F1" w14:textId="77777777" w:rsidR="0040300B" w:rsidRDefault="0040300B">
            <w:pPr>
              <w:rPr>
                <w:rFonts w:ascii="宋体"/>
              </w:rPr>
            </w:pPr>
          </w:p>
        </w:tc>
        <w:tc>
          <w:tcPr>
            <w:tcW w:w="597" w:type="pct"/>
            <w:shd w:val="clear" w:color="auto" w:fill="auto"/>
          </w:tcPr>
          <w:p w14:paraId="7B66F5F2" w14:textId="77777777" w:rsidR="0040300B" w:rsidRDefault="0040300B">
            <w:pPr>
              <w:rPr>
                <w:rFonts w:ascii="宋体"/>
              </w:rPr>
            </w:pPr>
          </w:p>
        </w:tc>
        <w:tc>
          <w:tcPr>
            <w:tcW w:w="5" w:type="pct"/>
            <w:shd w:val="clear" w:color="auto" w:fill="auto"/>
          </w:tcPr>
          <w:p w14:paraId="7B66F5F3" w14:textId="77777777" w:rsidR="0040300B" w:rsidRDefault="0040300B">
            <w:pPr>
              <w:rPr>
                <w:rFonts w:ascii="宋体"/>
              </w:rPr>
            </w:pPr>
          </w:p>
        </w:tc>
        <w:tc>
          <w:tcPr>
            <w:tcW w:w="5" w:type="pct"/>
            <w:shd w:val="clear" w:color="auto" w:fill="auto"/>
          </w:tcPr>
          <w:p w14:paraId="7B66F5F4" w14:textId="77777777" w:rsidR="0040300B" w:rsidRDefault="0040300B">
            <w:pPr>
              <w:rPr>
                <w:rFonts w:ascii="宋体"/>
              </w:rPr>
            </w:pPr>
          </w:p>
        </w:tc>
        <w:tc>
          <w:tcPr>
            <w:tcW w:w="26" w:type="pct"/>
            <w:shd w:val="clear" w:color="auto" w:fill="auto"/>
          </w:tcPr>
          <w:p w14:paraId="7B66F5F5" w14:textId="77777777" w:rsidR="0040300B" w:rsidRDefault="0040300B">
            <w:pPr>
              <w:rPr>
                <w:rFonts w:ascii="宋体"/>
              </w:rPr>
            </w:pPr>
          </w:p>
        </w:tc>
        <w:tc>
          <w:tcPr>
            <w:tcW w:w="5" w:type="pct"/>
            <w:shd w:val="clear" w:color="auto" w:fill="auto"/>
          </w:tcPr>
          <w:p w14:paraId="7B66F5F6" w14:textId="77777777" w:rsidR="0040300B" w:rsidRDefault="0040300B">
            <w:pPr>
              <w:rPr>
                <w:rFonts w:ascii="宋体"/>
              </w:rPr>
            </w:pPr>
          </w:p>
        </w:tc>
        <w:tc>
          <w:tcPr>
            <w:tcW w:w="50" w:type="pct"/>
            <w:shd w:val="clear" w:color="auto" w:fill="auto"/>
          </w:tcPr>
          <w:p w14:paraId="7B66F5F7" w14:textId="77777777" w:rsidR="0040300B" w:rsidRDefault="0040300B">
            <w:pPr>
              <w:rPr>
                <w:rFonts w:ascii="宋体"/>
              </w:rPr>
            </w:pPr>
          </w:p>
        </w:tc>
        <w:tc>
          <w:tcPr>
            <w:tcW w:w="597" w:type="pct"/>
            <w:shd w:val="clear" w:color="auto" w:fill="auto"/>
          </w:tcPr>
          <w:p w14:paraId="7B66F5F8" w14:textId="77777777" w:rsidR="0040300B" w:rsidRDefault="0040300B">
            <w:pPr>
              <w:rPr>
                <w:rFonts w:ascii="宋体"/>
              </w:rPr>
            </w:pPr>
          </w:p>
        </w:tc>
        <w:tc>
          <w:tcPr>
            <w:tcW w:w="5" w:type="pct"/>
            <w:shd w:val="clear" w:color="auto" w:fill="auto"/>
          </w:tcPr>
          <w:p w14:paraId="7B66F5F9" w14:textId="77777777" w:rsidR="0040300B" w:rsidRDefault="0040300B">
            <w:pPr>
              <w:rPr>
                <w:rFonts w:ascii="宋体"/>
              </w:rPr>
            </w:pPr>
          </w:p>
        </w:tc>
        <w:tc>
          <w:tcPr>
            <w:tcW w:w="5" w:type="pct"/>
            <w:shd w:val="clear" w:color="auto" w:fill="auto"/>
          </w:tcPr>
          <w:p w14:paraId="7B66F5FA" w14:textId="77777777" w:rsidR="0040300B" w:rsidRDefault="0040300B">
            <w:pPr>
              <w:rPr>
                <w:rFonts w:ascii="宋体"/>
              </w:rPr>
            </w:pPr>
          </w:p>
        </w:tc>
        <w:tc>
          <w:tcPr>
            <w:tcW w:w="26" w:type="pct"/>
            <w:shd w:val="clear" w:color="auto" w:fill="auto"/>
          </w:tcPr>
          <w:p w14:paraId="7B66F5FB" w14:textId="77777777" w:rsidR="0040300B" w:rsidRDefault="0040300B">
            <w:pPr>
              <w:rPr>
                <w:rFonts w:ascii="宋体"/>
              </w:rPr>
            </w:pPr>
          </w:p>
        </w:tc>
        <w:tc>
          <w:tcPr>
            <w:tcW w:w="5" w:type="pct"/>
            <w:shd w:val="clear" w:color="auto" w:fill="auto"/>
          </w:tcPr>
          <w:p w14:paraId="7B66F5FC" w14:textId="77777777" w:rsidR="0040300B" w:rsidRDefault="0040300B">
            <w:pPr>
              <w:rPr>
                <w:rFonts w:ascii="宋体"/>
              </w:rPr>
            </w:pPr>
          </w:p>
        </w:tc>
        <w:tc>
          <w:tcPr>
            <w:tcW w:w="50" w:type="pct"/>
            <w:shd w:val="clear" w:color="auto" w:fill="auto"/>
          </w:tcPr>
          <w:p w14:paraId="7B66F5FD" w14:textId="77777777" w:rsidR="0040300B" w:rsidRDefault="0040300B">
            <w:pPr>
              <w:rPr>
                <w:rFonts w:ascii="宋体"/>
              </w:rPr>
            </w:pPr>
          </w:p>
        </w:tc>
        <w:tc>
          <w:tcPr>
            <w:tcW w:w="597" w:type="pct"/>
            <w:shd w:val="clear" w:color="auto" w:fill="auto"/>
          </w:tcPr>
          <w:p w14:paraId="7B66F5FE" w14:textId="77777777" w:rsidR="0040300B" w:rsidRDefault="0040300B">
            <w:pPr>
              <w:rPr>
                <w:rFonts w:ascii="宋体"/>
              </w:rPr>
            </w:pPr>
          </w:p>
        </w:tc>
        <w:tc>
          <w:tcPr>
            <w:tcW w:w="5" w:type="pct"/>
            <w:shd w:val="clear" w:color="auto" w:fill="auto"/>
          </w:tcPr>
          <w:p w14:paraId="7B66F5FF" w14:textId="77777777" w:rsidR="0040300B" w:rsidRDefault="0040300B">
            <w:pPr>
              <w:rPr>
                <w:rFonts w:ascii="宋体"/>
              </w:rPr>
            </w:pPr>
          </w:p>
        </w:tc>
        <w:tc>
          <w:tcPr>
            <w:tcW w:w="5" w:type="pct"/>
            <w:shd w:val="clear" w:color="auto" w:fill="auto"/>
          </w:tcPr>
          <w:p w14:paraId="7B66F600" w14:textId="77777777" w:rsidR="0040300B" w:rsidRDefault="0040300B">
            <w:pPr>
              <w:rPr>
                <w:rFonts w:ascii="宋体"/>
              </w:rPr>
            </w:pPr>
          </w:p>
        </w:tc>
        <w:tc>
          <w:tcPr>
            <w:tcW w:w="26" w:type="pct"/>
            <w:shd w:val="clear" w:color="auto" w:fill="auto"/>
          </w:tcPr>
          <w:p w14:paraId="7B66F601" w14:textId="77777777" w:rsidR="0040300B" w:rsidRDefault="0040300B">
            <w:pPr>
              <w:rPr>
                <w:rFonts w:ascii="宋体"/>
              </w:rPr>
            </w:pPr>
          </w:p>
        </w:tc>
        <w:tc>
          <w:tcPr>
            <w:tcW w:w="5" w:type="pct"/>
            <w:shd w:val="clear" w:color="auto" w:fill="auto"/>
          </w:tcPr>
          <w:p w14:paraId="7B66F602" w14:textId="77777777" w:rsidR="0040300B" w:rsidRDefault="0040300B">
            <w:pPr>
              <w:rPr>
                <w:rFonts w:ascii="宋体"/>
              </w:rPr>
            </w:pPr>
          </w:p>
        </w:tc>
        <w:tc>
          <w:tcPr>
            <w:tcW w:w="50" w:type="pct"/>
            <w:shd w:val="clear" w:color="auto" w:fill="auto"/>
          </w:tcPr>
          <w:p w14:paraId="7B66F603" w14:textId="77777777" w:rsidR="0040300B" w:rsidRDefault="0040300B">
            <w:pPr>
              <w:rPr>
                <w:rFonts w:ascii="宋体"/>
              </w:rPr>
            </w:pPr>
          </w:p>
        </w:tc>
        <w:tc>
          <w:tcPr>
            <w:tcW w:w="597" w:type="pct"/>
            <w:shd w:val="clear" w:color="auto" w:fill="auto"/>
          </w:tcPr>
          <w:p w14:paraId="7B66F604" w14:textId="77777777" w:rsidR="0040300B" w:rsidRDefault="0040300B">
            <w:pPr>
              <w:rPr>
                <w:rFonts w:ascii="宋体"/>
              </w:rPr>
            </w:pPr>
          </w:p>
        </w:tc>
        <w:tc>
          <w:tcPr>
            <w:tcW w:w="5" w:type="pct"/>
            <w:shd w:val="clear" w:color="auto" w:fill="auto"/>
          </w:tcPr>
          <w:p w14:paraId="7B66F605" w14:textId="77777777" w:rsidR="0040300B" w:rsidRDefault="0040300B">
            <w:pPr>
              <w:rPr>
                <w:rFonts w:ascii="宋体"/>
              </w:rPr>
            </w:pPr>
          </w:p>
        </w:tc>
      </w:tr>
      <w:tr w:rsidR="0040300B" w14:paraId="7B66F60F" w14:textId="77777777">
        <w:tc>
          <w:tcPr>
            <w:tcW w:w="0" w:type="auto"/>
            <w:gridSpan w:val="3"/>
            <w:shd w:val="clear" w:color="auto" w:fill="auto"/>
            <w:tcMar>
              <w:top w:w="40" w:type="dxa"/>
              <w:left w:w="20" w:type="dxa"/>
              <w:bottom w:w="40" w:type="dxa"/>
              <w:right w:w="20" w:type="dxa"/>
            </w:tcMar>
            <w:vAlign w:val="bottom"/>
          </w:tcPr>
          <w:p w14:paraId="7B66F607" w14:textId="77777777" w:rsidR="0040300B" w:rsidRDefault="00BB2D44">
            <w:pPr>
              <w:textAlignment w:val="bottom"/>
            </w:pPr>
            <w:r>
              <w:rPr>
                <w:rFonts w:ascii="Times New Roman" w:eastAsia="宋体" w:hAnsi="Times New Roman"/>
                <w:color w:val="000000"/>
                <w:sz w:val="18"/>
                <w:szCs w:val="18"/>
                <w:u w:val="single"/>
              </w:rPr>
              <w:t>May 1, 2021</w:t>
            </w:r>
          </w:p>
        </w:tc>
        <w:tc>
          <w:tcPr>
            <w:tcW w:w="0" w:type="auto"/>
            <w:gridSpan w:val="3"/>
            <w:shd w:val="clear" w:color="auto" w:fill="auto"/>
            <w:tcMar>
              <w:top w:w="40" w:type="dxa"/>
              <w:left w:w="20" w:type="dxa"/>
              <w:bottom w:w="40" w:type="dxa"/>
              <w:right w:w="20" w:type="dxa"/>
            </w:tcMar>
            <w:vAlign w:val="bottom"/>
          </w:tcPr>
          <w:p w14:paraId="7B66F608" w14:textId="77777777" w:rsidR="0040300B" w:rsidRDefault="00BB2D44">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tcPr>
          <w:p w14:paraId="7B66F60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0A"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tcPr>
          <w:p w14:paraId="7B66F60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0C"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60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0E" w14:textId="77777777" w:rsidR="0040300B" w:rsidRDefault="00BB2D44">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40300B" w14:paraId="7B66F620" w14:textId="77777777">
        <w:tc>
          <w:tcPr>
            <w:tcW w:w="0" w:type="auto"/>
            <w:gridSpan w:val="3"/>
            <w:shd w:val="clear" w:color="auto" w:fill="CCEEFF"/>
            <w:tcMar>
              <w:top w:w="40" w:type="dxa"/>
              <w:left w:w="245" w:type="dxa"/>
              <w:bottom w:w="40" w:type="dxa"/>
              <w:right w:w="20" w:type="dxa"/>
            </w:tcMar>
            <w:vAlign w:val="bottom"/>
          </w:tcPr>
          <w:p w14:paraId="7B66F610" w14:textId="77777777" w:rsidR="0040300B" w:rsidRDefault="00BB2D44">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61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12" w14:textId="77777777" w:rsidR="0040300B" w:rsidRDefault="00BB2D44">
            <w:pPr>
              <w:jc w:val="right"/>
              <w:textAlignment w:val="bottom"/>
            </w:pPr>
            <w:r>
              <w:rPr>
                <w:rFonts w:ascii="Times New Roman" w:eastAsia="宋体" w:hAnsi="Times New Roman"/>
                <w:color w:val="000000"/>
                <w:sz w:val="20"/>
                <w:szCs w:val="20"/>
              </w:rPr>
              <w:t>1,881 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1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1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1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16" w14:textId="77777777" w:rsidR="0040300B" w:rsidRDefault="00BB2D44">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1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1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1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1A"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1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1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1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1E" w14:textId="77777777" w:rsidR="0040300B" w:rsidRDefault="00BB2D44">
            <w:pPr>
              <w:jc w:val="right"/>
              <w:textAlignment w:val="bottom"/>
            </w:pPr>
            <w:r>
              <w:rPr>
                <w:rFonts w:ascii="Times New Roman" w:eastAsia="宋体" w:hAnsi="Times New Roman"/>
                <w:color w:val="000000"/>
                <w:sz w:val="20"/>
                <w:szCs w:val="20"/>
              </w:rPr>
              <w:t>1,903 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1F" w14:textId="77777777" w:rsidR="0040300B" w:rsidRDefault="0040300B">
            <w:pPr>
              <w:jc w:val="right"/>
              <w:rPr>
                <w:rFonts w:ascii="宋体"/>
              </w:rPr>
            </w:pPr>
          </w:p>
        </w:tc>
      </w:tr>
      <w:tr w:rsidR="0040300B" w14:paraId="7B66F62D" w14:textId="77777777">
        <w:tc>
          <w:tcPr>
            <w:tcW w:w="0" w:type="auto"/>
            <w:gridSpan w:val="3"/>
            <w:shd w:val="clear" w:color="auto" w:fill="FFFFFF"/>
            <w:tcMar>
              <w:top w:w="40" w:type="dxa"/>
              <w:left w:w="245" w:type="dxa"/>
              <w:bottom w:w="40" w:type="dxa"/>
              <w:right w:w="20" w:type="dxa"/>
            </w:tcMar>
            <w:vAlign w:val="bottom"/>
          </w:tcPr>
          <w:p w14:paraId="7B66F621" w14:textId="77777777" w:rsidR="0040300B" w:rsidRDefault="00BB2D44">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7B66F622" w14:textId="77777777" w:rsidR="0040300B" w:rsidRDefault="00BB2D44">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7B66F62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2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2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2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2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2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2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2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2B" w14:textId="77777777" w:rsidR="0040300B" w:rsidRDefault="00BB2D44">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7B66F62C" w14:textId="77777777" w:rsidR="0040300B" w:rsidRDefault="0040300B">
            <w:pPr>
              <w:jc w:val="right"/>
              <w:rPr>
                <w:rFonts w:ascii="宋体"/>
              </w:rPr>
            </w:pPr>
          </w:p>
        </w:tc>
      </w:tr>
      <w:tr w:rsidR="0040300B" w14:paraId="7B66F63A" w14:textId="77777777">
        <w:tc>
          <w:tcPr>
            <w:tcW w:w="0" w:type="auto"/>
            <w:gridSpan w:val="3"/>
            <w:shd w:val="clear" w:color="auto" w:fill="CCEEFF"/>
            <w:tcMar>
              <w:top w:w="40" w:type="dxa"/>
              <w:left w:w="245" w:type="dxa"/>
              <w:bottom w:w="40" w:type="dxa"/>
              <w:right w:w="20" w:type="dxa"/>
            </w:tcMar>
          </w:tcPr>
          <w:p w14:paraId="7B66F62E" w14:textId="77777777" w:rsidR="0040300B" w:rsidRDefault="00BB2D44">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7B66F62F"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F63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3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3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3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3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3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3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38"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F639" w14:textId="77777777" w:rsidR="0040300B" w:rsidRDefault="0040300B">
            <w:pPr>
              <w:jc w:val="right"/>
              <w:rPr>
                <w:rFonts w:ascii="宋体"/>
              </w:rPr>
            </w:pPr>
          </w:p>
        </w:tc>
      </w:tr>
      <w:tr w:rsidR="0040300B" w14:paraId="7B66F647" w14:textId="77777777">
        <w:tc>
          <w:tcPr>
            <w:tcW w:w="0" w:type="auto"/>
            <w:gridSpan w:val="3"/>
            <w:shd w:val="clear" w:color="auto" w:fill="FFFFFF"/>
            <w:tcMar>
              <w:top w:w="40" w:type="dxa"/>
              <w:left w:w="245" w:type="dxa"/>
              <w:bottom w:w="40" w:type="dxa"/>
              <w:right w:w="20" w:type="dxa"/>
            </w:tcMar>
          </w:tcPr>
          <w:p w14:paraId="7B66F63B" w14:textId="77777777" w:rsidR="0040300B" w:rsidRDefault="00BB2D44">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B66F63C" w14:textId="77777777" w:rsidR="0040300B" w:rsidRDefault="00BB2D44">
            <w:pPr>
              <w:jc w:val="right"/>
              <w:textAlignment w:val="bottom"/>
            </w:pPr>
            <w:r>
              <w:rPr>
                <w:rFonts w:ascii="Times New Roman" w:eastAsia="宋体" w:hAnsi="Times New Roman"/>
                <w:color w:val="000000"/>
                <w:sz w:val="20"/>
                <w:szCs w:val="20"/>
              </w:rPr>
              <w:t>9,329 </w:t>
            </w:r>
          </w:p>
        </w:tc>
        <w:tc>
          <w:tcPr>
            <w:tcW w:w="0" w:type="auto"/>
            <w:shd w:val="clear" w:color="auto" w:fill="FFFFFF"/>
            <w:tcMar>
              <w:top w:w="40" w:type="dxa"/>
              <w:left w:w="0" w:type="dxa"/>
              <w:bottom w:w="40" w:type="dxa"/>
              <w:right w:w="20" w:type="dxa"/>
            </w:tcMar>
            <w:vAlign w:val="bottom"/>
          </w:tcPr>
          <w:p w14:paraId="7B66F6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3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3F" w14:textId="77777777" w:rsidR="0040300B" w:rsidRDefault="00BB2D44">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7B66F6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4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42" w14:textId="77777777" w:rsidR="0040300B" w:rsidRDefault="00BB2D44">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7B66F6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4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45" w14:textId="77777777" w:rsidR="0040300B" w:rsidRDefault="00BB2D44">
            <w:pPr>
              <w:jc w:val="right"/>
              <w:textAlignment w:val="bottom"/>
            </w:pPr>
            <w:r>
              <w:rPr>
                <w:rFonts w:ascii="Times New Roman" w:eastAsia="宋体" w:hAnsi="Times New Roman"/>
                <w:color w:val="000000"/>
                <w:sz w:val="20"/>
                <w:szCs w:val="20"/>
              </w:rPr>
              <w:t>9,512 </w:t>
            </w:r>
          </w:p>
        </w:tc>
        <w:tc>
          <w:tcPr>
            <w:tcW w:w="0" w:type="auto"/>
            <w:shd w:val="clear" w:color="auto" w:fill="FFFFFF"/>
            <w:tcMar>
              <w:top w:w="40" w:type="dxa"/>
              <w:left w:w="0" w:type="dxa"/>
              <w:bottom w:w="40" w:type="dxa"/>
              <w:right w:w="20" w:type="dxa"/>
            </w:tcMar>
            <w:vAlign w:val="bottom"/>
          </w:tcPr>
          <w:p w14:paraId="7B66F646" w14:textId="77777777" w:rsidR="0040300B" w:rsidRDefault="0040300B">
            <w:pPr>
              <w:jc w:val="right"/>
              <w:rPr>
                <w:rFonts w:ascii="宋体"/>
              </w:rPr>
            </w:pPr>
          </w:p>
        </w:tc>
      </w:tr>
      <w:tr w:rsidR="0040300B" w14:paraId="7B66F654" w14:textId="77777777">
        <w:tc>
          <w:tcPr>
            <w:tcW w:w="0" w:type="auto"/>
            <w:gridSpan w:val="3"/>
            <w:shd w:val="clear" w:color="auto" w:fill="CCEEFF"/>
            <w:tcMar>
              <w:top w:w="40" w:type="dxa"/>
              <w:left w:w="245" w:type="dxa"/>
              <w:bottom w:w="40" w:type="dxa"/>
              <w:right w:w="20" w:type="dxa"/>
            </w:tcMar>
          </w:tcPr>
          <w:p w14:paraId="7B66F648" w14:textId="77777777" w:rsidR="0040300B" w:rsidRDefault="00BB2D4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7B66F649" w14:textId="77777777" w:rsidR="0040300B" w:rsidRDefault="00BB2D44">
            <w:pPr>
              <w:jc w:val="right"/>
              <w:textAlignment w:val="bottom"/>
            </w:pPr>
            <w:r>
              <w:rPr>
                <w:rFonts w:ascii="Times New Roman" w:eastAsia="宋体" w:hAnsi="Times New Roman"/>
                <w:color w:val="000000"/>
                <w:sz w:val="20"/>
                <w:szCs w:val="20"/>
              </w:rPr>
              <w:t>2,788 </w:t>
            </w:r>
          </w:p>
        </w:tc>
        <w:tc>
          <w:tcPr>
            <w:tcW w:w="0" w:type="auto"/>
            <w:shd w:val="clear" w:color="auto" w:fill="CCEEFF"/>
            <w:tcMar>
              <w:top w:w="40" w:type="dxa"/>
              <w:left w:w="0" w:type="dxa"/>
              <w:bottom w:w="40" w:type="dxa"/>
              <w:right w:w="20" w:type="dxa"/>
            </w:tcMar>
            <w:vAlign w:val="bottom"/>
          </w:tcPr>
          <w:p w14:paraId="7B66F64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4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4C" w14:textId="77777777" w:rsidR="0040300B" w:rsidRDefault="00BB2D44">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7B66F64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4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4F" w14:textId="77777777" w:rsidR="0040300B" w:rsidRDefault="00BB2D44">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7B66F6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52" w14:textId="77777777" w:rsidR="0040300B" w:rsidRDefault="00BB2D44">
            <w:pPr>
              <w:jc w:val="right"/>
              <w:textAlignment w:val="bottom"/>
            </w:pPr>
            <w:r>
              <w:rPr>
                <w:rFonts w:ascii="Times New Roman" w:eastAsia="宋体" w:hAnsi="Times New Roman"/>
                <w:color w:val="000000"/>
                <w:sz w:val="20"/>
                <w:szCs w:val="20"/>
              </w:rPr>
              <w:t>2,810 </w:t>
            </w:r>
          </w:p>
        </w:tc>
        <w:tc>
          <w:tcPr>
            <w:tcW w:w="0" w:type="auto"/>
            <w:shd w:val="clear" w:color="auto" w:fill="CCEEFF"/>
            <w:tcMar>
              <w:top w:w="40" w:type="dxa"/>
              <w:left w:w="0" w:type="dxa"/>
              <w:bottom w:w="40" w:type="dxa"/>
              <w:right w:w="20" w:type="dxa"/>
            </w:tcMar>
            <w:vAlign w:val="bottom"/>
          </w:tcPr>
          <w:p w14:paraId="7B66F653" w14:textId="77777777" w:rsidR="0040300B" w:rsidRDefault="0040300B">
            <w:pPr>
              <w:jc w:val="right"/>
              <w:rPr>
                <w:rFonts w:ascii="宋体"/>
              </w:rPr>
            </w:pPr>
          </w:p>
        </w:tc>
      </w:tr>
      <w:tr w:rsidR="0040300B" w14:paraId="7B66F661" w14:textId="77777777">
        <w:tc>
          <w:tcPr>
            <w:tcW w:w="0" w:type="auto"/>
            <w:gridSpan w:val="3"/>
            <w:shd w:val="clear" w:color="auto" w:fill="FFFFFF"/>
            <w:tcMar>
              <w:top w:w="40" w:type="dxa"/>
              <w:left w:w="245" w:type="dxa"/>
              <w:bottom w:w="40" w:type="dxa"/>
              <w:right w:w="20" w:type="dxa"/>
            </w:tcMar>
          </w:tcPr>
          <w:p w14:paraId="7B66F655" w14:textId="77777777" w:rsidR="0040300B" w:rsidRDefault="00BB2D44">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7B66F656" w14:textId="77777777" w:rsidR="0040300B" w:rsidRDefault="00BB2D44">
            <w:pPr>
              <w:jc w:val="right"/>
              <w:textAlignment w:val="bottom"/>
            </w:pPr>
            <w:r>
              <w:rPr>
                <w:rFonts w:ascii="Times New Roman" w:eastAsia="宋体" w:hAnsi="Times New Roman"/>
                <w:color w:val="000000"/>
                <w:sz w:val="20"/>
                <w:szCs w:val="20"/>
              </w:rPr>
              <w:t>1,333 </w:t>
            </w:r>
          </w:p>
        </w:tc>
        <w:tc>
          <w:tcPr>
            <w:tcW w:w="0" w:type="auto"/>
            <w:shd w:val="clear" w:color="auto" w:fill="FFFFFF"/>
            <w:tcMar>
              <w:top w:w="40" w:type="dxa"/>
              <w:left w:w="0" w:type="dxa"/>
              <w:bottom w:w="40" w:type="dxa"/>
              <w:right w:w="20" w:type="dxa"/>
            </w:tcMar>
            <w:vAlign w:val="bottom"/>
          </w:tcPr>
          <w:p w14:paraId="7B66F6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5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5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5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5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5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5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5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5F" w14:textId="77777777" w:rsidR="0040300B" w:rsidRDefault="00BB2D44">
            <w:pPr>
              <w:jc w:val="right"/>
              <w:textAlignment w:val="bottom"/>
            </w:pPr>
            <w:r>
              <w:rPr>
                <w:rFonts w:ascii="Times New Roman" w:eastAsia="宋体" w:hAnsi="Times New Roman"/>
                <w:color w:val="000000"/>
                <w:sz w:val="20"/>
                <w:szCs w:val="20"/>
              </w:rPr>
              <w:t>1,333 </w:t>
            </w:r>
          </w:p>
        </w:tc>
        <w:tc>
          <w:tcPr>
            <w:tcW w:w="0" w:type="auto"/>
            <w:shd w:val="clear" w:color="auto" w:fill="FFFFFF"/>
            <w:tcMar>
              <w:top w:w="40" w:type="dxa"/>
              <w:left w:w="0" w:type="dxa"/>
              <w:bottom w:w="40" w:type="dxa"/>
              <w:right w:w="20" w:type="dxa"/>
            </w:tcMar>
            <w:vAlign w:val="bottom"/>
          </w:tcPr>
          <w:p w14:paraId="7B66F660" w14:textId="77777777" w:rsidR="0040300B" w:rsidRDefault="0040300B">
            <w:pPr>
              <w:jc w:val="right"/>
              <w:rPr>
                <w:rFonts w:ascii="宋体"/>
              </w:rPr>
            </w:pPr>
          </w:p>
        </w:tc>
      </w:tr>
      <w:tr w:rsidR="0040300B" w14:paraId="7B66F66E" w14:textId="77777777">
        <w:tc>
          <w:tcPr>
            <w:tcW w:w="0" w:type="auto"/>
            <w:gridSpan w:val="3"/>
            <w:shd w:val="clear" w:color="auto" w:fill="CCEEFF"/>
            <w:tcMar>
              <w:top w:w="40" w:type="dxa"/>
              <w:left w:w="245" w:type="dxa"/>
              <w:bottom w:w="40" w:type="dxa"/>
              <w:right w:w="20" w:type="dxa"/>
            </w:tcMar>
          </w:tcPr>
          <w:p w14:paraId="7B66F662" w14:textId="77777777" w:rsidR="0040300B" w:rsidRDefault="00BB2D44">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7B66F663" w14:textId="77777777" w:rsidR="0040300B" w:rsidRDefault="00BB2D44">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7B66F66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6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6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6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6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6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6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6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6C" w14:textId="77777777" w:rsidR="0040300B" w:rsidRDefault="00BB2D44">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7B66F66D" w14:textId="77777777" w:rsidR="0040300B" w:rsidRDefault="0040300B">
            <w:pPr>
              <w:jc w:val="right"/>
              <w:rPr>
                <w:rFonts w:ascii="宋体"/>
              </w:rPr>
            </w:pPr>
          </w:p>
        </w:tc>
      </w:tr>
      <w:tr w:rsidR="0040300B" w14:paraId="7B66F67F" w14:textId="77777777">
        <w:tc>
          <w:tcPr>
            <w:tcW w:w="0" w:type="auto"/>
            <w:gridSpan w:val="3"/>
            <w:shd w:val="clear" w:color="auto" w:fill="FFFFFF"/>
            <w:tcMar>
              <w:top w:w="40" w:type="dxa"/>
              <w:left w:w="20" w:type="dxa"/>
              <w:bottom w:w="40" w:type="dxa"/>
              <w:right w:w="20" w:type="dxa"/>
            </w:tcMar>
          </w:tcPr>
          <w:p w14:paraId="7B66F66F" w14:textId="77777777" w:rsidR="0040300B" w:rsidRDefault="00BB2D44">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13"/>
                <w:szCs w:val="13"/>
              </w:rPr>
              <w:t>(1)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67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671" w14:textId="77777777" w:rsidR="0040300B" w:rsidRDefault="00BB2D44">
            <w:pPr>
              <w:jc w:val="right"/>
              <w:textAlignment w:val="bottom"/>
            </w:pPr>
            <w:r>
              <w:rPr>
                <w:rFonts w:ascii="Times New Roman" w:eastAsia="宋体" w:hAnsi="Times New Roman"/>
                <w:color w:val="000000"/>
                <w:sz w:val="20"/>
                <w:szCs w:val="20"/>
              </w:rPr>
              <w:t>15,941 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67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73"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67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675" w14:textId="77777777" w:rsidR="0040300B" w:rsidRDefault="00BB2D44">
            <w:pPr>
              <w:jc w:val="right"/>
              <w:textAlignment w:val="bottom"/>
            </w:pPr>
            <w:r>
              <w:rPr>
                <w:rFonts w:ascii="Times New Roman" w:eastAsia="宋体" w:hAnsi="Times New Roman"/>
                <w:color w:val="000000"/>
                <w:sz w:val="20"/>
                <w:szCs w:val="20"/>
              </w:rPr>
              <w:t>275 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67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77"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67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679" w14:textId="77777777" w:rsidR="0040300B" w:rsidRDefault="00BB2D44">
            <w:pPr>
              <w:jc w:val="right"/>
              <w:textAlignment w:val="bottom"/>
            </w:pPr>
            <w:r>
              <w:rPr>
                <w:rFonts w:ascii="Times New Roman" w:eastAsia="宋体" w:hAnsi="Times New Roman"/>
                <w:color w:val="000000"/>
                <w:sz w:val="20"/>
                <w:szCs w:val="20"/>
              </w:rPr>
              <w:t>(48)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67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7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67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67D" w14:textId="77777777" w:rsidR="0040300B" w:rsidRDefault="00BB2D44">
            <w:pPr>
              <w:jc w:val="right"/>
              <w:textAlignment w:val="bottom"/>
            </w:pPr>
            <w:r>
              <w:rPr>
                <w:rFonts w:ascii="Times New Roman" w:eastAsia="宋体" w:hAnsi="Times New Roman"/>
                <w:color w:val="000000"/>
                <w:sz w:val="20"/>
                <w:szCs w:val="20"/>
              </w:rPr>
              <w:t>16,168 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67E" w14:textId="77777777" w:rsidR="0040300B" w:rsidRDefault="0040300B">
            <w:pPr>
              <w:jc w:val="right"/>
              <w:rPr>
                <w:rFonts w:ascii="宋体"/>
              </w:rPr>
            </w:pPr>
          </w:p>
        </w:tc>
      </w:tr>
    </w:tbl>
    <w:p w14:paraId="7B66F680" w14:textId="77777777" w:rsidR="0040300B" w:rsidRDefault="0040300B">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56"/>
        <w:gridCol w:w="37"/>
        <w:gridCol w:w="121"/>
        <w:gridCol w:w="931"/>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40300B" w14:paraId="7B66F699" w14:textId="77777777">
        <w:trPr>
          <w:jc w:val="center"/>
        </w:trPr>
        <w:tc>
          <w:tcPr>
            <w:tcW w:w="50" w:type="pct"/>
            <w:shd w:val="clear" w:color="auto" w:fill="auto"/>
          </w:tcPr>
          <w:p w14:paraId="7B66F681" w14:textId="77777777" w:rsidR="0040300B" w:rsidRDefault="0040300B">
            <w:pPr>
              <w:rPr>
                <w:rFonts w:ascii="宋体"/>
              </w:rPr>
            </w:pPr>
          </w:p>
        </w:tc>
        <w:tc>
          <w:tcPr>
            <w:tcW w:w="2232" w:type="pct"/>
            <w:shd w:val="clear" w:color="auto" w:fill="auto"/>
          </w:tcPr>
          <w:p w14:paraId="7B66F682" w14:textId="77777777" w:rsidR="0040300B" w:rsidRDefault="0040300B">
            <w:pPr>
              <w:rPr>
                <w:rFonts w:ascii="宋体"/>
              </w:rPr>
            </w:pPr>
          </w:p>
        </w:tc>
        <w:tc>
          <w:tcPr>
            <w:tcW w:w="5" w:type="pct"/>
            <w:shd w:val="clear" w:color="auto" w:fill="auto"/>
          </w:tcPr>
          <w:p w14:paraId="7B66F683" w14:textId="77777777" w:rsidR="0040300B" w:rsidRDefault="0040300B">
            <w:pPr>
              <w:rPr>
                <w:rFonts w:ascii="宋体"/>
              </w:rPr>
            </w:pPr>
          </w:p>
        </w:tc>
        <w:tc>
          <w:tcPr>
            <w:tcW w:w="50" w:type="pct"/>
            <w:shd w:val="clear" w:color="auto" w:fill="auto"/>
          </w:tcPr>
          <w:p w14:paraId="7B66F684" w14:textId="77777777" w:rsidR="0040300B" w:rsidRDefault="0040300B">
            <w:pPr>
              <w:rPr>
                <w:rFonts w:ascii="宋体"/>
              </w:rPr>
            </w:pPr>
          </w:p>
        </w:tc>
        <w:tc>
          <w:tcPr>
            <w:tcW w:w="590" w:type="pct"/>
            <w:shd w:val="clear" w:color="auto" w:fill="auto"/>
          </w:tcPr>
          <w:p w14:paraId="7B66F685" w14:textId="77777777" w:rsidR="0040300B" w:rsidRDefault="0040300B">
            <w:pPr>
              <w:rPr>
                <w:rFonts w:ascii="宋体"/>
              </w:rPr>
            </w:pPr>
          </w:p>
        </w:tc>
        <w:tc>
          <w:tcPr>
            <w:tcW w:w="5" w:type="pct"/>
            <w:shd w:val="clear" w:color="auto" w:fill="auto"/>
          </w:tcPr>
          <w:p w14:paraId="7B66F686" w14:textId="77777777" w:rsidR="0040300B" w:rsidRDefault="0040300B">
            <w:pPr>
              <w:rPr>
                <w:rFonts w:ascii="宋体"/>
              </w:rPr>
            </w:pPr>
          </w:p>
        </w:tc>
        <w:tc>
          <w:tcPr>
            <w:tcW w:w="5" w:type="pct"/>
            <w:shd w:val="clear" w:color="auto" w:fill="auto"/>
          </w:tcPr>
          <w:p w14:paraId="7B66F687" w14:textId="77777777" w:rsidR="0040300B" w:rsidRDefault="0040300B">
            <w:pPr>
              <w:rPr>
                <w:rFonts w:ascii="宋体"/>
              </w:rPr>
            </w:pPr>
          </w:p>
        </w:tc>
        <w:tc>
          <w:tcPr>
            <w:tcW w:w="26" w:type="pct"/>
            <w:shd w:val="clear" w:color="auto" w:fill="auto"/>
          </w:tcPr>
          <w:p w14:paraId="7B66F688" w14:textId="77777777" w:rsidR="0040300B" w:rsidRDefault="0040300B">
            <w:pPr>
              <w:rPr>
                <w:rFonts w:ascii="宋体"/>
              </w:rPr>
            </w:pPr>
          </w:p>
        </w:tc>
        <w:tc>
          <w:tcPr>
            <w:tcW w:w="5" w:type="pct"/>
            <w:shd w:val="clear" w:color="auto" w:fill="auto"/>
          </w:tcPr>
          <w:p w14:paraId="7B66F689" w14:textId="77777777" w:rsidR="0040300B" w:rsidRDefault="0040300B">
            <w:pPr>
              <w:rPr>
                <w:rFonts w:ascii="宋体"/>
              </w:rPr>
            </w:pPr>
          </w:p>
        </w:tc>
        <w:tc>
          <w:tcPr>
            <w:tcW w:w="50" w:type="pct"/>
            <w:shd w:val="clear" w:color="auto" w:fill="auto"/>
          </w:tcPr>
          <w:p w14:paraId="7B66F68A" w14:textId="77777777" w:rsidR="0040300B" w:rsidRDefault="0040300B">
            <w:pPr>
              <w:rPr>
                <w:rFonts w:ascii="宋体"/>
              </w:rPr>
            </w:pPr>
          </w:p>
        </w:tc>
        <w:tc>
          <w:tcPr>
            <w:tcW w:w="597" w:type="pct"/>
            <w:shd w:val="clear" w:color="auto" w:fill="auto"/>
          </w:tcPr>
          <w:p w14:paraId="7B66F68B" w14:textId="77777777" w:rsidR="0040300B" w:rsidRDefault="0040300B">
            <w:pPr>
              <w:rPr>
                <w:rFonts w:ascii="宋体"/>
              </w:rPr>
            </w:pPr>
          </w:p>
        </w:tc>
        <w:tc>
          <w:tcPr>
            <w:tcW w:w="5" w:type="pct"/>
            <w:shd w:val="clear" w:color="auto" w:fill="auto"/>
          </w:tcPr>
          <w:p w14:paraId="7B66F68C" w14:textId="77777777" w:rsidR="0040300B" w:rsidRDefault="0040300B">
            <w:pPr>
              <w:rPr>
                <w:rFonts w:ascii="宋体"/>
              </w:rPr>
            </w:pPr>
          </w:p>
        </w:tc>
        <w:tc>
          <w:tcPr>
            <w:tcW w:w="5" w:type="pct"/>
            <w:shd w:val="clear" w:color="auto" w:fill="auto"/>
          </w:tcPr>
          <w:p w14:paraId="7B66F68D" w14:textId="77777777" w:rsidR="0040300B" w:rsidRDefault="0040300B">
            <w:pPr>
              <w:rPr>
                <w:rFonts w:ascii="宋体"/>
              </w:rPr>
            </w:pPr>
          </w:p>
        </w:tc>
        <w:tc>
          <w:tcPr>
            <w:tcW w:w="26" w:type="pct"/>
            <w:shd w:val="clear" w:color="auto" w:fill="auto"/>
          </w:tcPr>
          <w:p w14:paraId="7B66F68E" w14:textId="77777777" w:rsidR="0040300B" w:rsidRDefault="0040300B">
            <w:pPr>
              <w:rPr>
                <w:rFonts w:ascii="宋体"/>
              </w:rPr>
            </w:pPr>
          </w:p>
        </w:tc>
        <w:tc>
          <w:tcPr>
            <w:tcW w:w="5" w:type="pct"/>
            <w:shd w:val="clear" w:color="auto" w:fill="auto"/>
          </w:tcPr>
          <w:p w14:paraId="7B66F68F" w14:textId="77777777" w:rsidR="0040300B" w:rsidRDefault="0040300B">
            <w:pPr>
              <w:rPr>
                <w:rFonts w:ascii="宋体"/>
              </w:rPr>
            </w:pPr>
          </w:p>
        </w:tc>
        <w:tc>
          <w:tcPr>
            <w:tcW w:w="50" w:type="pct"/>
            <w:shd w:val="clear" w:color="auto" w:fill="auto"/>
          </w:tcPr>
          <w:p w14:paraId="7B66F690" w14:textId="77777777" w:rsidR="0040300B" w:rsidRDefault="0040300B">
            <w:pPr>
              <w:rPr>
                <w:rFonts w:ascii="宋体"/>
              </w:rPr>
            </w:pPr>
          </w:p>
        </w:tc>
        <w:tc>
          <w:tcPr>
            <w:tcW w:w="597" w:type="pct"/>
            <w:shd w:val="clear" w:color="auto" w:fill="auto"/>
          </w:tcPr>
          <w:p w14:paraId="7B66F691" w14:textId="77777777" w:rsidR="0040300B" w:rsidRDefault="0040300B">
            <w:pPr>
              <w:rPr>
                <w:rFonts w:ascii="宋体"/>
              </w:rPr>
            </w:pPr>
          </w:p>
        </w:tc>
        <w:tc>
          <w:tcPr>
            <w:tcW w:w="5" w:type="pct"/>
            <w:shd w:val="clear" w:color="auto" w:fill="auto"/>
          </w:tcPr>
          <w:p w14:paraId="7B66F692" w14:textId="77777777" w:rsidR="0040300B" w:rsidRDefault="0040300B">
            <w:pPr>
              <w:rPr>
                <w:rFonts w:ascii="宋体"/>
              </w:rPr>
            </w:pPr>
          </w:p>
        </w:tc>
        <w:tc>
          <w:tcPr>
            <w:tcW w:w="5" w:type="pct"/>
            <w:shd w:val="clear" w:color="auto" w:fill="auto"/>
          </w:tcPr>
          <w:p w14:paraId="7B66F693" w14:textId="77777777" w:rsidR="0040300B" w:rsidRDefault="0040300B">
            <w:pPr>
              <w:rPr>
                <w:rFonts w:ascii="宋体"/>
              </w:rPr>
            </w:pPr>
          </w:p>
        </w:tc>
        <w:tc>
          <w:tcPr>
            <w:tcW w:w="26" w:type="pct"/>
            <w:shd w:val="clear" w:color="auto" w:fill="auto"/>
          </w:tcPr>
          <w:p w14:paraId="7B66F694" w14:textId="77777777" w:rsidR="0040300B" w:rsidRDefault="0040300B">
            <w:pPr>
              <w:rPr>
                <w:rFonts w:ascii="宋体"/>
              </w:rPr>
            </w:pPr>
          </w:p>
        </w:tc>
        <w:tc>
          <w:tcPr>
            <w:tcW w:w="5" w:type="pct"/>
            <w:shd w:val="clear" w:color="auto" w:fill="auto"/>
          </w:tcPr>
          <w:p w14:paraId="7B66F695" w14:textId="77777777" w:rsidR="0040300B" w:rsidRDefault="0040300B">
            <w:pPr>
              <w:rPr>
                <w:rFonts w:ascii="宋体"/>
              </w:rPr>
            </w:pPr>
          </w:p>
        </w:tc>
        <w:tc>
          <w:tcPr>
            <w:tcW w:w="50" w:type="pct"/>
            <w:shd w:val="clear" w:color="auto" w:fill="auto"/>
          </w:tcPr>
          <w:p w14:paraId="7B66F696" w14:textId="77777777" w:rsidR="0040300B" w:rsidRDefault="0040300B">
            <w:pPr>
              <w:rPr>
                <w:rFonts w:ascii="宋体"/>
              </w:rPr>
            </w:pPr>
          </w:p>
        </w:tc>
        <w:tc>
          <w:tcPr>
            <w:tcW w:w="597" w:type="pct"/>
            <w:shd w:val="clear" w:color="auto" w:fill="auto"/>
          </w:tcPr>
          <w:p w14:paraId="7B66F697" w14:textId="77777777" w:rsidR="0040300B" w:rsidRDefault="0040300B">
            <w:pPr>
              <w:rPr>
                <w:rFonts w:ascii="宋体"/>
              </w:rPr>
            </w:pPr>
          </w:p>
        </w:tc>
        <w:tc>
          <w:tcPr>
            <w:tcW w:w="5" w:type="pct"/>
            <w:shd w:val="clear" w:color="auto" w:fill="auto"/>
          </w:tcPr>
          <w:p w14:paraId="7B66F698" w14:textId="77777777" w:rsidR="0040300B" w:rsidRDefault="0040300B">
            <w:pPr>
              <w:rPr>
                <w:rFonts w:ascii="宋体"/>
              </w:rPr>
            </w:pPr>
          </w:p>
        </w:tc>
      </w:tr>
      <w:tr w:rsidR="0040300B" w14:paraId="7B66F6A2" w14:textId="77777777">
        <w:trPr>
          <w:jc w:val="center"/>
        </w:trPr>
        <w:tc>
          <w:tcPr>
            <w:tcW w:w="0" w:type="auto"/>
            <w:gridSpan w:val="3"/>
            <w:shd w:val="clear" w:color="auto" w:fill="auto"/>
            <w:tcMar>
              <w:top w:w="40" w:type="dxa"/>
              <w:left w:w="20" w:type="dxa"/>
              <w:bottom w:w="40" w:type="dxa"/>
              <w:right w:w="20" w:type="dxa"/>
            </w:tcMar>
            <w:vAlign w:val="bottom"/>
          </w:tcPr>
          <w:p w14:paraId="7B66F69A" w14:textId="77777777" w:rsidR="0040300B" w:rsidRDefault="00BB2D44">
            <w:pPr>
              <w:textAlignment w:val="bottom"/>
            </w:pPr>
            <w:r>
              <w:rPr>
                <w:rFonts w:ascii="Times New Roman" w:eastAsia="宋体" w:hAnsi="Times New Roman"/>
                <w:color w:val="000000"/>
                <w:sz w:val="18"/>
                <w:szCs w:val="18"/>
                <w:u w:val="single"/>
              </w:rPr>
              <w:t>July 25, 2020</w:t>
            </w:r>
          </w:p>
        </w:tc>
        <w:tc>
          <w:tcPr>
            <w:tcW w:w="0" w:type="auto"/>
            <w:gridSpan w:val="3"/>
            <w:shd w:val="clear" w:color="auto" w:fill="auto"/>
            <w:tcMar>
              <w:top w:w="40" w:type="dxa"/>
              <w:left w:w="20" w:type="dxa"/>
              <w:bottom w:w="40" w:type="dxa"/>
              <w:right w:w="20" w:type="dxa"/>
            </w:tcMar>
            <w:vAlign w:val="bottom"/>
          </w:tcPr>
          <w:p w14:paraId="7B66F69B" w14:textId="77777777" w:rsidR="0040300B" w:rsidRDefault="00BB2D44">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tcPr>
          <w:p w14:paraId="7B66F69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9D"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tcPr>
          <w:p w14:paraId="7B66F69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9F"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6A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6A1" w14:textId="77777777" w:rsidR="0040300B" w:rsidRDefault="00BB2D44">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40300B" w14:paraId="7B66F6B3" w14:textId="77777777">
        <w:trPr>
          <w:jc w:val="center"/>
        </w:trPr>
        <w:tc>
          <w:tcPr>
            <w:tcW w:w="0" w:type="auto"/>
            <w:gridSpan w:val="3"/>
            <w:shd w:val="clear" w:color="auto" w:fill="CCEEFF"/>
            <w:tcMar>
              <w:top w:w="40" w:type="dxa"/>
              <w:left w:w="245" w:type="dxa"/>
              <w:bottom w:w="40" w:type="dxa"/>
              <w:right w:w="20" w:type="dxa"/>
            </w:tcMar>
            <w:vAlign w:val="bottom"/>
          </w:tcPr>
          <w:p w14:paraId="7B66F6A3" w14:textId="77777777" w:rsidR="0040300B" w:rsidRDefault="00BB2D44">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6A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A5" w14:textId="77777777" w:rsidR="0040300B" w:rsidRDefault="00BB2D44">
            <w:pPr>
              <w:jc w:val="right"/>
              <w:textAlignment w:val="bottom"/>
            </w:pPr>
            <w:r>
              <w:rPr>
                <w:rFonts w:ascii="Times New Roman" w:eastAsia="宋体" w:hAnsi="Times New Roman"/>
                <w:color w:val="000000"/>
                <w:sz w:val="20"/>
                <w:szCs w:val="20"/>
              </w:rPr>
              <w:t>2,614 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A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A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A9" w14:textId="77777777" w:rsidR="0040300B" w:rsidRDefault="00BB2D44">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A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A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AD"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A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A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6B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6B1" w14:textId="77777777" w:rsidR="0040300B" w:rsidRDefault="00BB2D44">
            <w:pPr>
              <w:jc w:val="right"/>
              <w:textAlignment w:val="bottom"/>
            </w:pPr>
            <w:r>
              <w:rPr>
                <w:rFonts w:ascii="Times New Roman" w:eastAsia="宋体" w:hAnsi="Times New Roman"/>
                <w:color w:val="000000"/>
                <w:sz w:val="20"/>
                <w:szCs w:val="20"/>
              </w:rPr>
              <w:t>2,685 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6B2" w14:textId="77777777" w:rsidR="0040300B" w:rsidRDefault="0040300B">
            <w:pPr>
              <w:jc w:val="right"/>
              <w:rPr>
                <w:rFonts w:ascii="宋体"/>
              </w:rPr>
            </w:pPr>
          </w:p>
        </w:tc>
      </w:tr>
      <w:tr w:rsidR="0040300B" w14:paraId="7B66F6C0" w14:textId="77777777">
        <w:trPr>
          <w:jc w:val="center"/>
        </w:trPr>
        <w:tc>
          <w:tcPr>
            <w:tcW w:w="0" w:type="auto"/>
            <w:gridSpan w:val="3"/>
            <w:shd w:val="clear" w:color="auto" w:fill="FFFFFF"/>
            <w:tcMar>
              <w:top w:w="40" w:type="dxa"/>
              <w:left w:w="245" w:type="dxa"/>
              <w:bottom w:w="40" w:type="dxa"/>
              <w:right w:w="20" w:type="dxa"/>
            </w:tcMar>
            <w:vAlign w:val="bottom"/>
          </w:tcPr>
          <w:p w14:paraId="7B66F6B4" w14:textId="77777777" w:rsidR="0040300B" w:rsidRDefault="00BB2D44">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7B66F6B5" w14:textId="77777777" w:rsidR="0040300B" w:rsidRDefault="00BB2D44">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7B66F6B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B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B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B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B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B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B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B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BE" w14:textId="77777777" w:rsidR="0040300B" w:rsidRDefault="00BB2D44">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7B66F6BF" w14:textId="77777777" w:rsidR="0040300B" w:rsidRDefault="0040300B">
            <w:pPr>
              <w:jc w:val="right"/>
              <w:rPr>
                <w:rFonts w:ascii="宋体"/>
              </w:rPr>
            </w:pPr>
          </w:p>
        </w:tc>
      </w:tr>
      <w:tr w:rsidR="0040300B" w14:paraId="7B66F6CD" w14:textId="77777777">
        <w:trPr>
          <w:jc w:val="center"/>
        </w:trPr>
        <w:tc>
          <w:tcPr>
            <w:tcW w:w="0" w:type="auto"/>
            <w:gridSpan w:val="3"/>
            <w:shd w:val="clear" w:color="auto" w:fill="CCEEFF"/>
            <w:tcMar>
              <w:top w:w="40" w:type="dxa"/>
              <w:left w:w="245" w:type="dxa"/>
              <w:bottom w:w="40" w:type="dxa"/>
              <w:right w:w="20" w:type="dxa"/>
            </w:tcMar>
            <w:vAlign w:val="bottom"/>
          </w:tcPr>
          <w:p w14:paraId="7B66F6C1" w14:textId="77777777" w:rsidR="0040300B" w:rsidRDefault="00BB2D44">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7B66F6C2" w14:textId="77777777" w:rsidR="0040300B" w:rsidRDefault="00BB2D44">
            <w:pPr>
              <w:jc w:val="right"/>
              <w:textAlignment w:val="bottom"/>
            </w:pPr>
            <w:r>
              <w:rPr>
                <w:rFonts w:ascii="Times New Roman" w:eastAsia="宋体" w:hAnsi="Times New Roman"/>
                <w:color w:val="000000"/>
                <w:sz w:val="20"/>
                <w:szCs w:val="20"/>
              </w:rPr>
              <w:t>11,549 </w:t>
            </w:r>
          </w:p>
        </w:tc>
        <w:tc>
          <w:tcPr>
            <w:tcW w:w="0" w:type="auto"/>
            <w:shd w:val="clear" w:color="auto" w:fill="CCEEFF"/>
            <w:tcMar>
              <w:top w:w="40" w:type="dxa"/>
              <w:left w:w="0" w:type="dxa"/>
              <w:bottom w:w="40" w:type="dxa"/>
              <w:right w:w="20" w:type="dxa"/>
            </w:tcMar>
            <w:vAlign w:val="bottom"/>
          </w:tcPr>
          <w:p w14:paraId="7B66F6C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C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C5" w14:textId="77777777" w:rsidR="0040300B" w:rsidRDefault="00BB2D44">
            <w:pPr>
              <w:jc w:val="right"/>
              <w:textAlignment w:val="bottom"/>
            </w:pPr>
            <w:r>
              <w:rPr>
                <w:rFonts w:ascii="Times New Roman" w:eastAsia="宋体" w:hAnsi="Times New Roman"/>
                <w:color w:val="000000"/>
                <w:sz w:val="20"/>
                <w:szCs w:val="20"/>
              </w:rPr>
              <w:t>334 </w:t>
            </w:r>
          </w:p>
        </w:tc>
        <w:tc>
          <w:tcPr>
            <w:tcW w:w="0" w:type="auto"/>
            <w:shd w:val="clear" w:color="auto" w:fill="CCEEFF"/>
            <w:tcMar>
              <w:top w:w="40" w:type="dxa"/>
              <w:left w:w="0" w:type="dxa"/>
              <w:bottom w:w="40" w:type="dxa"/>
              <w:right w:w="20" w:type="dxa"/>
            </w:tcMar>
            <w:vAlign w:val="bottom"/>
          </w:tcPr>
          <w:p w14:paraId="7B66F6C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C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C8"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B66F6C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C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CB" w14:textId="77777777" w:rsidR="0040300B" w:rsidRDefault="00BB2D44">
            <w:pPr>
              <w:jc w:val="right"/>
              <w:textAlignment w:val="bottom"/>
            </w:pPr>
            <w:r>
              <w:rPr>
                <w:rFonts w:ascii="Times New Roman" w:eastAsia="宋体" w:hAnsi="Times New Roman"/>
                <w:color w:val="000000"/>
                <w:sz w:val="20"/>
                <w:szCs w:val="20"/>
              </w:rPr>
              <w:t>11,877 </w:t>
            </w:r>
          </w:p>
        </w:tc>
        <w:tc>
          <w:tcPr>
            <w:tcW w:w="0" w:type="auto"/>
            <w:shd w:val="clear" w:color="auto" w:fill="CCEEFF"/>
            <w:tcMar>
              <w:top w:w="40" w:type="dxa"/>
              <w:left w:w="0" w:type="dxa"/>
              <w:bottom w:w="40" w:type="dxa"/>
              <w:right w:w="20" w:type="dxa"/>
            </w:tcMar>
            <w:vAlign w:val="bottom"/>
          </w:tcPr>
          <w:p w14:paraId="7B66F6CC" w14:textId="77777777" w:rsidR="0040300B" w:rsidRDefault="0040300B">
            <w:pPr>
              <w:jc w:val="right"/>
              <w:rPr>
                <w:rFonts w:ascii="宋体"/>
              </w:rPr>
            </w:pPr>
          </w:p>
        </w:tc>
      </w:tr>
      <w:tr w:rsidR="0040300B" w14:paraId="7B66F6DA" w14:textId="77777777">
        <w:trPr>
          <w:jc w:val="center"/>
        </w:trPr>
        <w:tc>
          <w:tcPr>
            <w:tcW w:w="0" w:type="auto"/>
            <w:gridSpan w:val="3"/>
            <w:shd w:val="clear" w:color="auto" w:fill="FFFFFF"/>
            <w:tcMar>
              <w:top w:w="40" w:type="dxa"/>
              <w:left w:w="245" w:type="dxa"/>
              <w:bottom w:w="40" w:type="dxa"/>
              <w:right w:w="20" w:type="dxa"/>
            </w:tcMar>
          </w:tcPr>
          <w:p w14:paraId="7B66F6CE" w14:textId="77777777" w:rsidR="0040300B" w:rsidRDefault="00BB2D4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7B66F6CF" w14:textId="77777777" w:rsidR="0040300B" w:rsidRDefault="00BB2D44">
            <w:pPr>
              <w:jc w:val="right"/>
              <w:textAlignment w:val="bottom"/>
            </w:pPr>
            <w:r>
              <w:rPr>
                <w:rFonts w:ascii="Times New Roman" w:eastAsia="宋体" w:hAnsi="Times New Roman"/>
                <w:color w:val="000000"/>
                <w:sz w:val="20"/>
                <w:szCs w:val="20"/>
              </w:rPr>
              <w:t>1,987 </w:t>
            </w:r>
          </w:p>
        </w:tc>
        <w:tc>
          <w:tcPr>
            <w:tcW w:w="0" w:type="auto"/>
            <w:shd w:val="clear" w:color="auto" w:fill="FFFFFF"/>
            <w:tcMar>
              <w:top w:w="40" w:type="dxa"/>
              <w:left w:w="0" w:type="dxa"/>
              <w:bottom w:w="40" w:type="dxa"/>
              <w:right w:w="20" w:type="dxa"/>
            </w:tcMar>
            <w:vAlign w:val="bottom"/>
          </w:tcPr>
          <w:p w14:paraId="7B66F6D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D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D2"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6F6D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D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D5"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6F6D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D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D8" w14:textId="77777777" w:rsidR="0040300B" w:rsidRDefault="00BB2D44">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7B66F6D9" w14:textId="77777777" w:rsidR="0040300B" w:rsidRDefault="0040300B">
            <w:pPr>
              <w:jc w:val="right"/>
              <w:rPr>
                <w:rFonts w:ascii="宋体"/>
              </w:rPr>
            </w:pPr>
          </w:p>
        </w:tc>
      </w:tr>
      <w:tr w:rsidR="0040300B" w14:paraId="7B66F6E7" w14:textId="77777777">
        <w:trPr>
          <w:jc w:val="center"/>
        </w:trPr>
        <w:tc>
          <w:tcPr>
            <w:tcW w:w="0" w:type="auto"/>
            <w:gridSpan w:val="3"/>
            <w:shd w:val="clear" w:color="auto" w:fill="CCEEFF"/>
            <w:tcMar>
              <w:top w:w="40" w:type="dxa"/>
              <w:left w:w="260" w:type="dxa"/>
              <w:bottom w:w="40" w:type="dxa"/>
              <w:right w:w="20" w:type="dxa"/>
            </w:tcMar>
          </w:tcPr>
          <w:p w14:paraId="7B66F6DB" w14:textId="77777777" w:rsidR="0040300B" w:rsidRDefault="00BB2D4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7B66F6DC" w14:textId="77777777" w:rsidR="0040300B" w:rsidRDefault="00BB2D44">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7B66F6D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D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D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E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E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E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6E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E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6E5" w14:textId="77777777" w:rsidR="0040300B" w:rsidRDefault="00BB2D44">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7B66F6E6" w14:textId="77777777" w:rsidR="0040300B" w:rsidRDefault="0040300B">
            <w:pPr>
              <w:jc w:val="right"/>
              <w:rPr>
                <w:rFonts w:ascii="宋体"/>
              </w:rPr>
            </w:pPr>
          </w:p>
        </w:tc>
      </w:tr>
      <w:tr w:rsidR="0040300B" w14:paraId="7B66F6F4" w14:textId="77777777">
        <w:trPr>
          <w:jc w:val="center"/>
        </w:trPr>
        <w:tc>
          <w:tcPr>
            <w:tcW w:w="0" w:type="auto"/>
            <w:gridSpan w:val="3"/>
            <w:shd w:val="clear" w:color="auto" w:fill="FFFFFF"/>
            <w:tcMar>
              <w:top w:w="40" w:type="dxa"/>
              <w:left w:w="260" w:type="dxa"/>
              <w:bottom w:w="40" w:type="dxa"/>
              <w:right w:w="20" w:type="dxa"/>
            </w:tcMar>
          </w:tcPr>
          <w:p w14:paraId="7B66F6E8" w14:textId="77777777" w:rsidR="0040300B" w:rsidRDefault="00BB2D44">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B66F6E9" w14:textId="77777777" w:rsidR="0040300B" w:rsidRDefault="00BB2D44">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7B66F6E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E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E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E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E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E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6F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6F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6F2" w14:textId="77777777" w:rsidR="0040300B" w:rsidRDefault="00BB2D44">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7B66F6F3" w14:textId="77777777" w:rsidR="0040300B" w:rsidRDefault="0040300B">
            <w:pPr>
              <w:jc w:val="right"/>
              <w:rPr>
                <w:rFonts w:ascii="宋体"/>
              </w:rPr>
            </w:pPr>
          </w:p>
        </w:tc>
      </w:tr>
      <w:tr w:rsidR="0040300B" w14:paraId="7B66F705" w14:textId="77777777">
        <w:trPr>
          <w:jc w:val="center"/>
        </w:trPr>
        <w:tc>
          <w:tcPr>
            <w:tcW w:w="0" w:type="auto"/>
            <w:gridSpan w:val="3"/>
            <w:shd w:val="clear" w:color="auto" w:fill="CCEEFF"/>
            <w:tcMar>
              <w:top w:w="40" w:type="dxa"/>
              <w:left w:w="740" w:type="dxa"/>
              <w:bottom w:w="40" w:type="dxa"/>
              <w:right w:w="20" w:type="dxa"/>
            </w:tcMar>
          </w:tcPr>
          <w:p w14:paraId="7B66F6F5"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6F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6F7" w14:textId="77777777" w:rsidR="0040300B" w:rsidRDefault="00BB2D44">
            <w:pPr>
              <w:jc w:val="right"/>
              <w:textAlignment w:val="bottom"/>
            </w:pPr>
            <w:r>
              <w:rPr>
                <w:rFonts w:ascii="Times New Roman" w:eastAsia="宋体" w:hAnsi="Times New Roman"/>
                <w:color w:val="000000"/>
                <w:sz w:val="20"/>
                <w:szCs w:val="20"/>
              </w:rPr>
              <w:t>17,163 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6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F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6F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6FB" w14:textId="77777777" w:rsidR="0040300B" w:rsidRDefault="00BB2D44">
            <w:pPr>
              <w:jc w:val="right"/>
              <w:textAlignment w:val="bottom"/>
            </w:pPr>
            <w:r>
              <w:rPr>
                <w:rFonts w:ascii="Times New Roman" w:eastAsia="宋体" w:hAnsi="Times New Roman"/>
                <w:color w:val="000000"/>
                <w:sz w:val="20"/>
                <w:szCs w:val="20"/>
              </w:rPr>
              <w:t>454 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6F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6F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6F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6FF" w14:textId="77777777" w:rsidR="0040300B" w:rsidRDefault="00BB2D44">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0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0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70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703" w14:textId="77777777" w:rsidR="0040300B" w:rsidRDefault="00BB2D44">
            <w:pPr>
              <w:jc w:val="right"/>
              <w:textAlignment w:val="bottom"/>
            </w:pPr>
            <w:r>
              <w:rPr>
                <w:rFonts w:ascii="Times New Roman" w:eastAsia="宋体" w:hAnsi="Times New Roman"/>
                <w:color w:val="000000"/>
                <w:sz w:val="20"/>
                <w:szCs w:val="20"/>
              </w:rPr>
              <w:t>17,610 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04" w14:textId="77777777" w:rsidR="0040300B" w:rsidRDefault="0040300B">
            <w:pPr>
              <w:jc w:val="right"/>
              <w:rPr>
                <w:rFonts w:ascii="宋体"/>
              </w:rPr>
            </w:pPr>
          </w:p>
        </w:tc>
      </w:tr>
    </w:tbl>
    <w:p w14:paraId="7B66F706" w14:textId="77777777" w:rsidR="0040300B" w:rsidRDefault="00BB2D44">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Net unsettled investment sales were $262 million as of May 1, 2021 and were included in oth</w:t>
      </w:r>
      <w:r>
        <w:rPr>
          <w:rFonts w:ascii="Times New Roman" w:eastAsia="宋体" w:hAnsi="Times New Roman"/>
          <w:color w:val="000000"/>
          <w:sz w:val="20"/>
          <w:szCs w:val="20"/>
        </w:rPr>
        <w:t>er current assets.</w:t>
      </w:r>
    </w:p>
    <w:p w14:paraId="7B66F707" w14:textId="77777777" w:rsidR="0040300B" w:rsidRDefault="00BB2D44">
      <w:pPr>
        <w:spacing w:before="120"/>
        <w:jc w:val="both"/>
      </w:pPr>
      <w:r>
        <w:rPr>
          <w:rFonts w:ascii="Times New Roman" w:eastAsia="宋体" w:hAnsi="Times New Roman"/>
          <w:color w:val="000000"/>
          <w:sz w:val="20"/>
          <w:szCs w:val="20"/>
        </w:rPr>
        <w:t>The following table presents the gross realized gains and gross realized losses related to available-for-sale debt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0"/>
        <w:gridCol w:w="832"/>
        <w:gridCol w:w="36"/>
        <w:gridCol w:w="36"/>
        <w:gridCol w:w="36"/>
        <w:gridCol w:w="36"/>
        <w:gridCol w:w="121"/>
        <w:gridCol w:w="789"/>
        <w:gridCol w:w="37"/>
        <w:gridCol w:w="36"/>
        <w:gridCol w:w="36"/>
        <w:gridCol w:w="36"/>
        <w:gridCol w:w="120"/>
        <w:gridCol w:w="789"/>
        <w:gridCol w:w="36"/>
        <w:gridCol w:w="36"/>
        <w:gridCol w:w="36"/>
        <w:gridCol w:w="36"/>
        <w:gridCol w:w="121"/>
        <w:gridCol w:w="791"/>
        <w:gridCol w:w="37"/>
      </w:tblGrid>
      <w:tr w:rsidR="0040300B" w14:paraId="7B66F720" w14:textId="77777777">
        <w:tc>
          <w:tcPr>
            <w:tcW w:w="50" w:type="pct"/>
            <w:shd w:val="clear" w:color="auto" w:fill="auto"/>
          </w:tcPr>
          <w:p w14:paraId="7B66F708" w14:textId="77777777" w:rsidR="0040300B" w:rsidRDefault="0040300B">
            <w:pPr>
              <w:rPr>
                <w:rFonts w:ascii="宋体"/>
              </w:rPr>
            </w:pPr>
          </w:p>
        </w:tc>
        <w:tc>
          <w:tcPr>
            <w:tcW w:w="2496" w:type="pct"/>
            <w:shd w:val="clear" w:color="auto" w:fill="auto"/>
          </w:tcPr>
          <w:p w14:paraId="7B66F709" w14:textId="77777777" w:rsidR="0040300B" w:rsidRDefault="0040300B">
            <w:pPr>
              <w:rPr>
                <w:rFonts w:ascii="宋体"/>
              </w:rPr>
            </w:pPr>
          </w:p>
        </w:tc>
        <w:tc>
          <w:tcPr>
            <w:tcW w:w="5" w:type="pct"/>
            <w:shd w:val="clear" w:color="auto" w:fill="auto"/>
          </w:tcPr>
          <w:p w14:paraId="7B66F70A" w14:textId="77777777" w:rsidR="0040300B" w:rsidRDefault="0040300B">
            <w:pPr>
              <w:rPr>
                <w:rFonts w:ascii="宋体"/>
              </w:rPr>
            </w:pPr>
          </w:p>
        </w:tc>
        <w:tc>
          <w:tcPr>
            <w:tcW w:w="50" w:type="pct"/>
            <w:shd w:val="clear" w:color="auto" w:fill="auto"/>
          </w:tcPr>
          <w:p w14:paraId="7B66F70B" w14:textId="77777777" w:rsidR="0040300B" w:rsidRDefault="0040300B">
            <w:pPr>
              <w:rPr>
                <w:rFonts w:ascii="宋体"/>
              </w:rPr>
            </w:pPr>
          </w:p>
        </w:tc>
        <w:tc>
          <w:tcPr>
            <w:tcW w:w="529" w:type="pct"/>
            <w:shd w:val="clear" w:color="auto" w:fill="auto"/>
          </w:tcPr>
          <w:p w14:paraId="7B66F70C" w14:textId="77777777" w:rsidR="0040300B" w:rsidRDefault="0040300B">
            <w:pPr>
              <w:rPr>
                <w:rFonts w:ascii="宋体"/>
              </w:rPr>
            </w:pPr>
          </w:p>
        </w:tc>
        <w:tc>
          <w:tcPr>
            <w:tcW w:w="5" w:type="pct"/>
            <w:shd w:val="clear" w:color="auto" w:fill="auto"/>
          </w:tcPr>
          <w:p w14:paraId="7B66F70D" w14:textId="77777777" w:rsidR="0040300B" w:rsidRDefault="0040300B">
            <w:pPr>
              <w:rPr>
                <w:rFonts w:ascii="宋体"/>
              </w:rPr>
            </w:pPr>
          </w:p>
        </w:tc>
        <w:tc>
          <w:tcPr>
            <w:tcW w:w="5" w:type="pct"/>
            <w:shd w:val="clear" w:color="auto" w:fill="auto"/>
          </w:tcPr>
          <w:p w14:paraId="7B66F70E" w14:textId="77777777" w:rsidR="0040300B" w:rsidRDefault="0040300B">
            <w:pPr>
              <w:rPr>
                <w:rFonts w:ascii="宋体"/>
              </w:rPr>
            </w:pPr>
          </w:p>
        </w:tc>
        <w:tc>
          <w:tcPr>
            <w:tcW w:w="26" w:type="pct"/>
            <w:shd w:val="clear" w:color="auto" w:fill="auto"/>
          </w:tcPr>
          <w:p w14:paraId="7B66F70F" w14:textId="77777777" w:rsidR="0040300B" w:rsidRDefault="0040300B">
            <w:pPr>
              <w:rPr>
                <w:rFonts w:ascii="宋体"/>
              </w:rPr>
            </w:pPr>
          </w:p>
        </w:tc>
        <w:tc>
          <w:tcPr>
            <w:tcW w:w="5" w:type="pct"/>
            <w:shd w:val="clear" w:color="auto" w:fill="auto"/>
          </w:tcPr>
          <w:p w14:paraId="7B66F710" w14:textId="77777777" w:rsidR="0040300B" w:rsidRDefault="0040300B">
            <w:pPr>
              <w:rPr>
                <w:rFonts w:ascii="宋体"/>
              </w:rPr>
            </w:pPr>
          </w:p>
        </w:tc>
        <w:tc>
          <w:tcPr>
            <w:tcW w:w="50" w:type="pct"/>
            <w:shd w:val="clear" w:color="auto" w:fill="auto"/>
          </w:tcPr>
          <w:p w14:paraId="7B66F711" w14:textId="77777777" w:rsidR="0040300B" w:rsidRDefault="0040300B">
            <w:pPr>
              <w:rPr>
                <w:rFonts w:ascii="宋体"/>
              </w:rPr>
            </w:pPr>
          </w:p>
        </w:tc>
        <w:tc>
          <w:tcPr>
            <w:tcW w:w="529" w:type="pct"/>
            <w:shd w:val="clear" w:color="auto" w:fill="auto"/>
          </w:tcPr>
          <w:p w14:paraId="7B66F712" w14:textId="77777777" w:rsidR="0040300B" w:rsidRDefault="0040300B">
            <w:pPr>
              <w:rPr>
                <w:rFonts w:ascii="宋体"/>
              </w:rPr>
            </w:pPr>
          </w:p>
        </w:tc>
        <w:tc>
          <w:tcPr>
            <w:tcW w:w="5" w:type="pct"/>
            <w:shd w:val="clear" w:color="auto" w:fill="auto"/>
          </w:tcPr>
          <w:p w14:paraId="7B66F713" w14:textId="77777777" w:rsidR="0040300B" w:rsidRDefault="0040300B">
            <w:pPr>
              <w:rPr>
                <w:rFonts w:ascii="宋体"/>
              </w:rPr>
            </w:pPr>
          </w:p>
        </w:tc>
        <w:tc>
          <w:tcPr>
            <w:tcW w:w="5" w:type="pct"/>
            <w:shd w:val="clear" w:color="auto" w:fill="auto"/>
          </w:tcPr>
          <w:p w14:paraId="7B66F714" w14:textId="77777777" w:rsidR="0040300B" w:rsidRDefault="0040300B">
            <w:pPr>
              <w:rPr>
                <w:rFonts w:ascii="宋体"/>
              </w:rPr>
            </w:pPr>
          </w:p>
        </w:tc>
        <w:tc>
          <w:tcPr>
            <w:tcW w:w="26" w:type="pct"/>
            <w:shd w:val="clear" w:color="auto" w:fill="auto"/>
          </w:tcPr>
          <w:p w14:paraId="7B66F715" w14:textId="77777777" w:rsidR="0040300B" w:rsidRDefault="0040300B">
            <w:pPr>
              <w:rPr>
                <w:rFonts w:ascii="宋体"/>
              </w:rPr>
            </w:pPr>
          </w:p>
        </w:tc>
        <w:tc>
          <w:tcPr>
            <w:tcW w:w="5" w:type="pct"/>
            <w:shd w:val="clear" w:color="auto" w:fill="auto"/>
          </w:tcPr>
          <w:p w14:paraId="7B66F716" w14:textId="77777777" w:rsidR="0040300B" w:rsidRDefault="0040300B">
            <w:pPr>
              <w:rPr>
                <w:rFonts w:ascii="宋体"/>
              </w:rPr>
            </w:pPr>
          </w:p>
        </w:tc>
        <w:tc>
          <w:tcPr>
            <w:tcW w:w="50" w:type="pct"/>
            <w:shd w:val="clear" w:color="auto" w:fill="auto"/>
          </w:tcPr>
          <w:p w14:paraId="7B66F717" w14:textId="77777777" w:rsidR="0040300B" w:rsidRDefault="0040300B">
            <w:pPr>
              <w:rPr>
                <w:rFonts w:ascii="宋体"/>
              </w:rPr>
            </w:pPr>
          </w:p>
        </w:tc>
        <w:tc>
          <w:tcPr>
            <w:tcW w:w="529" w:type="pct"/>
            <w:shd w:val="clear" w:color="auto" w:fill="auto"/>
          </w:tcPr>
          <w:p w14:paraId="7B66F718" w14:textId="77777777" w:rsidR="0040300B" w:rsidRDefault="0040300B">
            <w:pPr>
              <w:rPr>
                <w:rFonts w:ascii="宋体"/>
              </w:rPr>
            </w:pPr>
          </w:p>
        </w:tc>
        <w:tc>
          <w:tcPr>
            <w:tcW w:w="5" w:type="pct"/>
            <w:shd w:val="clear" w:color="auto" w:fill="auto"/>
          </w:tcPr>
          <w:p w14:paraId="7B66F719" w14:textId="77777777" w:rsidR="0040300B" w:rsidRDefault="0040300B">
            <w:pPr>
              <w:rPr>
                <w:rFonts w:ascii="宋体"/>
              </w:rPr>
            </w:pPr>
          </w:p>
        </w:tc>
        <w:tc>
          <w:tcPr>
            <w:tcW w:w="5" w:type="pct"/>
            <w:shd w:val="clear" w:color="auto" w:fill="auto"/>
          </w:tcPr>
          <w:p w14:paraId="7B66F71A" w14:textId="77777777" w:rsidR="0040300B" w:rsidRDefault="0040300B">
            <w:pPr>
              <w:rPr>
                <w:rFonts w:ascii="宋体"/>
              </w:rPr>
            </w:pPr>
          </w:p>
        </w:tc>
        <w:tc>
          <w:tcPr>
            <w:tcW w:w="26" w:type="pct"/>
            <w:shd w:val="clear" w:color="auto" w:fill="auto"/>
          </w:tcPr>
          <w:p w14:paraId="7B66F71B" w14:textId="77777777" w:rsidR="0040300B" w:rsidRDefault="0040300B">
            <w:pPr>
              <w:rPr>
                <w:rFonts w:ascii="宋体"/>
              </w:rPr>
            </w:pPr>
          </w:p>
        </w:tc>
        <w:tc>
          <w:tcPr>
            <w:tcW w:w="5" w:type="pct"/>
            <w:shd w:val="clear" w:color="auto" w:fill="auto"/>
          </w:tcPr>
          <w:p w14:paraId="7B66F71C" w14:textId="77777777" w:rsidR="0040300B" w:rsidRDefault="0040300B">
            <w:pPr>
              <w:rPr>
                <w:rFonts w:ascii="宋体"/>
              </w:rPr>
            </w:pPr>
          </w:p>
        </w:tc>
        <w:tc>
          <w:tcPr>
            <w:tcW w:w="50" w:type="pct"/>
            <w:shd w:val="clear" w:color="auto" w:fill="auto"/>
          </w:tcPr>
          <w:p w14:paraId="7B66F71D" w14:textId="77777777" w:rsidR="0040300B" w:rsidRDefault="0040300B">
            <w:pPr>
              <w:rPr>
                <w:rFonts w:ascii="宋体"/>
              </w:rPr>
            </w:pPr>
          </w:p>
        </w:tc>
        <w:tc>
          <w:tcPr>
            <w:tcW w:w="530" w:type="pct"/>
            <w:shd w:val="clear" w:color="auto" w:fill="auto"/>
          </w:tcPr>
          <w:p w14:paraId="7B66F71E" w14:textId="77777777" w:rsidR="0040300B" w:rsidRDefault="0040300B">
            <w:pPr>
              <w:rPr>
                <w:rFonts w:ascii="宋体"/>
              </w:rPr>
            </w:pPr>
          </w:p>
        </w:tc>
        <w:tc>
          <w:tcPr>
            <w:tcW w:w="5" w:type="pct"/>
            <w:shd w:val="clear" w:color="auto" w:fill="auto"/>
          </w:tcPr>
          <w:p w14:paraId="7B66F71F" w14:textId="77777777" w:rsidR="0040300B" w:rsidRDefault="0040300B">
            <w:pPr>
              <w:rPr>
                <w:rFonts w:ascii="宋体"/>
              </w:rPr>
            </w:pPr>
          </w:p>
        </w:tc>
      </w:tr>
      <w:tr w:rsidR="0040300B" w14:paraId="7B66F725" w14:textId="77777777">
        <w:tc>
          <w:tcPr>
            <w:tcW w:w="0" w:type="auto"/>
            <w:gridSpan w:val="3"/>
            <w:shd w:val="clear" w:color="auto" w:fill="auto"/>
            <w:tcMar>
              <w:top w:w="0" w:type="dxa"/>
              <w:left w:w="20" w:type="dxa"/>
              <w:bottom w:w="0" w:type="dxa"/>
              <w:right w:w="20" w:type="dxa"/>
            </w:tcMar>
          </w:tcPr>
          <w:p w14:paraId="7B66F721" w14:textId="77777777" w:rsidR="0040300B" w:rsidRDefault="0040300B">
            <w:pPr>
              <w:rPr>
                <w:rFonts w:ascii="宋体"/>
              </w:rPr>
            </w:pPr>
          </w:p>
        </w:tc>
        <w:tc>
          <w:tcPr>
            <w:tcW w:w="0" w:type="auto"/>
            <w:gridSpan w:val="9"/>
            <w:shd w:val="clear" w:color="auto" w:fill="FFFFFF"/>
            <w:tcMar>
              <w:top w:w="40" w:type="dxa"/>
              <w:left w:w="20" w:type="dxa"/>
              <w:bottom w:w="40" w:type="dxa"/>
              <w:right w:w="20" w:type="dxa"/>
            </w:tcMar>
            <w:vAlign w:val="bottom"/>
          </w:tcPr>
          <w:p w14:paraId="7B66F72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FFFFFF"/>
            <w:tcMar>
              <w:top w:w="0" w:type="dxa"/>
              <w:left w:w="20" w:type="dxa"/>
              <w:bottom w:w="0" w:type="dxa"/>
              <w:right w:w="20" w:type="dxa"/>
            </w:tcMar>
          </w:tcPr>
          <w:p w14:paraId="7B66F723" w14:textId="77777777" w:rsidR="0040300B" w:rsidRDefault="0040300B">
            <w:pPr>
              <w:rPr>
                <w:rFonts w:ascii="宋体"/>
              </w:rPr>
            </w:pPr>
          </w:p>
        </w:tc>
        <w:tc>
          <w:tcPr>
            <w:tcW w:w="0" w:type="auto"/>
            <w:gridSpan w:val="9"/>
            <w:shd w:val="clear" w:color="auto" w:fill="FFFFFF"/>
            <w:tcMar>
              <w:top w:w="40" w:type="dxa"/>
              <w:left w:w="20" w:type="dxa"/>
              <w:bottom w:w="40" w:type="dxa"/>
              <w:right w:w="20" w:type="dxa"/>
            </w:tcMar>
            <w:vAlign w:val="bottom"/>
          </w:tcPr>
          <w:p w14:paraId="7B66F72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F72E" w14:textId="77777777">
        <w:tc>
          <w:tcPr>
            <w:tcW w:w="0" w:type="auto"/>
            <w:gridSpan w:val="3"/>
            <w:shd w:val="clear" w:color="auto" w:fill="auto"/>
            <w:tcMar>
              <w:top w:w="0" w:type="dxa"/>
              <w:left w:w="20" w:type="dxa"/>
              <w:bottom w:w="0" w:type="dxa"/>
              <w:right w:w="20" w:type="dxa"/>
            </w:tcMar>
          </w:tcPr>
          <w:p w14:paraId="7B66F72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27"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F72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29"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F72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2B"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F72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2D"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F73F" w14:textId="77777777">
        <w:tc>
          <w:tcPr>
            <w:tcW w:w="0" w:type="auto"/>
            <w:gridSpan w:val="3"/>
            <w:shd w:val="clear" w:color="auto" w:fill="CCEEFF"/>
            <w:tcMar>
              <w:top w:w="40" w:type="dxa"/>
              <w:left w:w="20" w:type="dxa"/>
              <w:bottom w:w="40" w:type="dxa"/>
              <w:right w:w="20" w:type="dxa"/>
            </w:tcMar>
          </w:tcPr>
          <w:p w14:paraId="7B66F72F" w14:textId="77777777" w:rsidR="0040300B" w:rsidRDefault="00BB2D44">
            <w:pPr>
              <w:textAlignment w:val="top"/>
            </w:pPr>
            <w:r>
              <w:rPr>
                <w:rFonts w:ascii="Times New Roman" w:eastAsia="宋体" w:hAnsi="Times New Roman"/>
                <w:color w:val="000000"/>
                <w:sz w:val="20"/>
                <w:szCs w:val="20"/>
              </w:rPr>
              <w:t>Gross 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73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31" w14:textId="77777777" w:rsidR="0040300B" w:rsidRDefault="00BB2D44">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3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3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3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35" w14:textId="77777777" w:rsidR="0040300B" w:rsidRDefault="00BB2D44">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3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3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3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39" w14:textId="77777777" w:rsidR="0040300B" w:rsidRDefault="00BB2D44">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3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3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3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3D" w14:textId="77777777" w:rsidR="0040300B" w:rsidRDefault="00BB2D44">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3E" w14:textId="77777777" w:rsidR="0040300B" w:rsidRDefault="0040300B">
            <w:pPr>
              <w:jc w:val="right"/>
              <w:rPr>
                <w:rFonts w:ascii="宋体"/>
              </w:rPr>
            </w:pPr>
          </w:p>
        </w:tc>
      </w:tr>
      <w:tr w:rsidR="0040300B" w14:paraId="7B66F74C" w14:textId="77777777">
        <w:tc>
          <w:tcPr>
            <w:tcW w:w="0" w:type="auto"/>
            <w:gridSpan w:val="3"/>
            <w:shd w:val="clear" w:color="auto" w:fill="auto"/>
            <w:tcMar>
              <w:top w:w="40" w:type="dxa"/>
              <w:left w:w="20" w:type="dxa"/>
              <w:bottom w:w="40" w:type="dxa"/>
              <w:right w:w="20" w:type="dxa"/>
            </w:tcMar>
          </w:tcPr>
          <w:p w14:paraId="7B66F740" w14:textId="77777777" w:rsidR="0040300B" w:rsidRDefault="00BB2D44">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7B66F741" w14:textId="77777777" w:rsidR="0040300B" w:rsidRDefault="00BB2D44">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7B66F742"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743"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744" w14:textId="77777777" w:rsidR="0040300B" w:rsidRDefault="00BB2D44">
            <w:pPr>
              <w:jc w:val="right"/>
              <w:textAlignment w:val="bottom"/>
            </w:pPr>
            <w:r>
              <w:rPr>
                <w:rFonts w:ascii="Times New Roman" w:eastAsia="宋体" w:hAnsi="Times New Roman"/>
                <w:color w:val="000000"/>
                <w:sz w:val="20"/>
                <w:szCs w:val="20"/>
              </w:rPr>
              <w:t>(21)</w:t>
            </w:r>
          </w:p>
        </w:tc>
        <w:tc>
          <w:tcPr>
            <w:tcW w:w="0" w:type="auto"/>
            <w:shd w:val="clear" w:color="auto" w:fill="auto"/>
            <w:tcMar>
              <w:top w:w="40" w:type="dxa"/>
              <w:left w:w="0" w:type="dxa"/>
              <w:bottom w:w="40" w:type="dxa"/>
              <w:right w:w="20" w:type="dxa"/>
            </w:tcMar>
            <w:vAlign w:val="bottom"/>
          </w:tcPr>
          <w:p w14:paraId="7B66F74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746"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747" w14:textId="77777777" w:rsidR="0040300B" w:rsidRDefault="00BB2D44">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7B66F748"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749"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74A" w14:textId="77777777" w:rsidR="0040300B" w:rsidRDefault="00BB2D44">
            <w:pPr>
              <w:jc w:val="right"/>
              <w:textAlignment w:val="bottom"/>
            </w:pPr>
            <w:r>
              <w:rPr>
                <w:rFonts w:ascii="Times New Roman" w:eastAsia="宋体" w:hAnsi="Times New Roman"/>
                <w:color w:val="000000"/>
                <w:sz w:val="20"/>
                <w:szCs w:val="20"/>
              </w:rPr>
              <w:t>(25)</w:t>
            </w:r>
          </w:p>
        </w:tc>
        <w:tc>
          <w:tcPr>
            <w:tcW w:w="0" w:type="auto"/>
            <w:shd w:val="clear" w:color="auto" w:fill="auto"/>
            <w:tcMar>
              <w:top w:w="40" w:type="dxa"/>
              <w:left w:w="0" w:type="dxa"/>
              <w:bottom w:w="40" w:type="dxa"/>
              <w:right w:w="20" w:type="dxa"/>
            </w:tcMar>
            <w:vAlign w:val="bottom"/>
          </w:tcPr>
          <w:p w14:paraId="7B66F74B" w14:textId="77777777" w:rsidR="0040300B" w:rsidRDefault="0040300B">
            <w:pPr>
              <w:jc w:val="right"/>
              <w:rPr>
                <w:rFonts w:ascii="宋体"/>
              </w:rPr>
            </w:pPr>
          </w:p>
        </w:tc>
      </w:tr>
      <w:tr w:rsidR="0040300B" w14:paraId="7B66F75D" w14:textId="77777777">
        <w:tc>
          <w:tcPr>
            <w:tcW w:w="0" w:type="auto"/>
            <w:gridSpan w:val="3"/>
            <w:shd w:val="clear" w:color="auto" w:fill="CCEEFF"/>
            <w:tcMar>
              <w:top w:w="40" w:type="dxa"/>
              <w:left w:w="380" w:type="dxa"/>
              <w:bottom w:w="40" w:type="dxa"/>
              <w:right w:w="20" w:type="dxa"/>
            </w:tcMar>
          </w:tcPr>
          <w:p w14:paraId="7B66F74D"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74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74F" w14:textId="77777777" w:rsidR="0040300B" w:rsidRDefault="00BB2D44">
            <w:pPr>
              <w:jc w:val="right"/>
              <w:textAlignment w:val="bottom"/>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5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75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753" w14:textId="77777777" w:rsidR="0040300B" w:rsidRDefault="00BB2D44">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5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5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75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757" w14:textId="77777777" w:rsidR="0040300B" w:rsidRDefault="00BB2D44">
            <w:pPr>
              <w:jc w:val="right"/>
              <w:textAlignment w:val="bottom"/>
            </w:pPr>
            <w:r>
              <w:rPr>
                <w:rFonts w:ascii="Times New Roman" w:eastAsia="宋体" w:hAnsi="Times New Roman"/>
                <w:color w:val="000000"/>
                <w:sz w:val="20"/>
                <w:szCs w:val="20"/>
              </w:rPr>
              <w:t>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5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5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75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75B" w14:textId="77777777" w:rsidR="0040300B" w:rsidRDefault="00BB2D44">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75C" w14:textId="77777777" w:rsidR="0040300B" w:rsidRDefault="0040300B">
            <w:pPr>
              <w:jc w:val="right"/>
              <w:rPr>
                <w:rFonts w:ascii="宋体"/>
              </w:rPr>
            </w:pPr>
          </w:p>
        </w:tc>
      </w:tr>
    </w:tbl>
    <w:p w14:paraId="7B66F75E" w14:textId="77777777" w:rsidR="0040300B" w:rsidRDefault="00BB2D44">
      <w:pPr>
        <w:jc w:val="center"/>
      </w:pPr>
      <w:r>
        <w:rPr>
          <w:rFonts w:ascii="Times New Roman" w:eastAsia="宋体" w:hAnsi="Times New Roman"/>
          <w:color w:val="000000"/>
          <w:sz w:val="20"/>
          <w:szCs w:val="20"/>
        </w:rPr>
        <w:t>22</w:t>
      </w:r>
    </w:p>
    <w:p w14:paraId="7B66F75F" w14:textId="77777777" w:rsidR="0040300B" w:rsidRDefault="00BB2D44">
      <w:r>
        <w:pict w14:anchorId="7B671C26">
          <v:rect id="_x0000_i1046" style="width:415.3pt;height:1.5pt" o:hralign="center" o:hrstd="t" o:hr="t" fillcolor="#a0a0a0" stroked="f"/>
        </w:pict>
      </w:r>
    </w:p>
    <w:p w14:paraId="7B66F760" w14:textId="77777777" w:rsidR="0040300B" w:rsidRDefault="00BB2D44">
      <w:hyperlink r:id="rId68" w:anchor="i52d5b40dbad7426a9806a2fd5167029f_7" w:history="1">
        <w:r>
          <w:rPr>
            <w:rStyle w:val="a5"/>
            <w:rFonts w:ascii="Times New Roman" w:eastAsia="宋体" w:hAnsi="Times New Roman"/>
            <w:sz w:val="18"/>
            <w:szCs w:val="18"/>
          </w:rPr>
          <w:t>Table of Contents</w:t>
        </w:r>
      </w:hyperlink>
    </w:p>
    <w:p w14:paraId="7B66F761" w14:textId="77777777" w:rsidR="0040300B" w:rsidRDefault="00BB2D44">
      <w:pPr>
        <w:jc w:val="center"/>
      </w:pPr>
      <w:r>
        <w:rPr>
          <w:rFonts w:ascii="Times New Roman" w:eastAsia="宋体" w:hAnsi="Times New Roman"/>
          <w:b/>
          <w:bCs/>
          <w:color w:val="000000"/>
          <w:sz w:val="18"/>
          <w:szCs w:val="18"/>
        </w:rPr>
        <w:t>CISCO SYSTEMS, INC.</w:t>
      </w:r>
    </w:p>
    <w:p w14:paraId="7B66F762"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763" w14:textId="77777777" w:rsidR="0040300B" w:rsidRDefault="00BB2D44">
      <w:pPr>
        <w:jc w:val="center"/>
      </w:pPr>
      <w:r>
        <w:rPr>
          <w:rFonts w:ascii="Times New Roman" w:eastAsia="宋体" w:hAnsi="Times New Roman"/>
          <w:b/>
          <w:bCs/>
          <w:color w:val="000000"/>
          <w:sz w:val="18"/>
          <w:szCs w:val="18"/>
        </w:rPr>
        <w:t xml:space="preserve">(Unaudited) </w:t>
      </w:r>
    </w:p>
    <w:p w14:paraId="7B66F764" w14:textId="77777777" w:rsidR="0040300B" w:rsidRDefault="0040300B">
      <w:pPr>
        <w:jc w:val="center"/>
      </w:pPr>
    </w:p>
    <w:p w14:paraId="7B66F765" w14:textId="77777777" w:rsidR="0040300B" w:rsidRDefault="00BB2D44">
      <w:pPr>
        <w:spacing w:before="120"/>
        <w:jc w:val="both"/>
      </w:pPr>
      <w:r>
        <w:rPr>
          <w:rFonts w:ascii="Times New Roman" w:eastAsia="宋体" w:hAnsi="Times New Roman"/>
          <w:color w:val="000000"/>
          <w:sz w:val="20"/>
          <w:szCs w:val="20"/>
        </w:rPr>
        <w:t xml:space="preserve">The following tables present the breakdown of the available-for-sale debt investments with gross unrealized losses and the duration that those losses had been unrealized at May 1, 2021 and July 25, 2020 (in millions): </w:t>
      </w:r>
    </w:p>
    <w:tbl>
      <w:tblPr>
        <w:tblW w:w="4971" w:type="pct"/>
        <w:tblCellMar>
          <w:top w:w="15" w:type="dxa"/>
          <w:left w:w="15" w:type="dxa"/>
          <w:bottom w:w="15" w:type="dxa"/>
          <w:right w:w="15" w:type="dxa"/>
        </w:tblCellMar>
        <w:tblLook w:val="04A0" w:firstRow="1" w:lastRow="0" w:firstColumn="1" w:lastColumn="0" w:noHBand="0" w:noVBand="1"/>
      </w:tblPr>
      <w:tblGrid>
        <w:gridCol w:w="97"/>
        <w:gridCol w:w="2039"/>
        <w:gridCol w:w="36"/>
        <w:gridCol w:w="116"/>
        <w:gridCol w:w="835"/>
        <w:gridCol w:w="37"/>
        <w:gridCol w:w="37"/>
        <w:gridCol w:w="47"/>
        <w:gridCol w:w="36"/>
        <w:gridCol w:w="115"/>
        <w:gridCol w:w="834"/>
        <w:gridCol w:w="36"/>
        <w:gridCol w:w="36"/>
        <w:gridCol w:w="36"/>
        <w:gridCol w:w="36"/>
        <w:gridCol w:w="116"/>
        <w:gridCol w:w="901"/>
        <w:gridCol w:w="37"/>
        <w:gridCol w:w="37"/>
        <w:gridCol w:w="51"/>
        <w:gridCol w:w="36"/>
        <w:gridCol w:w="115"/>
        <w:gridCol w:w="900"/>
        <w:gridCol w:w="36"/>
        <w:gridCol w:w="36"/>
        <w:gridCol w:w="36"/>
        <w:gridCol w:w="36"/>
        <w:gridCol w:w="115"/>
        <w:gridCol w:w="473"/>
        <w:gridCol w:w="36"/>
        <w:gridCol w:w="36"/>
        <w:gridCol w:w="36"/>
        <w:gridCol w:w="36"/>
        <w:gridCol w:w="116"/>
        <w:gridCol w:w="742"/>
        <w:gridCol w:w="36"/>
      </w:tblGrid>
      <w:tr w:rsidR="0040300B" w14:paraId="7B66F78A" w14:textId="77777777">
        <w:tc>
          <w:tcPr>
            <w:tcW w:w="50" w:type="pct"/>
            <w:shd w:val="clear" w:color="auto" w:fill="auto"/>
          </w:tcPr>
          <w:p w14:paraId="7B66F766" w14:textId="77777777" w:rsidR="0040300B" w:rsidRDefault="0040300B">
            <w:pPr>
              <w:rPr>
                <w:rFonts w:ascii="宋体"/>
              </w:rPr>
            </w:pPr>
          </w:p>
        </w:tc>
        <w:tc>
          <w:tcPr>
            <w:tcW w:w="1540" w:type="pct"/>
            <w:shd w:val="clear" w:color="auto" w:fill="auto"/>
          </w:tcPr>
          <w:p w14:paraId="7B66F767" w14:textId="77777777" w:rsidR="0040300B" w:rsidRDefault="0040300B">
            <w:pPr>
              <w:rPr>
                <w:rFonts w:ascii="宋体"/>
              </w:rPr>
            </w:pPr>
          </w:p>
        </w:tc>
        <w:tc>
          <w:tcPr>
            <w:tcW w:w="5" w:type="pct"/>
            <w:shd w:val="clear" w:color="auto" w:fill="auto"/>
          </w:tcPr>
          <w:p w14:paraId="7B66F768" w14:textId="77777777" w:rsidR="0040300B" w:rsidRDefault="0040300B">
            <w:pPr>
              <w:rPr>
                <w:rFonts w:ascii="宋体"/>
              </w:rPr>
            </w:pPr>
          </w:p>
        </w:tc>
        <w:tc>
          <w:tcPr>
            <w:tcW w:w="50" w:type="pct"/>
            <w:shd w:val="clear" w:color="auto" w:fill="auto"/>
          </w:tcPr>
          <w:p w14:paraId="7B66F769" w14:textId="77777777" w:rsidR="0040300B" w:rsidRDefault="0040300B">
            <w:pPr>
              <w:rPr>
                <w:rFonts w:ascii="宋体"/>
              </w:rPr>
            </w:pPr>
          </w:p>
        </w:tc>
        <w:tc>
          <w:tcPr>
            <w:tcW w:w="481" w:type="pct"/>
            <w:shd w:val="clear" w:color="auto" w:fill="auto"/>
          </w:tcPr>
          <w:p w14:paraId="7B66F76A" w14:textId="77777777" w:rsidR="0040300B" w:rsidRDefault="0040300B">
            <w:pPr>
              <w:rPr>
                <w:rFonts w:ascii="宋体"/>
              </w:rPr>
            </w:pPr>
          </w:p>
        </w:tc>
        <w:tc>
          <w:tcPr>
            <w:tcW w:w="5" w:type="pct"/>
            <w:shd w:val="clear" w:color="auto" w:fill="auto"/>
          </w:tcPr>
          <w:p w14:paraId="7B66F76B" w14:textId="77777777" w:rsidR="0040300B" w:rsidRDefault="0040300B">
            <w:pPr>
              <w:rPr>
                <w:rFonts w:ascii="宋体"/>
              </w:rPr>
            </w:pPr>
          </w:p>
        </w:tc>
        <w:tc>
          <w:tcPr>
            <w:tcW w:w="5" w:type="pct"/>
            <w:shd w:val="clear" w:color="auto" w:fill="auto"/>
          </w:tcPr>
          <w:p w14:paraId="7B66F76C" w14:textId="77777777" w:rsidR="0040300B" w:rsidRDefault="0040300B">
            <w:pPr>
              <w:rPr>
                <w:rFonts w:ascii="宋体"/>
              </w:rPr>
            </w:pPr>
          </w:p>
        </w:tc>
        <w:tc>
          <w:tcPr>
            <w:tcW w:w="26" w:type="pct"/>
            <w:shd w:val="clear" w:color="auto" w:fill="auto"/>
          </w:tcPr>
          <w:p w14:paraId="7B66F76D" w14:textId="77777777" w:rsidR="0040300B" w:rsidRDefault="0040300B">
            <w:pPr>
              <w:rPr>
                <w:rFonts w:ascii="宋体"/>
              </w:rPr>
            </w:pPr>
          </w:p>
        </w:tc>
        <w:tc>
          <w:tcPr>
            <w:tcW w:w="5" w:type="pct"/>
            <w:shd w:val="clear" w:color="auto" w:fill="auto"/>
          </w:tcPr>
          <w:p w14:paraId="7B66F76E" w14:textId="77777777" w:rsidR="0040300B" w:rsidRDefault="0040300B">
            <w:pPr>
              <w:rPr>
                <w:rFonts w:ascii="宋体"/>
              </w:rPr>
            </w:pPr>
          </w:p>
        </w:tc>
        <w:tc>
          <w:tcPr>
            <w:tcW w:w="50" w:type="pct"/>
            <w:shd w:val="clear" w:color="auto" w:fill="auto"/>
          </w:tcPr>
          <w:p w14:paraId="7B66F76F" w14:textId="77777777" w:rsidR="0040300B" w:rsidRDefault="0040300B">
            <w:pPr>
              <w:rPr>
                <w:rFonts w:ascii="宋体"/>
              </w:rPr>
            </w:pPr>
          </w:p>
        </w:tc>
        <w:tc>
          <w:tcPr>
            <w:tcW w:w="481" w:type="pct"/>
            <w:shd w:val="clear" w:color="auto" w:fill="auto"/>
          </w:tcPr>
          <w:p w14:paraId="7B66F770" w14:textId="77777777" w:rsidR="0040300B" w:rsidRDefault="0040300B">
            <w:pPr>
              <w:rPr>
                <w:rFonts w:ascii="宋体"/>
              </w:rPr>
            </w:pPr>
          </w:p>
        </w:tc>
        <w:tc>
          <w:tcPr>
            <w:tcW w:w="5" w:type="pct"/>
            <w:shd w:val="clear" w:color="auto" w:fill="auto"/>
          </w:tcPr>
          <w:p w14:paraId="7B66F771" w14:textId="77777777" w:rsidR="0040300B" w:rsidRDefault="0040300B">
            <w:pPr>
              <w:rPr>
                <w:rFonts w:ascii="宋体"/>
              </w:rPr>
            </w:pPr>
          </w:p>
        </w:tc>
        <w:tc>
          <w:tcPr>
            <w:tcW w:w="5" w:type="pct"/>
            <w:shd w:val="clear" w:color="auto" w:fill="auto"/>
          </w:tcPr>
          <w:p w14:paraId="7B66F772" w14:textId="77777777" w:rsidR="0040300B" w:rsidRDefault="0040300B">
            <w:pPr>
              <w:rPr>
                <w:rFonts w:ascii="宋体"/>
              </w:rPr>
            </w:pPr>
          </w:p>
        </w:tc>
        <w:tc>
          <w:tcPr>
            <w:tcW w:w="26" w:type="pct"/>
            <w:shd w:val="clear" w:color="auto" w:fill="auto"/>
          </w:tcPr>
          <w:p w14:paraId="7B66F773" w14:textId="77777777" w:rsidR="0040300B" w:rsidRDefault="0040300B">
            <w:pPr>
              <w:rPr>
                <w:rFonts w:ascii="宋体"/>
              </w:rPr>
            </w:pPr>
          </w:p>
        </w:tc>
        <w:tc>
          <w:tcPr>
            <w:tcW w:w="5" w:type="pct"/>
            <w:shd w:val="clear" w:color="auto" w:fill="auto"/>
          </w:tcPr>
          <w:p w14:paraId="7B66F774" w14:textId="77777777" w:rsidR="0040300B" w:rsidRDefault="0040300B">
            <w:pPr>
              <w:rPr>
                <w:rFonts w:ascii="宋体"/>
              </w:rPr>
            </w:pPr>
          </w:p>
        </w:tc>
        <w:tc>
          <w:tcPr>
            <w:tcW w:w="50" w:type="pct"/>
            <w:shd w:val="clear" w:color="auto" w:fill="auto"/>
          </w:tcPr>
          <w:p w14:paraId="7B66F775" w14:textId="77777777" w:rsidR="0040300B" w:rsidRDefault="0040300B">
            <w:pPr>
              <w:rPr>
                <w:rFonts w:ascii="宋体"/>
              </w:rPr>
            </w:pPr>
          </w:p>
        </w:tc>
        <w:tc>
          <w:tcPr>
            <w:tcW w:w="481" w:type="pct"/>
            <w:shd w:val="clear" w:color="auto" w:fill="auto"/>
          </w:tcPr>
          <w:p w14:paraId="7B66F776" w14:textId="77777777" w:rsidR="0040300B" w:rsidRDefault="0040300B">
            <w:pPr>
              <w:rPr>
                <w:rFonts w:ascii="宋体"/>
              </w:rPr>
            </w:pPr>
          </w:p>
        </w:tc>
        <w:tc>
          <w:tcPr>
            <w:tcW w:w="5" w:type="pct"/>
            <w:shd w:val="clear" w:color="auto" w:fill="auto"/>
          </w:tcPr>
          <w:p w14:paraId="7B66F777" w14:textId="77777777" w:rsidR="0040300B" w:rsidRDefault="0040300B">
            <w:pPr>
              <w:rPr>
                <w:rFonts w:ascii="宋体"/>
              </w:rPr>
            </w:pPr>
          </w:p>
        </w:tc>
        <w:tc>
          <w:tcPr>
            <w:tcW w:w="5" w:type="pct"/>
            <w:shd w:val="clear" w:color="auto" w:fill="auto"/>
          </w:tcPr>
          <w:p w14:paraId="7B66F778" w14:textId="77777777" w:rsidR="0040300B" w:rsidRDefault="0040300B">
            <w:pPr>
              <w:rPr>
                <w:rFonts w:ascii="宋体"/>
              </w:rPr>
            </w:pPr>
          </w:p>
        </w:tc>
        <w:tc>
          <w:tcPr>
            <w:tcW w:w="26" w:type="pct"/>
            <w:shd w:val="clear" w:color="auto" w:fill="auto"/>
          </w:tcPr>
          <w:p w14:paraId="7B66F779" w14:textId="77777777" w:rsidR="0040300B" w:rsidRDefault="0040300B">
            <w:pPr>
              <w:rPr>
                <w:rFonts w:ascii="宋体"/>
              </w:rPr>
            </w:pPr>
          </w:p>
        </w:tc>
        <w:tc>
          <w:tcPr>
            <w:tcW w:w="5" w:type="pct"/>
            <w:shd w:val="clear" w:color="auto" w:fill="auto"/>
          </w:tcPr>
          <w:p w14:paraId="7B66F77A" w14:textId="77777777" w:rsidR="0040300B" w:rsidRDefault="0040300B">
            <w:pPr>
              <w:rPr>
                <w:rFonts w:ascii="宋体"/>
              </w:rPr>
            </w:pPr>
          </w:p>
        </w:tc>
        <w:tc>
          <w:tcPr>
            <w:tcW w:w="50" w:type="pct"/>
            <w:shd w:val="clear" w:color="auto" w:fill="auto"/>
          </w:tcPr>
          <w:p w14:paraId="7B66F77B" w14:textId="77777777" w:rsidR="0040300B" w:rsidRDefault="0040300B">
            <w:pPr>
              <w:rPr>
                <w:rFonts w:ascii="宋体"/>
              </w:rPr>
            </w:pPr>
          </w:p>
        </w:tc>
        <w:tc>
          <w:tcPr>
            <w:tcW w:w="481" w:type="pct"/>
            <w:shd w:val="clear" w:color="auto" w:fill="auto"/>
          </w:tcPr>
          <w:p w14:paraId="7B66F77C" w14:textId="77777777" w:rsidR="0040300B" w:rsidRDefault="0040300B">
            <w:pPr>
              <w:rPr>
                <w:rFonts w:ascii="宋体"/>
              </w:rPr>
            </w:pPr>
          </w:p>
        </w:tc>
        <w:tc>
          <w:tcPr>
            <w:tcW w:w="5" w:type="pct"/>
            <w:shd w:val="clear" w:color="auto" w:fill="auto"/>
          </w:tcPr>
          <w:p w14:paraId="7B66F77D" w14:textId="77777777" w:rsidR="0040300B" w:rsidRDefault="0040300B">
            <w:pPr>
              <w:rPr>
                <w:rFonts w:ascii="宋体"/>
              </w:rPr>
            </w:pPr>
          </w:p>
        </w:tc>
        <w:tc>
          <w:tcPr>
            <w:tcW w:w="5" w:type="pct"/>
            <w:shd w:val="clear" w:color="auto" w:fill="auto"/>
          </w:tcPr>
          <w:p w14:paraId="7B66F77E" w14:textId="77777777" w:rsidR="0040300B" w:rsidRDefault="0040300B">
            <w:pPr>
              <w:rPr>
                <w:rFonts w:ascii="宋体"/>
              </w:rPr>
            </w:pPr>
          </w:p>
        </w:tc>
        <w:tc>
          <w:tcPr>
            <w:tcW w:w="26" w:type="pct"/>
            <w:shd w:val="clear" w:color="auto" w:fill="auto"/>
          </w:tcPr>
          <w:p w14:paraId="7B66F77F" w14:textId="77777777" w:rsidR="0040300B" w:rsidRDefault="0040300B">
            <w:pPr>
              <w:rPr>
                <w:rFonts w:ascii="宋体"/>
              </w:rPr>
            </w:pPr>
          </w:p>
        </w:tc>
        <w:tc>
          <w:tcPr>
            <w:tcW w:w="5" w:type="pct"/>
            <w:shd w:val="clear" w:color="auto" w:fill="auto"/>
          </w:tcPr>
          <w:p w14:paraId="7B66F780" w14:textId="77777777" w:rsidR="0040300B" w:rsidRDefault="0040300B">
            <w:pPr>
              <w:rPr>
                <w:rFonts w:ascii="宋体"/>
              </w:rPr>
            </w:pPr>
          </w:p>
        </w:tc>
        <w:tc>
          <w:tcPr>
            <w:tcW w:w="50" w:type="pct"/>
            <w:shd w:val="clear" w:color="auto" w:fill="auto"/>
          </w:tcPr>
          <w:p w14:paraId="7B66F781" w14:textId="77777777" w:rsidR="0040300B" w:rsidRDefault="0040300B">
            <w:pPr>
              <w:rPr>
                <w:rFonts w:ascii="宋体"/>
              </w:rPr>
            </w:pPr>
          </w:p>
        </w:tc>
        <w:tc>
          <w:tcPr>
            <w:tcW w:w="481" w:type="pct"/>
            <w:shd w:val="clear" w:color="auto" w:fill="auto"/>
          </w:tcPr>
          <w:p w14:paraId="7B66F782" w14:textId="77777777" w:rsidR="0040300B" w:rsidRDefault="0040300B">
            <w:pPr>
              <w:rPr>
                <w:rFonts w:ascii="宋体"/>
              </w:rPr>
            </w:pPr>
          </w:p>
        </w:tc>
        <w:tc>
          <w:tcPr>
            <w:tcW w:w="5" w:type="pct"/>
            <w:shd w:val="clear" w:color="auto" w:fill="auto"/>
          </w:tcPr>
          <w:p w14:paraId="7B66F783" w14:textId="77777777" w:rsidR="0040300B" w:rsidRDefault="0040300B">
            <w:pPr>
              <w:rPr>
                <w:rFonts w:ascii="宋体"/>
              </w:rPr>
            </w:pPr>
          </w:p>
        </w:tc>
        <w:tc>
          <w:tcPr>
            <w:tcW w:w="5" w:type="pct"/>
            <w:shd w:val="clear" w:color="auto" w:fill="auto"/>
          </w:tcPr>
          <w:p w14:paraId="7B66F784" w14:textId="77777777" w:rsidR="0040300B" w:rsidRDefault="0040300B">
            <w:pPr>
              <w:rPr>
                <w:rFonts w:ascii="宋体"/>
              </w:rPr>
            </w:pPr>
          </w:p>
        </w:tc>
        <w:tc>
          <w:tcPr>
            <w:tcW w:w="26" w:type="pct"/>
            <w:shd w:val="clear" w:color="auto" w:fill="auto"/>
          </w:tcPr>
          <w:p w14:paraId="7B66F785" w14:textId="77777777" w:rsidR="0040300B" w:rsidRDefault="0040300B">
            <w:pPr>
              <w:rPr>
                <w:rFonts w:ascii="宋体"/>
              </w:rPr>
            </w:pPr>
          </w:p>
        </w:tc>
        <w:tc>
          <w:tcPr>
            <w:tcW w:w="5" w:type="pct"/>
            <w:shd w:val="clear" w:color="auto" w:fill="auto"/>
          </w:tcPr>
          <w:p w14:paraId="7B66F786" w14:textId="77777777" w:rsidR="0040300B" w:rsidRDefault="0040300B">
            <w:pPr>
              <w:rPr>
                <w:rFonts w:ascii="宋体"/>
              </w:rPr>
            </w:pPr>
          </w:p>
        </w:tc>
        <w:tc>
          <w:tcPr>
            <w:tcW w:w="50" w:type="pct"/>
            <w:shd w:val="clear" w:color="auto" w:fill="auto"/>
          </w:tcPr>
          <w:p w14:paraId="7B66F787" w14:textId="77777777" w:rsidR="0040300B" w:rsidRDefault="0040300B">
            <w:pPr>
              <w:rPr>
                <w:rFonts w:ascii="宋体"/>
              </w:rPr>
            </w:pPr>
          </w:p>
        </w:tc>
        <w:tc>
          <w:tcPr>
            <w:tcW w:w="481" w:type="pct"/>
            <w:shd w:val="clear" w:color="auto" w:fill="auto"/>
          </w:tcPr>
          <w:p w14:paraId="7B66F788" w14:textId="77777777" w:rsidR="0040300B" w:rsidRDefault="0040300B">
            <w:pPr>
              <w:rPr>
                <w:rFonts w:ascii="宋体"/>
              </w:rPr>
            </w:pPr>
          </w:p>
        </w:tc>
        <w:tc>
          <w:tcPr>
            <w:tcW w:w="5" w:type="pct"/>
            <w:shd w:val="clear" w:color="auto" w:fill="auto"/>
          </w:tcPr>
          <w:p w14:paraId="7B66F789" w14:textId="77777777" w:rsidR="0040300B" w:rsidRDefault="0040300B">
            <w:pPr>
              <w:rPr>
                <w:rFonts w:ascii="宋体"/>
              </w:rPr>
            </w:pPr>
          </w:p>
        </w:tc>
      </w:tr>
      <w:tr w:rsidR="0040300B" w14:paraId="7B66F791" w14:textId="77777777">
        <w:tc>
          <w:tcPr>
            <w:tcW w:w="0" w:type="auto"/>
            <w:gridSpan w:val="3"/>
            <w:shd w:val="clear" w:color="auto" w:fill="auto"/>
            <w:tcMar>
              <w:top w:w="40" w:type="dxa"/>
              <w:left w:w="20" w:type="dxa"/>
              <w:bottom w:w="40" w:type="dxa"/>
              <w:right w:w="20" w:type="dxa"/>
            </w:tcMar>
            <w:vAlign w:val="bottom"/>
          </w:tcPr>
          <w:p w14:paraId="7B66F78B" w14:textId="77777777" w:rsidR="0040300B" w:rsidRDefault="00BB2D4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B66F78C" w14:textId="77777777" w:rsidR="0040300B" w:rsidRDefault="00BB2D4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tcPr>
          <w:p w14:paraId="7B66F78D"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78E" w14:textId="77777777" w:rsidR="0040300B" w:rsidRDefault="00BB2D4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12 MONTHS OR GREATER</w:t>
            </w:r>
          </w:p>
        </w:tc>
        <w:tc>
          <w:tcPr>
            <w:tcW w:w="0" w:type="auto"/>
            <w:gridSpan w:val="3"/>
            <w:shd w:val="clear" w:color="auto" w:fill="auto"/>
            <w:tcMar>
              <w:top w:w="0" w:type="dxa"/>
              <w:left w:w="20" w:type="dxa"/>
              <w:bottom w:w="0" w:type="dxa"/>
              <w:right w:w="20" w:type="dxa"/>
            </w:tcMar>
          </w:tcPr>
          <w:p w14:paraId="7B66F78F"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790"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6F79E" w14:textId="77777777">
        <w:tc>
          <w:tcPr>
            <w:tcW w:w="0" w:type="auto"/>
            <w:gridSpan w:val="3"/>
            <w:shd w:val="clear" w:color="auto" w:fill="auto"/>
            <w:tcMar>
              <w:top w:w="40" w:type="dxa"/>
              <w:left w:w="20" w:type="dxa"/>
              <w:bottom w:w="40" w:type="dxa"/>
              <w:right w:w="20" w:type="dxa"/>
            </w:tcMar>
            <w:vAlign w:val="bottom"/>
          </w:tcPr>
          <w:p w14:paraId="7B66F792" w14:textId="77777777" w:rsidR="0040300B" w:rsidRDefault="00BB2D44">
            <w:pPr>
              <w:textAlignment w:val="bottom"/>
            </w:pPr>
            <w:r>
              <w:rPr>
                <w:rFonts w:ascii="Times New Roman" w:eastAsia="宋体" w:hAnsi="Times New Roman"/>
                <w:color w:val="000000"/>
                <w:sz w:val="18"/>
                <w:szCs w:val="18"/>
                <w:u w:val="single"/>
              </w:rPr>
              <w:t xml:space="preserve">May 1, </w:t>
            </w:r>
            <w:r>
              <w:rPr>
                <w:rFonts w:ascii="Times New Roman" w:eastAsia="宋体" w:hAnsi="Times New Roman"/>
                <w:color w:val="000000"/>
                <w:sz w:val="18"/>
                <w:szCs w:val="18"/>
                <w:u w:val="single"/>
              </w:rPr>
              <w:t>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3"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79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5"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79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7"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79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9"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79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B"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79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79D" w14:textId="77777777" w:rsidR="0040300B" w:rsidRDefault="00BB2D44">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40300B" w14:paraId="7B66F7B7" w14:textId="77777777">
        <w:tc>
          <w:tcPr>
            <w:tcW w:w="0" w:type="auto"/>
            <w:gridSpan w:val="3"/>
            <w:shd w:val="clear" w:color="auto" w:fill="CCEEFF"/>
            <w:tcMar>
              <w:top w:w="40" w:type="dxa"/>
              <w:left w:w="20" w:type="dxa"/>
              <w:bottom w:w="40" w:type="dxa"/>
              <w:right w:w="20" w:type="dxa"/>
            </w:tcMar>
            <w:vAlign w:val="bottom"/>
          </w:tcPr>
          <w:p w14:paraId="7B66F79F" w14:textId="77777777" w:rsidR="0040300B" w:rsidRDefault="00BB2D44">
            <w:pPr>
              <w:textAlignment w:val="bottom"/>
            </w:pPr>
            <w:r>
              <w:rPr>
                <w:rFonts w:ascii="Times New Roman" w:eastAsia="宋体" w:hAnsi="Times New Roman"/>
                <w:color w:val="000000"/>
                <w:sz w:val="20"/>
                <w:szCs w:val="20"/>
              </w:rPr>
              <w:t>U.S. government securities</w:t>
            </w:r>
            <w:r>
              <w:rPr>
                <w:rFonts w:ascii="Times New Roman" w:eastAsia="宋体" w:hAnsi="Times New Roman"/>
                <w:color w:val="000000"/>
                <w:sz w:val="13"/>
                <w:szCs w:val="13"/>
              </w:rPr>
              <w:t> </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7A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A1" w14:textId="77777777" w:rsidR="0040300B" w:rsidRDefault="00BB2D44">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A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A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A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A5"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A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A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A9"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A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A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AD"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A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A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B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B1" w14:textId="77777777" w:rsidR="0040300B" w:rsidRDefault="00BB2D44">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B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7B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7B5"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7B6" w14:textId="77777777" w:rsidR="0040300B" w:rsidRDefault="0040300B">
            <w:pPr>
              <w:jc w:val="right"/>
              <w:rPr>
                <w:rFonts w:ascii="宋体"/>
              </w:rPr>
            </w:pPr>
          </w:p>
        </w:tc>
      </w:tr>
      <w:tr w:rsidR="0040300B" w14:paraId="7B66F7CA" w14:textId="77777777">
        <w:tc>
          <w:tcPr>
            <w:tcW w:w="0" w:type="auto"/>
            <w:gridSpan w:val="3"/>
            <w:shd w:val="clear" w:color="auto" w:fill="FFFFFF"/>
            <w:tcMar>
              <w:top w:w="40" w:type="dxa"/>
              <w:left w:w="245" w:type="dxa"/>
              <w:bottom w:w="40" w:type="dxa"/>
              <w:right w:w="20" w:type="dxa"/>
            </w:tcMar>
          </w:tcPr>
          <w:p w14:paraId="7B66F7B8" w14:textId="77777777" w:rsidR="0040300B" w:rsidRDefault="00BB2D44">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7B66F7B9" w14:textId="77777777" w:rsidR="0040300B" w:rsidRDefault="00BB2D4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B66F7B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B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B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B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B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B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C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C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C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C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C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C5" w14:textId="77777777" w:rsidR="0040300B" w:rsidRDefault="00BB2D4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B66F7C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C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C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C9" w14:textId="77777777" w:rsidR="0040300B" w:rsidRDefault="0040300B">
            <w:pPr>
              <w:jc w:val="right"/>
              <w:rPr>
                <w:rFonts w:ascii="宋体"/>
              </w:rPr>
            </w:pPr>
          </w:p>
        </w:tc>
      </w:tr>
      <w:tr w:rsidR="0040300B" w14:paraId="7B66F7DD" w14:textId="77777777">
        <w:tc>
          <w:tcPr>
            <w:tcW w:w="0" w:type="auto"/>
            <w:gridSpan w:val="3"/>
            <w:shd w:val="clear" w:color="auto" w:fill="CCEEFF"/>
            <w:tcMar>
              <w:top w:w="40" w:type="dxa"/>
              <w:left w:w="245" w:type="dxa"/>
              <w:bottom w:w="40" w:type="dxa"/>
              <w:right w:w="20" w:type="dxa"/>
            </w:tcMar>
          </w:tcPr>
          <w:p w14:paraId="7B66F7CB" w14:textId="77777777" w:rsidR="0040300B" w:rsidRDefault="00BB2D44">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7B66F7CC" w14:textId="77777777" w:rsidR="0040300B" w:rsidRDefault="00BB2D44">
            <w:pPr>
              <w:jc w:val="right"/>
              <w:textAlignment w:val="bottom"/>
            </w:pPr>
            <w:r>
              <w:rPr>
                <w:rFonts w:ascii="Times New Roman" w:eastAsia="宋体" w:hAnsi="Times New Roman"/>
                <w:color w:val="000000"/>
                <w:sz w:val="20"/>
                <w:szCs w:val="20"/>
              </w:rPr>
              <w:t>1,242 </w:t>
            </w:r>
          </w:p>
        </w:tc>
        <w:tc>
          <w:tcPr>
            <w:tcW w:w="0" w:type="auto"/>
            <w:shd w:val="clear" w:color="auto" w:fill="CCEEFF"/>
            <w:tcMar>
              <w:top w:w="40" w:type="dxa"/>
              <w:left w:w="0" w:type="dxa"/>
              <w:bottom w:w="40" w:type="dxa"/>
              <w:right w:w="20" w:type="dxa"/>
            </w:tcMar>
            <w:vAlign w:val="bottom"/>
          </w:tcPr>
          <w:p w14:paraId="7B66F7C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C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CF" w14:textId="77777777" w:rsidR="0040300B" w:rsidRDefault="00BB2D44">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7B66F7D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D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D2"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6F7D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D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D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7D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D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D8" w14:textId="77777777" w:rsidR="0040300B" w:rsidRDefault="00BB2D44">
            <w:pPr>
              <w:jc w:val="right"/>
              <w:textAlignment w:val="bottom"/>
            </w:pPr>
            <w:r>
              <w:rPr>
                <w:rFonts w:ascii="Times New Roman" w:eastAsia="宋体" w:hAnsi="Times New Roman"/>
                <w:color w:val="000000"/>
                <w:sz w:val="20"/>
                <w:szCs w:val="20"/>
              </w:rPr>
              <w:t>1,248 </w:t>
            </w:r>
          </w:p>
        </w:tc>
        <w:tc>
          <w:tcPr>
            <w:tcW w:w="0" w:type="auto"/>
            <w:shd w:val="clear" w:color="auto" w:fill="CCEEFF"/>
            <w:tcMar>
              <w:top w:w="40" w:type="dxa"/>
              <w:left w:w="0" w:type="dxa"/>
              <w:bottom w:w="40" w:type="dxa"/>
              <w:right w:w="20" w:type="dxa"/>
            </w:tcMar>
            <w:vAlign w:val="bottom"/>
          </w:tcPr>
          <w:p w14:paraId="7B66F7D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D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DB" w14:textId="77777777" w:rsidR="0040300B" w:rsidRDefault="00BB2D44">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7B66F7DC" w14:textId="77777777" w:rsidR="0040300B" w:rsidRDefault="0040300B">
            <w:pPr>
              <w:jc w:val="right"/>
              <w:rPr>
                <w:rFonts w:ascii="宋体"/>
              </w:rPr>
            </w:pPr>
          </w:p>
        </w:tc>
      </w:tr>
      <w:tr w:rsidR="0040300B" w14:paraId="7B66F7F0" w14:textId="77777777">
        <w:tc>
          <w:tcPr>
            <w:tcW w:w="0" w:type="auto"/>
            <w:gridSpan w:val="3"/>
            <w:shd w:val="clear" w:color="auto" w:fill="FFFFFF"/>
            <w:tcMar>
              <w:top w:w="40" w:type="dxa"/>
              <w:left w:w="245" w:type="dxa"/>
              <w:bottom w:w="40" w:type="dxa"/>
              <w:right w:w="20" w:type="dxa"/>
            </w:tcMar>
          </w:tcPr>
          <w:p w14:paraId="7B66F7DE" w14:textId="77777777" w:rsidR="0040300B" w:rsidRDefault="00BB2D4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7B66F7DF" w14:textId="77777777" w:rsidR="0040300B" w:rsidRDefault="00BB2D44">
            <w:pPr>
              <w:jc w:val="right"/>
              <w:textAlignment w:val="bottom"/>
            </w:pPr>
            <w:r>
              <w:rPr>
                <w:rFonts w:ascii="Times New Roman" w:eastAsia="宋体" w:hAnsi="Times New Roman"/>
                <w:color w:val="000000"/>
                <w:sz w:val="20"/>
                <w:szCs w:val="20"/>
              </w:rPr>
              <w:t>1,618 </w:t>
            </w:r>
          </w:p>
        </w:tc>
        <w:tc>
          <w:tcPr>
            <w:tcW w:w="0" w:type="auto"/>
            <w:shd w:val="clear" w:color="auto" w:fill="FFFFFF"/>
            <w:tcMar>
              <w:top w:w="40" w:type="dxa"/>
              <w:left w:w="0" w:type="dxa"/>
              <w:bottom w:w="40" w:type="dxa"/>
              <w:right w:w="20" w:type="dxa"/>
            </w:tcMar>
            <w:vAlign w:val="bottom"/>
          </w:tcPr>
          <w:p w14:paraId="7B66F7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E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E2" w14:textId="77777777" w:rsidR="0040300B" w:rsidRDefault="00BB2D44">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B66F7E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E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E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E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E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E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7E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E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EB" w14:textId="77777777" w:rsidR="0040300B" w:rsidRDefault="00BB2D44">
            <w:pPr>
              <w:jc w:val="right"/>
              <w:textAlignment w:val="bottom"/>
            </w:pPr>
            <w:r>
              <w:rPr>
                <w:rFonts w:ascii="Times New Roman" w:eastAsia="宋体" w:hAnsi="Times New Roman"/>
                <w:color w:val="000000"/>
                <w:sz w:val="20"/>
                <w:szCs w:val="20"/>
              </w:rPr>
              <w:t>1,618 </w:t>
            </w:r>
          </w:p>
        </w:tc>
        <w:tc>
          <w:tcPr>
            <w:tcW w:w="0" w:type="auto"/>
            <w:shd w:val="clear" w:color="auto" w:fill="FFFFFF"/>
            <w:tcMar>
              <w:top w:w="40" w:type="dxa"/>
              <w:left w:w="0" w:type="dxa"/>
              <w:bottom w:w="40" w:type="dxa"/>
              <w:right w:w="20" w:type="dxa"/>
            </w:tcMar>
            <w:vAlign w:val="bottom"/>
          </w:tcPr>
          <w:p w14:paraId="7B66F7E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7E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7EE" w14:textId="77777777" w:rsidR="0040300B" w:rsidRDefault="00BB2D44">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B66F7EF" w14:textId="77777777" w:rsidR="0040300B" w:rsidRDefault="0040300B">
            <w:pPr>
              <w:jc w:val="right"/>
              <w:rPr>
                <w:rFonts w:ascii="宋体"/>
              </w:rPr>
            </w:pPr>
          </w:p>
        </w:tc>
      </w:tr>
      <w:tr w:rsidR="0040300B" w14:paraId="7B66F803" w14:textId="77777777">
        <w:tc>
          <w:tcPr>
            <w:tcW w:w="0" w:type="auto"/>
            <w:gridSpan w:val="3"/>
            <w:shd w:val="clear" w:color="auto" w:fill="CCEEFF"/>
            <w:tcMar>
              <w:top w:w="40" w:type="dxa"/>
              <w:left w:w="245" w:type="dxa"/>
              <w:bottom w:w="40" w:type="dxa"/>
              <w:right w:w="20" w:type="dxa"/>
            </w:tcMar>
          </w:tcPr>
          <w:p w14:paraId="7B66F7F1" w14:textId="77777777" w:rsidR="0040300B" w:rsidRDefault="00BB2D4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7B66F7F2" w14:textId="77777777" w:rsidR="0040300B" w:rsidRDefault="00BB2D4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B66F7F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F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F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7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F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F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7F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F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F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7F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7F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7FE" w14:textId="77777777" w:rsidR="0040300B" w:rsidRDefault="00BB2D4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7B66F7F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0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01"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802" w14:textId="77777777" w:rsidR="0040300B" w:rsidRDefault="0040300B">
            <w:pPr>
              <w:jc w:val="right"/>
              <w:rPr>
                <w:rFonts w:ascii="宋体"/>
              </w:rPr>
            </w:pPr>
          </w:p>
        </w:tc>
      </w:tr>
      <w:tr w:rsidR="0040300B" w14:paraId="7B66F816" w14:textId="77777777">
        <w:tc>
          <w:tcPr>
            <w:tcW w:w="0" w:type="auto"/>
            <w:gridSpan w:val="3"/>
            <w:shd w:val="clear" w:color="auto" w:fill="FFFFFF"/>
            <w:tcMar>
              <w:top w:w="40" w:type="dxa"/>
              <w:left w:w="245" w:type="dxa"/>
              <w:bottom w:w="40" w:type="dxa"/>
              <w:right w:w="20" w:type="dxa"/>
            </w:tcMar>
          </w:tcPr>
          <w:p w14:paraId="7B66F804" w14:textId="77777777" w:rsidR="0040300B" w:rsidRDefault="00BB2D44">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B66F805"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6F80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0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0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8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0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0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80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0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0E"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80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1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11"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6F81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1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14"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815" w14:textId="77777777" w:rsidR="0040300B" w:rsidRDefault="0040300B">
            <w:pPr>
              <w:jc w:val="right"/>
              <w:rPr>
                <w:rFonts w:ascii="宋体"/>
              </w:rPr>
            </w:pPr>
          </w:p>
        </w:tc>
      </w:tr>
      <w:tr w:rsidR="0040300B" w14:paraId="7B66F82F" w14:textId="77777777">
        <w:tc>
          <w:tcPr>
            <w:tcW w:w="0" w:type="auto"/>
            <w:gridSpan w:val="3"/>
            <w:shd w:val="clear" w:color="auto" w:fill="CCEEFF"/>
            <w:tcMar>
              <w:top w:w="40" w:type="dxa"/>
              <w:left w:w="515" w:type="dxa"/>
              <w:bottom w:w="40" w:type="dxa"/>
              <w:right w:w="20" w:type="dxa"/>
            </w:tcMar>
          </w:tcPr>
          <w:p w14:paraId="7B66F817"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1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19" w14:textId="77777777" w:rsidR="0040300B" w:rsidRDefault="00BB2D44">
            <w:pPr>
              <w:jc w:val="right"/>
              <w:textAlignment w:val="bottom"/>
            </w:pPr>
            <w:r>
              <w:rPr>
                <w:rFonts w:ascii="Times New Roman" w:eastAsia="宋体" w:hAnsi="Times New Roman"/>
                <w:color w:val="000000"/>
                <w:sz w:val="20"/>
                <w:szCs w:val="20"/>
              </w:rPr>
              <w:t>3,416 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1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1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1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1D" w14:textId="77777777" w:rsidR="0040300B" w:rsidRDefault="00BB2D44">
            <w:pPr>
              <w:jc w:val="right"/>
              <w:textAlignment w:val="bottom"/>
            </w:pPr>
            <w:r>
              <w:rPr>
                <w:rFonts w:ascii="Times New Roman" w:eastAsia="宋体" w:hAnsi="Times New Roman"/>
                <w:color w:val="000000"/>
                <w:sz w:val="20"/>
                <w:szCs w:val="20"/>
              </w:rPr>
              <w:t>(23)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1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1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2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21" w14:textId="77777777" w:rsidR="0040300B" w:rsidRDefault="00BB2D44">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2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2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2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25"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2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2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29" w14:textId="77777777" w:rsidR="0040300B" w:rsidRDefault="00BB2D44">
            <w:pPr>
              <w:jc w:val="right"/>
              <w:textAlignment w:val="bottom"/>
            </w:pPr>
            <w:r>
              <w:rPr>
                <w:rFonts w:ascii="Times New Roman" w:eastAsia="宋体" w:hAnsi="Times New Roman"/>
                <w:color w:val="000000"/>
                <w:sz w:val="20"/>
                <w:szCs w:val="20"/>
              </w:rPr>
              <w:t>3,422 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2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82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82D" w14:textId="77777777" w:rsidR="0040300B" w:rsidRDefault="00BB2D44">
            <w:pPr>
              <w:jc w:val="right"/>
              <w:textAlignment w:val="bottom"/>
            </w:pPr>
            <w:r>
              <w:rPr>
                <w:rFonts w:ascii="Times New Roman" w:eastAsia="宋体" w:hAnsi="Times New Roman"/>
                <w:color w:val="000000"/>
                <w:sz w:val="20"/>
                <w:szCs w:val="20"/>
              </w:rPr>
              <w:t>(23)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82E" w14:textId="77777777" w:rsidR="0040300B" w:rsidRDefault="0040300B">
            <w:pPr>
              <w:jc w:val="right"/>
              <w:rPr>
                <w:rFonts w:ascii="宋体"/>
              </w:rPr>
            </w:pPr>
          </w:p>
        </w:tc>
      </w:tr>
    </w:tbl>
    <w:p w14:paraId="7B66F830" w14:textId="77777777" w:rsidR="0040300B" w:rsidRDefault="0040300B">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535"/>
        <w:gridCol w:w="1108"/>
        <w:gridCol w:w="37"/>
        <w:gridCol w:w="120"/>
        <w:gridCol w:w="879"/>
        <w:gridCol w:w="37"/>
        <w:gridCol w:w="40"/>
        <w:gridCol w:w="45"/>
        <w:gridCol w:w="36"/>
        <w:gridCol w:w="119"/>
        <w:gridCol w:w="878"/>
        <w:gridCol w:w="36"/>
        <w:gridCol w:w="40"/>
        <w:gridCol w:w="32"/>
        <w:gridCol w:w="36"/>
        <w:gridCol w:w="120"/>
        <w:gridCol w:w="948"/>
        <w:gridCol w:w="37"/>
        <w:gridCol w:w="40"/>
        <w:gridCol w:w="49"/>
        <w:gridCol w:w="36"/>
        <w:gridCol w:w="119"/>
        <w:gridCol w:w="947"/>
        <w:gridCol w:w="36"/>
        <w:gridCol w:w="40"/>
        <w:gridCol w:w="32"/>
        <w:gridCol w:w="36"/>
        <w:gridCol w:w="120"/>
        <w:gridCol w:w="718"/>
        <w:gridCol w:w="36"/>
        <w:gridCol w:w="40"/>
        <w:gridCol w:w="32"/>
        <w:gridCol w:w="36"/>
        <w:gridCol w:w="120"/>
        <w:gridCol w:w="780"/>
        <w:gridCol w:w="36"/>
      </w:tblGrid>
      <w:tr w:rsidR="0040300B" w14:paraId="7B66F855" w14:textId="77777777">
        <w:tc>
          <w:tcPr>
            <w:tcW w:w="50" w:type="pct"/>
            <w:shd w:val="clear" w:color="auto" w:fill="auto"/>
          </w:tcPr>
          <w:p w14:paraId="7B66F831" w14:textId="77777777" w:rsidR="0040300B" w:rsidRDefault="0040300B">
            <w:pPr>
              <w:rPr>
                <w:rFonts w:ascii="宋体"/>
              </w:rPr>
            </w:pPr>
          </w:p>
        </w:tc>
        <w:tc>
          <w:tcPr>
            <w:tcW w:w="1540" w:type="pct"/>
            <w:shd w:val="clear" w:color="auto" w:fill="auto"/>
          </w:tcPr>
          <w:p w14:paraId="7B66F832" w14:textId="77777777" w:rsidR="0040300B" w:rsidRDefault="0040300B">
            <w:pPr>
              <w:rPr>
                <w:rFonts w:ascii="宋体"/>
              </w:rPr>
            </w:pPr>
          </w:p>
        </w:tc>
        <w:tc>
          <w:tcPr>
            <w:tcW w:w="5" w:type="pct"/>
            <w:shd w:val="clear" w:color="auto" w:fill="auto"/>
          </w:tcPr>
          <w:p w14:paraId="7B66F833" w14:textId="77777777" w:rsidR="0040300B" w:rsidRDefault="0040300B">
            <w:pPr>
              <w:rPr>
                <w:rFonts w:ascii="宋体"/>
              </w:rPr>
            </w:pPr>
          </w:p>
        </w:tc>
        <w:tc>
          <w:tcPr>
            <w:tcW w:w="50" w:type="pct"/>
            <w:shd w:val="clear" w:color="auto" w:fill="auto"/>
          </w:tcPr>
          <w:p w14:paraId="7B66F834" w14:textId="77777777" w:rsidR="0040300B" w:rsidRDefault="0040300B">
            <w:pPr>
              <w:rPr>
                <w:rFonts w:ascii="宋体"/>
              </w:rPr>
            </w:pPr>
          </w:p>
        </w:tc>
        <w:tc>
          <w:tcPr>
            <w:tcW w:w="481" w:type="pct"/>
            <w:shd w:val="clear" w:color="auto" w:fill="auto"/>
          </w:tcPr>
          <w:p w14:paraId="7B66F835" w14:textId="77777777" w:rsidR="0040300B" w:rsidRDefault="0040300B">
            <w:pPr>
              <w:rPr>
                <w:rFonts w:ascii="宋体"/>
              </w:rPr>
            </w:pPr>
          </w:p>
        </w:tc>
        <w:tc>
          <w:tcPr>
            <w:tcW w:w="5" w:type="pct"/>
            <w:shd w:val="clear" w:color="auto" w:fill="auto"/>
          </w:tcPr>
          <w:p w14:paraId="7B66F836" w14:textId="77777777" w:rsidR="0040300B" w:rsidRDefault="0040300B">
            <w:pPr>
              <w:rPr>
                <w:rFonts w:ascii="宋体"/>
              </w:rPr>
            </w:pPr>
          </w:p>
        </w:tc>
        <w:tc>
          <w:tcPr>
            <w:tcW w:w="5" w:type="pct"/>
            <w:shd w:val="clear" w:color="auto" w:fill="auto"/>
          </w:tcPr>
          <w:p w14:paraId="7B66F837" w14:textId="77777777" w:rsidR="0040300B" w:rsidRDefault="0040300B">
            <w:pPr>
              <w:rPr>
                <w:rFonts w:ascii="宋体"/>
              </w:rPr>
            </w:pPr>
          </w:p>
        </w:tc>
        <w:tc>
          <w:tcPr>
            <w:tcW w:w="26" w:type="pct"/>
            <w:shd w:val="clear" w:color="auto" w:fill="auto"/>
          </w:tcPr>
          <w:p w14:paraId="7B66F838" w14:textId="77777777" w:rsidR="0040300B" w:rsidRDefault="0040300B">
            <w:pPr>
              <w:rPr>
                <w:rFonts w:ascii="宋体"/>
              </w:rPr>
            </w:pPr>
          </w:p>
        </w:tc>
        <w:tc>
          <w:tcPr>
            <w:tcW w:w="5" w:type="pct"/>
            <w:shd w:val="clear" w:color="auto" w:fill="auto"/>
          </w:tcPr>
          <w:p w14:paraId="7B66F839" w14:textId="77777777" w:rsidR="0040300B" w:rsidRDefault="0040300B">
            <w:pPr>
              <w:rPr>
                <w:rFonts w:ascii="宋体"/>
              </w:rPr>
            </w:pPr>
          </w:p>
        </w:tc>
        <w:tc>
          <w:tcPr>
            <w:tcW w:w="50" w:type="pct"/>
            <w:shd w:val="clear" w:color="auto" w:fill="auto"/>
          </w:tcPr>
          <w:p w14:paraId="7B66F83A" w14:textId="77777777" w:rsidR="0040300B" w:rsidRDefault="0040300B">
            <w:pPr>
              <w:rPr>
                <w:rFonts w:ascii="宋体"/>
              </w:rPr>
            </w:pPr>
          </w:p>
        </w:tc>
        <w:tc>
          <w:tcPr>
            <w:tcW w:w="481" w:type="pct"/>
            <w:shd w:val="clear" w:color="auto" w:fill="auto"/>
          </w:tcPr>
          <w:p w14:paraId="7B66F83B" w14:textId="77777777" w:rsidR="0040300B" w:rsidRDefault="0040300B">
            <w:pPr>
              <w:rPr>
                <w:rFonts w:ascii="宋体"/>
              </w:rPr>
            </w:pPr>
          </w:p>
        </w:tc>
        <w:tc>
          <w:tcPr>
            <w:tcW w:w="5" w:type="pct"/>
            <w:shd w:val="clear" w:color="auto" w:fill="auto"/>
          </w:tcPr>
          <w:p w14:paraId="7B66F83C" w14:textId="77777777" w:rsidR="0040300B" w:rsidRDefault="0040300B">
            <w:pPr>
              <w:rPr>
                <w:rFonts w:ascii="宋体"/>
              </w:rPr>
            </w:pPr>
          </w:p>
        </w:tc>
        <w:tc>
          <w:tcPr>
            <w:tcW w:w="5" w:type="pct"/>
            <w:shd w:val="clear" w:color="auto" w:fill="auto"/>
          </w:tcPr>
          <w:p w14:paraId="7B66F83D" w14:textId="77777777" w:rsidR="0040300B" w:rsidRDefault="0040300B">
            <w:pPr>
              <w:rPr>
                <w:rFonts w:ascii="宋体"/>
              </w:rPr>
            </w:pPr>
          </w:p>
        </w:tc>
        <w:tc>
          <w:tcPr>
            <w:tcW w:w="26" w:type="pct"/>
            <w:shd w:val="clear" w:color="auto" w:fill="auto"/>
          </w:tcPr>
          <w:p w14:paraId="7B66F83E" w14:textId="77777777" w:rsidR="0040300B" w:rsidRDefault="0040300B">
            <w:pPr>
              <w:rPr>
                <w:rFonts w:ascii="宋体"/>
              </w:rPr>
            </w:pPr>
          </w:p>
        </w:tc>
        <w:tc>
          <w:tcPr>
            <w:tcW w:w="5" w:type="pct"/>
            <w:shd w:val="clear" w:color="auto" w:fill="auto"/>
          </w:tcPr>
          <w:p w14:paraId="7B66F83F" w14:textId="77777777" w:rsidR="0040300B" w:rsidRDefault="0040300B">
            <w:pPr>
              <w:rPr>
                <w:rFonts w:ascii="宋体"/>
              </w:rPr>
            </w:pPr>
          </w:p>
        </w:tc>
        <w:tc>
          <w:tcPr>
            <w:tcW w:w="50" w:type="pct"/>
            <w:shd w:val="clear" w:color="auto" w:fill="auto"/>
          </w:tcPr>
          <w:p w14:paraId="7B66F840" w14:textId="77777777" w:rsidR="0040300B" w:rsidRDefault="0040300B">
            <w:pPr>
              <w:rPr>
                <w:rFonts w:ascii="宋体"/>
              </w:rPr>
            </w:pPr>
          </w:p>
        </w:tc>
        <w:tc>
          <w:tcPr>
            <w:tcW w:w="481" w:type="pct"/>
            <w:shd w:val="clear" w:color="auto" w:fill="auto"/>
          </w:tcPr>
          <w:p w14:paraId="7B66F841" w14:textId="77777777" w:rsidR="0040300B" w:rsidRDefault="0040300B">
            <w:pPr>
              <w:rPr>
                <w:rFonts w:ascii="宋体"/>
              </w:rPr>
            </w:pPr>
          </w:p>
        </w:tc>
        <w:tc>
          <w:tcPr>
            <w:tcW w:w="5" w:type="pct"/>
            <w:shd w:val="clear" w:color="auto" w:fill="auto"/>
          </w:tcPr>
          <w:p w14:paraId="7B66F842" w14:textId="77777777" w:rsidR="0040300B" w:rsidRDefault="0040300B">
            <w:pPr>
              <w:rPr>
                <w:rFonts w:ascii="宋体"/>
              </w:rPr>
            </w:pPr>
          </w:p>
        </w:tc>
        <w:tc>
          <w:tcPr>
            <w:tcW w:w="5" w:type="pct"/>
            <w:shd w:val="clear" w:color="auto" w:fill="auto"/>
          </w:tcPr>
          <w:p w14:paraId="7B66F843" w14:textId="77777777" w:rsidR="0040300B" w:rsidRDefault="0040300B">
            <w:pPr>
              <w:rPr>
                <w:rFonts w:ascii="宋体"/>
              </w:rPr>
            </w:pPr>
          </w:p>
        </w:tc>
        <w:tc>
          <w:tcPr>
            <w:tcW w:w="26" w:type="pct"/>
            <w:shd w:val="clear" w:color="auto" w:fill="auto"/>
          </w:tcPr>
          <w:p w14:paraId="7B66F844" w14:textId="77777777" w:rsidR="0040300B" w:rsidRDefault="0040300B">
            <w:pPr>
              <w:rPr>
                <w:rFonts w:ascii="宋体"/>
              </w:rPr>
            </w:pPr>
          </w:p>
        </w:tc>
        <w:tc>
          <w:tcPr>
            <w:tcW w:w="5" w:type="pct"/>
            <w:shd w:val="clear" w:color="auto" w:fill="auto"/>
          </w:tcPr>
          <w:p w14:paraId="7B66F845" w14:textId="77777777" w:rsidR="0040300B" w:rsidRDefault="0040300B">
            <w:pPr>
              <w:rPr>
                <w:rFonts w:ascii="宋体"/>
              </w:rPr>
            </w:pPr>
          </w:p>
        </w:tc>
        <w:tc>
          <w:tcPr>
            <w:tcW w:w="50" w:type="pct"/>
            <w:shd w:val="clear" w:color="auto" w:fill="auto"/>
          </w:tcPr>
          <w:p w14:paraId="7B66F846" w14:textId="77777777" w:rsidR="0040300B" w:rsidRDefault="0040300B">
            <w:pPr>
              <w:rPr>
                <w:rFonts w:ascii="宋体"/>
              </w:rPr>
            </w:pPr>
          </w:p>
        </w:tc>
        <w:tc>
          <w:tcPr>
            <w:tcW w:w="481" w:type="pct"/>
            <w:shd w:val="clear" w:color="auto" w:fill="auto"/>
          </w:tcPr>
          <w:p w14:paraId="7B66F847" w14:textId="77777777" w:rsidR="0040300B" w:rsidRDefault="0040300B">
            <w:pPr>
              <w:rPr>
                <w:rFonts w:ascii="宋体"/>
              </w:rPr>
            </w:pPr>
          </w:p>
        </w:tc>
        <w:tc>
          <w:tcPr>
            <w:tcW w:w="5" w:type="pct"/>
            <w:shd w:val="clear" w:color="auto" w:fill="auto"/>
          </w:tcPr>
          <w:p w14:paraId="7B66F848" w14:textId="77777777" w:rsidR="0040300B" w:rsidRDefault="0040300B">
            <w:pPr>
              <w:rPr>
                <w:rFonts w:ascii="宋体"/>
              </w:rPr>
            </w:pPr>
          </w:p>
        </w:tc>
        <w:tc>
          <w:tcPr>
            <w:tcW w:w="5" w:type="pct"/>
            <w:shd w:val="clear" w:color="auto" w:fill="auto"/>
          </w:tcPr>
          <w:p w14:paraId="7B66F849" w14:textId="77777777" w:rsidR="0040300B" w:rsidRDefault="0040300B">
            <w:pPr>
              <w:rPr>
                <w:rFonts w:ascii="宋体"/>
              </w:rPr>
            </w:pPr>
          </w:p>
        </w:tc>
        <w:tc>
          <w:tcPr>
            <w:tcW w:w="26" w:type="pct"/>
            <w:shd w:val="clear" w:color="auto" w:fill="auto"/>
          </w:tcPr>
          <w:p w14:paraId="7B66F84A" w14:textId="77777777" w:rsidR="0040300B" w:rsidRDefault="0040300B">
            <w:pPr>
              <w:rPr>
                <w:rFonts w:ascii="宋体"/>
              </w:rPr>
            </w:pPr>
          </w:p>
        </w:tc>
        <w:tc>
          <w:tcPr>
            <w:tcW w:w="5" w:type="pct"/>
            <w:shd w:val="clear" w:color="auto" w:fill="auto"/>
          </w:tcPr>
          <w:p w14:paraId="7B66F84B" w14:textId="77777777" w:rsidR="0040300B" w:rsidRDefault="0040300B">
            <w:pPr>
              <w:rPr>
                <w:rFonts w:ascii="宋体"/>
              </w:rPr>
            </w:pPr>
          </w:p>
        </w:tc>
        <w:tc>
          <w:tcPr>
            <w:tcW w:w="50" w:type="pct"/>
            <w:shd w:val="clear" w:color="auto" w:fill="auto"/>
          </w:tcPr>
          <w:p w14:paraId="7B66F84C" w14:textId="77777777" w:rsidR="0040300B" w:rsidRDefault="0040300B">
            <w:pPr>
              <w:rPr>
                <w:rFonts w:ascii="宋体"/>
              </w:rPr>
            </w:pPr>
          </w:p>
        </w:tc>
        <w:tc>
          <w:tcPr>
            <w:tcW w:w="481" w:type="pct"/>
            <w:shd w:val="clear" w:color="auto" w:fill="auto"/>
          </w:tcPr>
          <w:p w14:paraId="7B66F84D" w14:textId="77777777" w:rsidR="0040300B" w:rsidRDefault="0040300B">
            <w:pPr>
              <w:rPr>
                <w:rFonts w:ascii="宋体"/>
              </w:rPr>
            </w:pPr>
          </w:p>
        </w:tc>
        <w:tc>
          <w:tcPr>
            <w:tcW w:w="5" w:type="pct"/>
            <w:shd w:val="clear" w:color="auto" w:fill="auto"/>
          </w:tcPr>
          <w:p w14:paraId="7B66F84E" w14:textId="77777777" w:rsidR="0040300B" w:rsidRDefault="0040300B">
            <w:pPr>
              <w:rPr>
                <w:rFonts w:ascii="宋体"/>
              </w:rPr>
            </w:pPr>
          </w:p>
        </w:tc>
        <w:tc>
          <w:tcPr>
            <w:tcW w:w="5" w:type="pct"/>
            <w:shd w:val="clear" w:color="auto" w:fill="auto"/>
          </w:tcPr>
          <w:p w14:paraId="7B66F84F" w14:textId="77777777" w:rsidR="0040300B" w:rsidRDefault="0040300B">
            <w:pPr>
              <w:rPr>
                <w:rFonts w:ascii="宋体"/>
              </w:rPr>
            </w:pPr>
          </w:p>
        </w:tc>
        <w:tc>
          <w:tcPr>
            <w:tcW w:w="26" w:type="pct"/>
            <w:shd w:val="clear" w:color="auto" w:fill="auto"/>
          </w:tcPr>
          <w:p w14:paraId="7B66F850" w14:textId="77777777" w:rsidR="0040300B" w:rsidRDefault="0040300B">
            <w:pPr>
              <w:rPr>
                <w:rFonts w:ascii="宋体"/>
              </w:rPr>
            </w:pPr>
          </w:p>
        </w:tc>
        <w:tc>
          <w:tcPr>
            <w:tcW w:w="5" w:type="pct"/>
            <w:shd w:val="clear" w:color="auto" w:fill="auto"/>
          </w:tcPr>
          <w:p w14:paraId="7B66F851" w14:textId="77777777" w:rsidR="0040300B" w:rsidRDefault="0040300B">
            <w:pPr>
              <w:rPr>
                <w:rFonts w:ascii="宋体"/>
              </w:rPr>
            </w:pPr>
          </w:p>
        </w:tc>
        <w:tc>
          <w:tcPr>
            <w:tcW w:w="50" w:type="pct"/>
            <w:shd w:val="clear" w:color="auto" w:fill="auto"/>
          </w:tcPr>
          <w:p w14:paraId="7B66F852" w14:textId="77777777" w:rsidR="0040300B" w:rsidRDefault="0040300B">
            <w:pPr>
              <w:rPr>
                <w:rFonts w:ascii="宋体"/>
              </w:rPr>
            </w:pPr>
          </w:p>
        </w:tc>
        <w:tc>
          <w:tcPr>
            <w:tcW w:w="481" w:type="pct"/>
            <w:shd w:val="clear" w:color="auto" w:fill="auto"/>
          </w:tcPr>
          <w:p w14:paraId="7B66F853" w14:textId="77777777" w:rsidR="0040300B" w:rsidRDefault="0040300B">
            <w:pPr>
              <w:rPr>
                <w:rFonts w:ascii="宋体"/>
              </w:rPr>
            </w:pPr>
          </w:p>
        </w:tc>
        <w:tc>
          <w:tcPr>
            <w:tcW w:w="5" w:type="pct"/>
            <w:shd w:val="clear" w:color="auto" w:fill="auto"/>
          </w:tcPr>
          <w:p w14:paraId="7B66F854" w14:textId="77777777" w:rsidR="0040300B" w:rsidRDefault="0040300B">
            <w:pPr>
              <w:rPr>
                <w:rFonts w:ascii="宋体"/>
              </w:rPr>
            </w:pPr>
          </w:p>
        </w:tc>
      </w:tr>
      <w:tr w:rsidR="0040300B" w14:paraId="7B66F85C" w14:textId="77777777">
        <w:tc>
          <w:tcPr>
            <w:tcW w:w="0" w:type="auto"/>
            <w:gridSpan w:val="3"/>
            <w:shd w:val="clear" w:color="auto" w:fill="auto"/>
            <w:tcMar>
              <w:top w:w="40" w:type="dxa"/>
              <w:left w:w="20" w:type="dxa"/>
              <w:bottom w:w="40" w:type="dxa"/>
              <w:right w:w="20" w:type="dxa"/>
            </w:tcMar>
            <w:vAlign w:val="bottom"/>
          </w:tcPr>
          <w:p w14:paraId="7B66F856" w14:textId="77777777" w:rsidR="0040300B" w:rsidRDefault="00BB2D4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B66F857" w14:textId="77777777" w:rsidR="0040300B" w:rsidRDefault="00BB2D4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tcPr>
          <w:p w14:paraId="7B66F858"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859" w14:textId="77777777" w:rsidR="0040300B" w:rsidRDefault="00BB2D4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12 MONTHS OR GREATER</w:t>
            </w:r>
          </w:p>
        </w:tc>
        <w:tc>
          <w:tcPr>
            <w:tcW w:w="0" w:type="auto"/>
            <w:gridSpan w:val="3"/>
            <w:shd w:val="clear" w:color="auto" w:fill="auto"/>
            <w:tcMar>
              <w:top w:w="0" w:type="dxa"/>
              <w:left w:w="20" w:type="dxa"/>
              <w:bottom w:w="0" w:type="dxa"/>
              <w:right w:w="20" w:type="dxa"/>
            </w:tcMar>
          </w:tcPr>
          <w:p w14:paraId="7B66F85A"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85B"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6F869" w14:textId="77777777">
        <w:tc>
          <w:tcPr>
            <w:tcW w:w="0" w:type="auto"/>
            <w:gridSpan w:val="3"/>
            <w:shd w:val="clear" w:color="auto" w:fill="auto"/>
            <w:tcMar>
              <w:top w:w="40" w:type="dxa"/>
              <w:left w:w="20" w:type="dxa"/>
              <w:bottom w:w="40" w:type="dxa"/>
              <w:right w:w="20" w:type="dxa"/>
            </w:tcMar>
            <w:vAlign w:val="bottom"/>
          </w:tcPr>
          <w:p w14:paraId="7B66F85D" w14:textId="77777777" w:rsidR="0040300B" w:rsidRDefault="00BB2D44">
            <w:pPr>
              <w:textAlignment w:val="bottom"/>
            </w:pPr>
            <w:r>
              <w:rPr>
                <w:rFonts w:ascii="Times New Roman" w:eastAsia="宋体" w:hAnsi="Times New Roman"/>
                <w:color w:val="000000"/>
                <w:sz w:val="18"/>
                <w:szCs w:val="18"/>
                <w:u w:val="single"/>
              </w:rPr>
              <w:t xml:space="preserve">July 25, </w:t>
            </w:r>
            <w:r>
              <w:rPr>
                <w:rFonts w:ascii="Times New Roman" w:eastAsia="宋体" w:hAnsi="Times New Roman"/>
                <w:color w:val="000000"/>
                <w:sz w:val="18"/>
                <w:szCs w:val="18"/>
                <w:u w:val="single"/>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5E"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85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60"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86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62"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86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64" w14:textId="77777777" w:rsidR="0040300B" w:rsidRDefault="00BB2D4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tcPr>
          <w:p w14:paraId="7B66F86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66" w14:textId="77777777" w:rsidR="0040300B" w:rsidRDefault="00BB2D4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B66F86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868" w14:textId="77777777" w:rsidR="0040300B" w:rsidRDefault="00BB2D44">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40300B" w14:paraId="7B66F882" w14:textId="77777777">
        <w:tc>
          <w:tcPr>
            <w:tcW w:w="0" w:type="auto"/>
            <w:gridSpan w:val="3"/>
            <w:shd w:val="clear" w:color="auto" w:fill="CCEEFF"/>
            <w:tcMar>
              <w:top w:w="40" w:type="dxa"/>
              <w:left w:w="245" w:type="dxa"/>
              <w:bottom w:w="40" w:type="dxa"/>
              <w:right w:w="20" w:type="dxa"/>
            </w:tcMar>
          </w:tcPr>
          <w:p w14:paraId="7B66F86A" w14:textId="77777777" w:rsidR="0040300B" w:rsidRDefault="00BB2D44">
            <w:pPr>
              <w:textAlignment w:val="top"/>
            </w:pPr>
            <w:r>
              <w:rPr>
                <w:rFonts w:ascii="Times New Roman" w:eastAsia="宋体" w:hAnsi="Times New Roman"/>
                <w:color w:val="000000"/>
                <w:sz w:val="20"/>
                <w:szCs w:val="20"/>
              </w:rPr>
              <w:t>U.S. government agency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86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6C" w14:textId="77777777" w:rsidR="0040300B" w:rsidRDefault="00BB2D44">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6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6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6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70"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7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7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7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74"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7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76"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7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78"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7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7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7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7C" w14:textId="77777777" w:rsidR="0040300B" w:rsidRDefault="00BB2D44">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7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7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7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80"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81" w14:textId="77777777" w:rsidR="0040300B" w:rsidRDefault="0040300B">
            <w:pPr>
              <w:jc w:val="right"/>
              <w:rPr>
                <w:rFonts w:ascii="宋体"/>
              </w:rPr>
            </w:pPr>
          </w:p>
        </w:tc>
      </w:tr>
      <w:tr w:rsidR="0040300B" w14:paraId="7B66F895" w14:textId="77777777">
        <w:tc>
          <w:tcPr>
            <w:tcW w:w="0" w:type="auto"/>
            <w:gridSpan w:val="3"/>
            <w:shd w:val="clear" w:color="auto" w:fill="FFFFFF"/>
            <w:tcMar>
              <w:top w:w="40" w:type="dxa"/>
              <w:left w:w="245" w:type="dxa"/>
              <w:bottom w:w="40" w:type="dxa"/>
              <w:right w:w="20" w:type="dxa"/>
            </w:tcMar>
          </w:tcPr>
          <w:p w14:paraId="7B66F883" w14:textId="77777777" w:rsidR="0040300B" w:rsidRDefault="00BB2D44">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B66F884" w14:textId="77777777" w:rsidR="0040300B" w:rsidRDefault="00BB2D44">
            <w:pPr>
              <w:jc w:val="right"/>
              <w:textAlignment w:val="bottom"/>
            </w:pPr>
            <w:r>
              <w:rPr>
                <w:rFonts w:ascii="Times New Roman" w:eastAsia="宋体" w:hAnsi="Times New Roman"/>
                <w:color w:val="000000"/>
                <w:sz w:val="20"/>
                <w:szCs w:val="20"/>
              </w:rPr>
              <w:t>1,060 </w:t>
            </w:r>
          </w:p>
        </w:tc>
        <w:tc>
          <w:tcPr>
            <w:tcW w:w="0" w:type="auto"/>
            <w:shd w:val="clear" w:color="auto" w:fill="FFFFFF"/>
            <w:tcMar>
              <w:top w:w="40" w:type="dxa"/>
              <w:left w:w="0" w:type="dxa"/>
              <w:bottom w:w="40" w:type="dxa"/>
              <w:right w:w="20" w:type="dxa"/>
            </w:tcMar>
            <w:vAlign w:val="bottom"/>
          </w:tcPr>
          <w:p w14:paraId="7B66F88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8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87"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B66F88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8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8A"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6F88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8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8D"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88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8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90" w14:textId="77777777" w:rsidR="0040300B" w:rsidRDefault="00BB2D44">
            <w:pPr>
              <w:jc w:val="right"/>
              <w:textAlignment w:val="bottom"/>
            </w:pPr>
            <w:r>
              <w:rPr>
                <w:rFonts w:ascii="Times New Roman" w:eastAsia="宋体" w:hAnsi="Times New Roman"/>
                <w:color w:val="000000"/>
                <w:sz w:val="20"/>
                <w:szCs w:val="20"/>
              </w:rPr>
              <w:t>1,063 </w:t>
            </w:r>
          </w:p>
        </w:tc>
        <w:tc>
          <w:tcPr>
            <w:tcW w:w="0" w:type="auto"/>
            <w:shd w:val="clear" w:color="auto" w:fill="FFFFFF"/>
            <w:tcMar>
              <w:top w:w="40" w:type="dxa"/>
              <w:left w:w="0" w:type="dxa"/>
              <w:bottom w:w="40" w:type="dxa"/>
              <w:right w:w="20" w:type="dxa"/>
            </w:tcMar>
            <w:vAlign w:val="bottom"/>
          </w:tcPr>
          <w:p w14:paraId="7B66F89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9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893"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7B66F894" w14:textId="77777777" w:rsidR="0040300B" w:rsidRDefault="0040300B">
            <w:pPr>
              <w:jc w:val="right"/>
              <w:rPr>
                <w:rFonts w:ascii="宋体"/>
              </w:rPr>
            </w:pPr>
          </w:p>
        </w:tc>
      </w:tr>
      <w:tr w:rsidR="0040300B" w14:paraId="7B66F8A8" w14:textId="77777777">
        <w:tc>
          <w:tcPr>
            <w:tcW w:w="0" w:type="auto"/>
            <w:gridSpan w:val="3"/>
            <w:shd w:val="clear" w:color="auto" w:fill="CCEEFF"/>
            <w:tcMar>
              <w:top w:w="40" w:type="dxa"/>
              <w:left w:w="245" w:type="dxa"/>
              <w:bottom w:w="40" w:type="dxa"/>
              <w:right w:w="20" w:type="dxa"/>
            </w:tcMar>
          </w:tcPr>
          <w:p w14:paraId="7B66F896" w14:textId="77777777" w:rsidR="0040300B" w:rsidRDefault="00BB2D4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7B66F897" w14:textId="77777777" w:rsidR="0040300B" w:rsidRDefault="00BB2D44">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7B66F89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9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9A"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B66F89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9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9D"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8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9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A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8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A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A3" w14:textId="77777777" w:rsidR="0040300B" w:rsidRDefault="00BB2D44">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7B66F8A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A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A6"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B66F8A7" w14:textId="77777777" w:rsidR="0040300B" w:rsidRDefault="0040300B">
            <w:pPr>
              <w:jc w:val="right"/>
              <w:rPr>
                <w:rFonts w:ascii="宋体"/>
              </w:rPr>
            </w:pPr>
          </w:p>
        </w:tc>
      </w:tr>
      <w:tr w:rsidR="0040300B" w14:paraId="7B66F8C1" w14:textId="77777777">
        <w:tc>
          <w:tcPr>
            <w:tcW w:w="0" w:type="auto"/>
            <w:gridSpan w:val="3"/>
            <w:shd w:val="clear" w:color="auto" w:fill="FFFFFF"/>
            <w:tcMar>
              <w:top w:w="40" w:type="dxa"/>
              <w:left w:w="515" w:type="dxa"/>
              <w:bottom w:w="40" w:type="dxa"/>
              <w:right w:w="20" w:type="dxa"/>
            </w:tcMar>
          </w:tcPr>
          <w:p w14:paraId="7B66F8A9"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A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AB" w14:textId="77777777" w:rsidR="0040300B" w:rsidRDefault="00BB2D44">
            <w:pPr>
              <w:jc w:val="right"/>
              <w:textAlignment w:val="bottom"/>
            </w:pPr>
            <w:r>
              <w:rPr>
                <w:rFonts w:ascii="Times New Roman" w:eastAsia="宋体" w:hAnsi="Times New Roman"/>
                <w:color w:val="000000"/>
                <w:sz w:val="20"/>
                <w:szCs w:val="20"/>
              </w:rPr>
              <w:t>1,358 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A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A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A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AF" w14:textId="77777777" w:rsidR="0040300B" w:rsidRDefault="00BB2D44">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B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B1"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B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B3" w14:textId="77777777" w:rsidR="0040300B" w:rsidRDefault="00BB2D44">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B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B5"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B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B7"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B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B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B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BB" w14:textId="77777777" w:rsidR="0040300B" w:rsidRDefault="00BB2D44">
            <w:pPr>
              <w:jc w:val="right"/>
              <w:textAlignment w:val="bottom"/>
            </w:pPr>
            <w:r>
              <w:rPr>
                <w:rFonts w:ascii="Times New Roman" w:eastAsia="宋体" w:hAnsi="Times New Roman"/>
                <w:color w:val="000000"/>
                <w:sz w:val="20"/>
                <w:szCs w:val="20"/>
              </w:rPr>
              <w:t>1,361 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B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8B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8B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8BF" w14:textId="77777777" w:rsidR="0040300B" w:rsidRDefault="00BB2D44">
            <w:pPr>
              <w:jc w:val="right"/>
              <w:textAlignment w:val="bottom"/>
            </w:pPr>
            <w:r>
              <w:rPr>
                <w:rFonts w:ascii="Times New Roman" w:eastAsia="宋体" w:hAnsi="Times New Roman"/>
                <w:color w:val="000000"/>
                <w:sz w:val="20"/>
                <w:szCs w:val="20"/>
              </w:rPr>
              <w:t>(7)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8C0" w14:textId="77777777" w:rsidR="0040300B" w:rsidRDefault="0040300B">
            <w:pPr>
              <w:jc w:val="right"/>
              <w:rPr>
                <w:rFonts w:ascii="宋体"/>
              </w:rPr>
            </w:pPr>
          </w:p>
        </w:tc>
      </w:tr>
    </w:tbl>
    <w:p w14:paraId="7B66F8C2" w14:textId="77777777" w:rsidR="0040300B" w:rsidRDefault="00BB2D44">
      <w:pPr>
        <w:spacing w:before="120"/>
      </w:pPr>
      <w:r>
        <w:rPr>
          <w:rFonts w:ascii="Times New Roman" w:eastAsia="宋体" w:hAnsi="Times New Roman"/>
          <w:color w:val="000000"/>
          <w:sz w:val="20"/>
          <w:szCs w:val="20"/>
        </w:rPr>
        <w:t>The following table summarizes the maturities of our available-for-sale debt investments as of May 1, 2021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2"/>
        <w:gridCol w:w="36"/>
        <w:gridCol w:w="36"/>
        <w:gridCol w:w="36"/>
        <w:gridCol w:w="36"/>
        <w:gridCol w:w="121"/>
        <w:gridCol w:w="1050"/>
        <w:gridCol w:w="36"/>
      </w:tblGrid>
      <w:tr w:rsidR="0040300B" w14:paraId="7B66F8CF" w14:textId="77777777">
        <w:tc>
          <w:tcPr>
            <w:tcW w:w="50" w:type="pct"/>
            <w:shd w:val="clear" w:color="auto" w:fill="auto"/>
          </w:tcPr>
          <w:p w14:paraId="7B66F8C3" w14:textId="77777777" w:rsidR="0040300B" w:rsidRDefault="0040300B">
            <w:pPr>
              <w:rPr>
                <w:rFonts w:ascii="宋体"/>
              </w:rPr>
            </w:pPr>
          </w:p>
        </w:tc>
        <w:tc>
          <w:tcPr>
            <w:tcW w:w="3446" w:type="pct"/>
            <w:shd w:val="clear" w:color="auto" w:fill="auto"/>
          </w:tcPr>
          <w:p w14:paraId="7B66F8C4" w14:textId="77777777" w:rsidR="0040300B" w:rsidRDefault="0040300B">
            <w:pPr>
              <w:rPr>
                <w:rFonts w:ascii="宋体"/>
              </w:rPr>
            </w:pPr>
          </w:p>
        </w:tc>
        <w:tc>
          <w:tcPr>
            <w:tcW w:w="5" w:type="pct"/>
            <w:shd w:val="clear" w:color="auto" w:fill="auto"/>
          </w:tcPr>
          <w:p w14:paraId="7B66F8C5" w14:textId="77777777" w:rsidR="0040300B" w:rsidRDefault="0040300B">
            <w:pPr>
              <w:rPr>
                <w:rFonts w:ascii="宋体"/>
              </w:rPr>
            </w:pPr>
          </w:p>
        </w:tc>
        <w:tc>
          <w:tcPr>
            <w:tcW w:w="50" w:type="pct"/>
            <w:shd w:val="clear" w:color="auto" w:fill="auto"/>
          </w:tcPr>
          <w:p w14:paraId="7B66F8C6" w14:textId="77777777" w:rsidR="0040300B" w:rsidRDefault="0040300B">
            <w:pPr>
              <w:rPr>
                <w:rFonts w:ascii="宋体"/>
              </w:rPr>
            </w:pPr>
          </w:p>
        </w:tc>
        <w:tc>
          <w:tcPr>
            <w:tcW w:w="675" w:type="pct"/>
            <w:shd w:val="clear" w:color="auto" w:fill="auto"/>
          </w:tcPr>
          <w:p w14:paraId="7B66F8C7" w14:textId="77777777" w:rsidR="0040300B" w:rsidRDefault="0040300B">
            <w:pPr>
              <w:rPr>
                <w:rFonts w:ascii="宋体"/>
              </w:rPr>
            </w:pPr>
          </w:p>
        </w:tc>
        <w:tc>
          <w:tcPr>
            <w:tcW w:w="5" w:type="pct"/>
            <w:shd w:val="clear" w:color="auto" w:fill="auto"/>
          </w:tcPr>
          <w:p w14:paraId="7B66F8C8" w14:textId="77777777" w:rsidR="0040300B" w:rsidRDefault="0040300B">
            <w:pPr>
              <w:rPr>
                <w:rFonts w:ascii="宋体"/>
              </w:rPr>
            </w:pPr>
          </w:p>
        </w:tc>
        <w:tc>
          <w:tcPr>
            <w:tcW w:w="5" w:type="pct"/>
            <w:shd w:val="clear" w:color="auto" w:fill="auto"/>
          </w:tcPr>
          <w:p w14:paraId="7B66F8C9" w14:textId="77777777" w:rsidR="0040300B" w:rsidRDefault="0040300B">
            <w:pPr>
              <w:rPr>
                <w:rFonts w:ascii="宋体"/>
              </w:rPr>
            </w:pPr>
          </w:p>
        </w:tc>
        <w:tc>
          <w:tcPr>
            <w:tcW w:w="26" w:type="pct"/>
            <w:shd w:val="clear" w:color="auto" w:fill="auto"/>
          </w:tcPr>
          <w:p w14:paraId="7B66F8CA" w14:textId="77777777" w:rsidR="0040300B" w:rsidRDefault="0040300B">
            <w:pPr>
              <w:rPr>
                <w:rFonts w:ascii="宋体"/>
              </w:rPr>
            </w:pPr>
          </w:p>
        </w:tc>
        <w:tc>
          <w:tcPr>
            <w:tcW w:w="5" w:type="pct"/>
            <w:shd w:val="clear" w:color="auto" w:fill="auto"/>
          </w:tcPr>
          <w:p w14:paraId="7B66F8CB" w14:textId="77777777" w:rsidR="0040300B" w:rsidRDefault="0040300B">
            <w:pPr>
              <w:rPr>
                <w:rFonts w:ascii="宋体"/>
              </w:rPr>
            </w:pPr>
          </w:p>
        </w:tc>
        <w:tc>
          <w:tcPr>
            <w:tcW w:w="50" w:type="pct"/>
            <w:shd w:val="clear" w:color="auto" w:fill="auto"/>
          </w:tcPr>
          <w:p w14:paraId="7B66F8CC" w14:textId="77777777" w:rsidR="0040300B" w:rsidRDefault="0040300B">
            <w:pPr>
              <w:rPr>
                <w:rFonts w:ascii="宋体"/>
              </w:rPr>
            </w:pPr>
          </w:p>
        </w:tc>
        <w:tc>
          <w:tcPr>
            <w:tcW w:w="676" w:type="pct"/>
            <w:shd w:val="clear" w:color="auto" w:fill="auto"/>
          </w:tcPr>
          <w:p w14:paraId="7B66F8CD" w14:textId="77777777" w:rsidR="0040300B" w:rsidRDefault="0040300B">
            <w:pPr>
              <w:rPr>
                <w:rFonts w:ascii="宋体"/>
              </w:rPr>
            </w:pPr>
          </w:p>
        </w:tc>
        <w:tc>
          <w:tcPr>
            <w:tcW w:w="5" w:type="pct"/>
            <w:shd w:val="clear" w:color="auto" w:fill="auto"/>
          </w:tcPr>
          <w:p w14:paraId="7B66F8CE" w14:textId="77777777" w:rsidR="0040300B" w:rsidRDefault="0040300B">
            <w:pPr>
              <w:rPr>
                <w:rFonts w:ascii="宋体"/>
              </w:rPr>
            </w:pPr>
          </w:p>
        </w:tc>
      </w:tr>
      <w:tr w:rsidR="0040300B" w14:paraId="7B66F8D4" w14:textId="77777777">
        <w:tc>
          <w:tcPr>
            <w:tcW w:w="0" w:type="auto"/>
            <w:gridSpan w:val="3"/>
            <w:shd w:val="clear" w:color="auto" w:fill="auto"/>
            <w:tcMar>
              <w:top w:w="0" w:type="dxa"/>
              <w:left w:w="20" w:type="dxa"/>
              <w:bottom w:w="0" w:type="dxa"/>
              <w:right w:w="20" w:type="dxa"/>
            </w:tcMar>
          </w:tcPr>
          <w:p w14:paraId="7B66F8D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8D1" w14:textId="77777777" w:rsidR="0040300B" w:rsidRDefault="00BB2D44">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tcPr>
          <w:p w14:paraId="7B66F8D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8D3" w14:textId="77777777" w:rsidR="0040300B" w:rsidRDefault="00BB2D44">
            <w:pPr>
              <w:jc w:val="center"/>
              <w:textAlignment w:val="bottom"/>
            </w:pPr>
            <w:r>
              <w:rPr>
                <w:rFonts w:ascii="Times New Roman" w:eastAsia="宋体" w:hAnsi="Times New Roman"/>
                <w:color w:val="000000"/>
                <w:sz w:val="18"/>
                <w:szCs w:val="18"/>
              </w:rPr>
              <w:t>Fair Value</w:t>
            </w:r>
          </w:p>
        </w:tc>
      </w:tr>
      <w:tr w:rsidR="0040300B" w14:paraId="7B66F8DD" w14:textId="77777777">
        <w:tc>
          <w:tcPr>
            <w:tcW w:w="0" w:type="auto"/>
            <w:gridSpan w:val="3"/>
            <w:shd w:val="clear" w:color="auto" w:fill="CCEEFF"/>
            <w:tcMar>
              <w:top w:w="40" w:type="dxa"/>
              <w:left w:w="20" w:type="dxa"/>
              <w:bottom w:w="40" w:type="dxa"/>
              <w:right w:w="20" w:type="dxa"/>
            </w:tcMar>
          </w:tcPr>
          <w:p w14:paraId="7B66F8D5" w14:textId="77777777" w:rsidR="0040300B" w:rsidRDefault="00BB2D44">
            <w:pPr>
              <w:textAlignment w:val="top"/>
            </w:pPr>
            <w:r>
              <w:rPr>
                <w:rFonts w:ascii="Times New Roman" w:eastAsia="宋体" w:hAnsi="Times New Roman"/>
                <w:color w:val="000000"/>
                <w:sz w:val="20"/>
                <w:szCs w:val="20"/>
              </w:rPr>
              <w:t>Within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8D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D7" w14:textId="77777777" w:rsidR="0040300B" w:rsidRDefault="00BB2D44">
            <w:pPr>
              <w:jc w:val="right"/>
              <w:textAlignment w:val="bottom"/>
            </w:pPr>
            <w:r>
              <w:rPr>
                <w:rFonts w:ascii="Times New Roman" w:eastAsia="宋体" w:hAnsi="Times New Roman"/>
                <w:color w:val="000000"/>
                <w:sz w:val="20"/>
                <w:szCs w:val="20"/>
              </w:rPr>
              <w:t>5,608 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D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8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8DB" w14:textId="77777777" w:rsidR="0040300B" w:rsidRDefault="00BB2D44">
            <w:pPr>
              <w:jc w:val="right"/>
              <w:textAlignment w:val="bottom"/>
            </w:pPr>
            <w:r>
              <w:rPr>
                <w:rFonts w:ascii="Times New Roman" w:eastAsia="宋体" w:hAnsi="Times New Roman"/>
                <w:color w:val="000000"/>
                <w:sz w:val="20"/>
                <w:szCs w:val="20"/>
              </w:rPr>
              <w:t>5,605 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8DC" w14:textId="77777777" w:rsidR="0040300B" w:rsidRDefault="0040300B">
            <w:pPr>
              <w:jc w:val="right"/>
              <w:rPr>
                <w:rFonts w:ascii="宋体"/>
              </w:rPr>
            </w:pPr>
          </w:p>
        </w:tc>
      </w:tr>
      <w:tr w:rsidR="0040300B" w14:paraId="7B66F8E4" w14:textId="77777777">
        <w:tc>
          <w:tcPr>
            <w:tcW w:w="0" w:type="auto"/>
            <w:gridSpan w:val="3"/>
            <w:shd w:val="clear" w:color="auto" w:fill="auto"/>
            <w:tcMar>
              <w:top w:w="40" w:type="dxa"/>
              <w:left w:w="20" w:type="dxa"/>
              <w:bottom w:w="40" w:type="dxa"/>
              <w:right w:w="20" w:type="dxa"/>
            </w:tcMar>
          </w:tcPr>
          <w:p w14:paraId="7B66F8DE" w14:textId="77777777" w:rsidR="0040300B" w:rsidRDefault="00BB2D44">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7B66F8DF" w14:textId="77777777" w:rsidR="0040300B" w:rsidRDefault="00BB2D44">
            <w:pPr>
              <w:jc w:val="right"/>
              <w:textAlignment w:val="bottom"/>
            </w:pPr>
            <w:r>
              <w:rPr>
                <w:rFonts w:ascii="Times New Roman" w:eastAsia="宋体" w:hAnsi="Times New Roman"/>
                <w:color w:val="000000"/>
                <w:sz w:val="20"/>
                <w:szCs w:val="20"/>
              </w:rPr>
              <w:t>6,296 </w:t>
            </w:r>
          </w:p>
        </w:tc>
        <w:tc>
          <w:tcPr>
            <w:tcW w:w="0" w:type="auto"/>
            <w:shd w:val="clear" w:color="auto" w:fill="auto"/>
            <w:tcMar>
              <w:top w:w="40" w:type="dxa"/>
              <w:left w:w="0" w:type="dxa"/>
              <w:bottom w:w="40" w:type="dxa"/>
              <w:right w:w="20" w:type="dxa"/>
            </w:tcMar>
            <w:vAlign w:val="bottom"/>
          </w:tcPr>
          <w:p w14:paraId="7B66F8E0"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8E1"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8E2" w14:textId="77777777" w:rsidR="0040300B" w:rsidRDefault="00BB2D44">
            <w:pPr>
              <w:jc w:val="right"/>
              <w:textAlignment w:val="bottom"/>
            </w:pPr>
            <w:r>
              <w:rPr>
                <w:rFonts w:ascii="Times New Roman" w:eastAsia="宋体" w:hAnsi="Times New Roman"/>
                <w:color w:val="000000"/>
                <w:sz w:val="20"/>
                <w:szCs w:val="20"/>
              </w:rPr>
              <w:t>6,428 </w:t>
            </w:r>
          </w:p>
        </w:tc>
        <w:tc>
          <w:tcPr>
            <w:tcW w:w="0" w:type="auto"/>
            <w:shd w:val="clear" w:color="auto" w:fill="auto"/>
            <w:tcMar>
              <w:top w:w="40" w:type="dxa"/>
              <w:left w:w="0" w:type="dxa"/>
              <w:bottom w:w="40" w:type="dxa"/>
              <w:right w:w="20" w:type="dxa"/>
            </w:tcMar>
            <w:vAlign w:val="bottom"/>
          </w:tcPr>
          <w:p w14:paraId="7B66F8E3" w14:textId="77777777" w:rsidR="0040300B" w:rsidRDefault="0040300B">
            <w:pPr>
              <w:jc w:val="right"/>
              <w:rPr>
                <w:rFonts w:ascii="宋体"/>
              </w:rPr>
            </w:pPr>
          </w:p>
        </w:tc>
      </w:tr>
      <w:tr w:rsidR="0040300B" w14:paraId="7B66F8EB" w14:textId="77777777">
        <w:tc>
          <w:tcPr>
            <w:tcW w:w="0" w:type="auto"/>
            <w:gridSpan w:val="3"/>
            <w:shd w:val="clear" w:color="auto" w:fill="CCEEFF"/>
            <w:tcMar>
              <w:top w:w="40" w:type="dxa"/>
              <w:left w:w="20" w:type="dxa"/>
              <w:bottom w:w="40" w:type="dxa"/>
              <w:right w:w="20" w:type="dxa"/>
            </w:tcMar>
          </w:tcPr>
          <w:p w14:paraId="7B66F8E5" w14:textId="77777777" w:rsidR="0040300B" w:rsidRDefault="00BB2D44">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7B66F8E6" w14:textId="77777777" w:rsidR="0040300B" w:rsidRDefault="00BB2D44">
            <w:pPr>
              <w:jc w:val="right"/>
              <w:textAlignment w:val="bottom"/>
            </w:pPr>
            <w:r>
              <w:rPr>
                <w:rFonts w:ascii="Times New Roman" w:eastAsia="宋体" w:hAnsi="Times New Roman"/>
                <w:color w:val="000000"/>
                <w:sz w:val="20"/>
                <w:szCs w:val="20"/>
              </w:rPr>
              <w:t>1,244 </w:t>
            </w:r>
          </w:p>
        </w:tc>
        <w:tc>
          <w:tcPr>
            <w:tcW w:w="0" w:type="auto"/>
            <w:shd w:val="clear" w:color="auto" w:fill="CCEEFF"/>
            <w:tcMar>
              <w:top w:w="40" w:type="dxa"/>
              <w:left w:w="0" w:type="dxa"/>
              <w:bottom w:w="40" w:type="dxa"/>
              <w:right w:w="20" w:type="dxa"/>
            </w:tcMar>
            <w:vAlign w:val="bottom"/>
          </w:tcPr>
          <w:p w14:paraId="7B66F8E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E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E9" w14:textId="77777777" w:rsidR="0040300B" w:rsidRDefault="00BB2D44">
            <w:pPr>
              <w:jc w:val="right"/>
              <w:textAlignment w:val="bottom"/>
            </w:pPr>
            <w:r>
              <w:rPr>
                <w:rFonts w:ascii="Times New Roman" w:eastAsia="宋体" w:hAnsi="Times New Roman"/>
                <w:color w:val="000000"/>
                <w:sz w:val="20"/>
                <w:szCs w:val="20"/>
              </w:rPr>
              <w:t>1,318 </w:t>
            </w:r>
          </w:p>
        </w:tc>
        <w:tc>
          <w:tcPr>
            <w:tcW w:w="0" w:type="auto"/>
            <w:shd w:val="clear" w:color="auto" w:fill="CCEEFF"/>
            <w:tcMar>
              <w:top w:w="40" w:type="dxa"/>
              <w:left w:w="0" w:type="dxa"/>
              <w:bottom w:w="40" w:type="dxa"/>
              <w:right w:w="20" w:type="dxa"/>
            </w:tcMar>
            <w:vAlign w:val="bottom"/>
          </w:tcPr>
          <w:p w14:paraId="7B66F8EA" w14:textId="77777777" w:rsidR="0040300B" w:rsidRDefault="0040300B">
            <w:pPr>
              <w:jc w:val="right"/>
              <w:rPr>
                <w:rFonts w:ascii="宋体"/>
              </w:rPr>
            </w:pPr>
          </w:p>
        </w:tc>
      </w:tr>
      <w:tr w:rsidR="0040300B" w14:paraId="7B66F8F2" w14:textId="77777777">
        <w:tc>
          <w:tcPr>
            <w:tcW w:w="0" w:type="auto"/>
            <w:gridSpan w:val="3"/>
            <w:shd w:val="clear" w:color="auto" w:fill="auto"/>
            <w:tcMar>
              <w:top w:w="40" w:type="dxa"/>
              <w:left w:w="20" w:type="dxa"/>
              <w:bottom w:w="40" w:type="dxa"/>
              <w:right w:w="20" w:type="dxa"/>
            </w:tcMar>
          </w:tcPr>
          <w:p w14:paraId="7B66F8EC" w14:textId="77777777" w:rsidR="0040300B" w:rsidRDefault="00BB2D44">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7B66F8ED"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auto"/>
            <w:tcMar>
              <w:top w:w="40" w:type="dxa"/>
              <w:left w:w="0" w:type="dxa"/>
              <w:bottom w:w="40" w:type="dxa"/>
              <w:right w:w="20" w:type="dxa"/>
            </w:tcMar>
            <w:vAlign w:val="bottom"/>
          </w:tcPr>
          <w:p w14:paraId="7B66F8EE"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8EF"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6F8F0"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auto"/>
            <w:tcMar>
              <w:top w:w="40" w:type="dxa"/>
              <w:left w:w="0" w:type="dxa"/>
              <w:bottom w:w="40" w:type="dxa"/>
              <w:right w:w="20" w:type="dxa"/>
            </w:tcMar>
            <w:vAlign w:val="bottom"/>
          </w:tcPr>
          <w:p w14:paraId="7B66F8F1" w14:textId="77777777" w:rsidR="0040300B" w:rsidRDefault="0040300B">
            <w:pPr>
              <w:jc w:val="right"/>
              <w:rPr>
                <w:rFonts w:ascii="宋体"/>
              </w:rPr>
            </w:pPr>
          </w:p>
        </w:tc>
      </w:tr>
      <w:tr w:rsidR="0040300B" w14:paraId="7B66F8F9" w14:textId="77777777">
        <w:tc>
          <w:tcPr>
            <w:tcW w:w="0" w:type="auto"/>
            <w:gridSpan w:val="3"/>
            <w:shd w:val="clear" w:color="auto" w:fill="CCEEFF"/>
            <w:tcMar>
              <w:top w:w="40" w:type="dxa"/>
              <w:left w:w="20" w:type="dxa"/>
              <w:bottom w:w="40" w:type="dxa"/>
              <w:right w:w="20" w:type="dxa"/>
            </w:tcMar>
          </w:tcPr>
          <w:p w14:paraId="7B66F8F3" w14:textId="77777777" w:rsidR="0040300B" w:rsidRDefault="00BB2D44">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7B66F8F4" w14:textId="77777777" w:rsidR="0040300B" w:rsidRDefault="00BB2D44">
            <w:pPr>
              <w:jc w:val="right"/>
              <w:textAlignment w:val="bottom"/>
            </w:pPr>
            <w:r>
              <w:rPr>
                <w:rFonts w:ascii="Times New Roman" w:eastAsia="宋体" w:hAnsi="Times New Roman"/>
                <w:color w:val="000000"/>
                <w:sz w:val="20"/>
                <w:szCs w:val="20"/>
              </w:rPr>
              <w:t>2,788 </w:t>
            </w:r>
          </w:p>
        </w:tc>
        <w:tc>
          <w:tcPr>
            <w:tcW w:w="0" w:type="auto"/>
            <w:shd w:val="clear" w:color="auto" w:fill="CCEEFF"/>
            <w:tcMar>
              <w:top w:w="40" w:type="dxa"/>
              <w:left w:w="0" w:type="dxa"/>
              <w:bottom w:w="40" w:type="dxa"/>
              <w:right w:w="20" w:type="dxa"/>
            </w:tcMar>
            <w:vAlign w:val="bottom"/>
          </w:tcPr>
          <w:p w14:paraId="7B66F8F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8F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8F7" w14:textId="77777777" w:rsidR="0040300B" w:rsidRDefault="00BB2D44">
            <w:pPr>
              <w:jc w:val="right"/>
              <w:textAlignment w:val="bottom"/>
            </w:pPr>
            <w:r>
              <w:rPr>
                <w:rFonts w:ascii="Times New Roman" w:eastAsia="宋体" w:hAnsi="Times New Roman"/>
                <w:color w:val="000000"/>
                <w:sz w:val="20"/>
                <w:szCs w:val="20"/>
              </w:rPr>
              <w:t>2,810 </w:t>
            </w:r>
          </w:p>
        </w:tc>
        <w:tc>
          <w:tcPr>
            <w:tcW w:w="0" w:type="auto"/>
            <w:shd w:val="clear" w:color="auto" w:fill="CCEEFF"/>
            <w:tcMar>
              <w:top w:w="40" w:type="dxa"/>
              <w:left w:w="0" w:type="dxa"/>
              <w:bottom w:w="40" w:type="dxa"/>
              <w:right w:w="20" w:type="dxa"/>
            </w:tcMar>
            <w:vAlign w:val="bottom"/>
          </w:tcPr>
          <w:p w14:paraId="7B66F8F8" w14:textId="77777777" w:rsidR="0040300B" w:rsidRDefault="0040300B">
            <w:pPr>
              <w:jc w:val="right"/>
              <w:rPr>
                <w:rFonts w:ascii="宋体"/>
              </w:rPr>
            </w:pPr>
          </w:p>
        </w:tc>
      </w:tr>
      <w:tr w:rsidR="0040300B" w14:paraId="7B66F902" w14:textId="77777777">
        <w:tc>
          <w:tcPr>
            <w:tcW w:w="0" w:type="auto"/>
            <w:gridSpan w:val="3"/>
            <w:shd w:val="clear" w:color="auto" w:fill="auto"/>
            <w:tcMar>
              <w:top w:w="40" w:type="dxa"/>
              <w:left w:w="380" w:type="dxa"/>
              <w:bottom w:w="40" w:type="dxa"/>
              <w:right w:w="20" w:type="dxa"/>
            </w:tcMar>
          </w:tcPr>
          <w:p w14:paraId="7B66F8FA"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8F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8FC" w14:textId="77777777" w:rsidR="0040300B" w:rsidRDefault="00BB2D44">
            <w:pPr>
              <w:jc w:val="right"/>
              <w:textAlignment w:val="bottom"/>
            </w:pPr>
            <w:r>
              <w:rPr>
                <w:rFonts w:ascii="Times New Roman" w:eastAsia="宋体" w:hAnsi="Times New Roman"/>
                <w:color w:val="000000"/>
                <w:sz w:val="20"/>
                <w:szCs w:val="20"/>
              </w:rPr>
              <w:t>15,941 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8FD"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6F8FE"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6F8F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6F900" w14:textId="77777777" w:rsidR="0040300B" w:rsidRDefault="00BB2D44">
            <w:pPr>
              <w:jc w:val="right"/>
              <w:textAlignment w:val="bottom"/>
            </w:pPr>
            <w:r>
              <w:rPr>
                <w:rFonts w:ascii="Times New Roman" w:eastAsia="宋体" w:hAnsi="Times New Roman"/>
                <w:color w:val="000000"/>
                <w:sz w:val="20"/>
                <w:szCs w:val="20"/>
              </w:rPr>
              <w:t>16,168 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6F901" w14:textId="77777777" w:rsidR="0040300B" w:rsidRDefault="0040300B">
            <w:pPr>
              <w:jc w:val="right"/>
              <w:rPr>
                <w:rFonts w:ascii="宋体"/>
              </w:rPr>
            </w:pPr>
          </w:p>
        </w:tc>
      </w:tr>
    </w:tbl>
    <w:p w14:paraId="7B66F903" w14:textId="77777777" w:rsidR="0040300B" w:rsidRDefault="00BB2D44">
      <w:pPr>
        <w:spacing w:before="120"/>
        <w:jc w:val="both"/>
      </w:pPr>
      <w:r>
        <w:rPr>
          <w:rFonts w:ascii="Times New Roman" w:eastAsia="宋体" w:hAnsi="Times New Roman"/>
          <w:color w:val="000000"/>
          <w:sz w:val="20"/>
          <w:szCs w:val="20"/>
        </w:rPr>
        <w:t>Actual maturities may differ from the contractual maturities because borrowers may have the right to call or prepay certain obligations.</w:t>
      </w:r>
    </w:p>
    <w:p w14:paraId="7B66F904" w14:textId="77777777" w:rsidR="0040300B" w:rsidRDefault="00BB2D44">
      <w:pPr>
        <w:spacing w:before="100" w:after="100"/>
        <w:ind w:hanging="360"/>
      </w:pPr>
      <w:r>
        <w:rPr>
          <w:rFonts w:ascii="Times New Roman" w:eastAsia="宋体" w:hAnsi="Times New Roman"/>
          <w:b/>
          <w:bCs/>
          <w:color w:val="000000"/>
          <w:sz w:val="20"/>
          <w:szCs w:val="20"/>
        </w:rPr>
        <w:t>(b)Summary of Equity Investments</w:t>
      </w:r>
    </w:p>
    <w:p w14:paraId="7B66F905" w14:textId="77777777" w:rsidR="0040300B" w:rsidRDefault="00BB2D44">
      <w:pPr>
        <w:jc w:val="both"/>
      </w:pPr>
      <w:r>
        <w:rPr>
          <w:rFonts w:ascii="Times New Roman" w:eastAsia="宋体" w:hAnsi="Times New Roman"/>
          <w:color w:val="000000"/>
          <w:sz w:val="20"/>
          <w:szCs w:val="20"/>
        </w:rPr>
        <w:t xml:space="preserve">Our net unrealized gains recognized during the </w:t>
      </w:r>
      <w:r>
        <w:rPr>
          <w:rFonts w:ascii="Times New Roman" w:eastAsia="宋体" w:hAnsi="Times New Roman"/>
          <w:color w:val="000000"/>
          <w:sz w:val="20"/>
          <w:szCs w:val="20"/>
        </w:rPr>
        <w:t>reporting period on our marketable securities still held as of May 1, 2021 was $3 million for each of the third quarter and first nine months of fiscal 2021. Our net adjustments to non-marketable equity securities measured using the measurement alternative</w:t>
      </w:r>
      <w:r>
        <w:rPr>
          <w:rFonts w:ascii="Times New Roman" w:eastAsia="宋体" w:hAnsi="Times New Roman"/>
          <w:color w:val="000000"/>
          <w:sz w:val="20"/>
          <w:szCs w:val="20"/>
        </w:rPr>
        <w:t xml:space="preserve"> was a net loss of $3 million and a net gain of $1 million for the third quarter and first nine months of fiscal 2021, respectively. These adjustments were net losses of $4 million and $1 million for the corresponding periods of fiscal 2020, respectively. </w:t>
      </w:r>
      <w:r>
        <w:rPr>
          <w:rFonts w:ascii="Times New Roman" w:eastAsia="宋体" w:hAnsi="Times New Roman"/>
          <w:color w:val="000000"/>
          <w:sz w:val="20"/>
          <w:szCs w:val="20"/>
        </w:rPr>
        <w:t>We held equity interests in certain private equity funds of $0.8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$0.7 billion as of May 1, 2021 and July 25, 2020, respectively, which are accounted for under the NAV practical expedient.</w:t>
      </w:r>
    </w:p>
    <w:p w14:paraId="7B66F906" w14:textId="77777777" w:rsidR="0040300B" w:rsidRDefault="00BB2D44">
      <w:pPr>
        <w:spacing w:before="120" w:after="120"/>
        <w:jc w:val="both"/>
      </w:pPr>
      <w:r>
        <w:rPr>
          <w:rFonts w:ascii="Times New Roman" w:eastAsia="宋体" w:hAnsi="Times New Roman"/>
          <w:color w:val="000000"/>
          <w:sz w:val="20"/>
          <w:szCs w:val="20"/>
        </w:rPr>
        <w:t xml:space="preserve">In the ordinary course of business, we have investments </w:t>
      </w:r>
      <w:r>
        <w:rPr>
          <w:rFonts w:ascii="Times New Roman" w:eastAsia="宋体" w:hAnsi="Times New Roman"/>
          <w:color w:val="000000"/>
          <w:sz w:val="20"/>
          <w:szCs w:val="20"/>
        </w:rPr>
        <w:t>in privately held companies and provide financing to certain customers. These privately held companies and customers are evaluated for consolidation under the variable interest or voting interest entity models. We evaluate on an ongoing basis our investmen</w:t>
      </w:r>
      <w:r>
        <w:rPr>
          <w:rFonts w:ascii="Times New Roman" w:eastAsia="宋体" w:hAnsi="Times New Roman"/>
          <w:color w:val="000000"/>
          <w:sz w:val="20"/>
          <w:szCs w:val="20"/>
        </w:rPr>
        <w:t>ts in these privately held companies and our customer financings, and have determined that as of May 1, 2021, except as disclosed herein, there were no significant variable interest or voting interest entities required to be consolidated in our Consolidate</w:t>
      </w:r>
      <w:r>
        <w:rPr>
          <w:rFonts w:ascii="Times New Roman" w:eastAsia="宋体" w:hAnsi="Times New Roman"/>
          <w:color w:val="000000"/>
          <w:sz w:val="20"/>
          <w:szCs w:val="20"/>
        </w:rPr>
        <w:t>d Financial Statements.</w:t>
      </w:r>
    </w:p>
    <w:p w14:paraId="7B66F907" w14:textId="77777777" w:rsidR="0040300B" w:rsidRDefault="00BB2D44">
      <w:pPr>
        <w:spacing w:before="120"/>
        <w:jc w:val="both"/>
      </w:pPr>
      <w:r>
        <w:rPr>
          <w:rFonts w:ascii="Times New Roman" w:eastAsia="宋体" w:hAnsi="Times New Roman"/>
          <w:color w:val="000000"/>
          <w:sz w:val="20"/>
          <w:szCs w:val="20"/>
        </w:rPr>
        <w:t>The carrying value of our investments in privately held companies was $1.4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and $1.3 billion as of May 1, 2021 and July 25, 2020, respectively. </w:t>
      </w:r>
    </w:p>
    <w:p w14:paraId="7B66F908" w14:textId="77777777" w:rsidR="0040300B" w:rsidRDefault="00BB2D44">
      <w:pPr>
        <w:jc w:val="center"/>
      </w:pPr>
      <w:r>
        <w:rPr>
          <w:rFonts w:ascii="Times New Roman" w:eastAsia="宋体" w:hAnsi="Times New Roman"/>
          <w:color w:val="000000"/>
          <w:sz w:val="20"/>
          <w:szCs w:val="20"/>
        </w:rPr>
        <w:t>23</w:t>
      </w:r>
    </w:p>
    <w:p w14:paraId="7B66F909" w14:textId="77777777" w:rsidR="0040300B" w:rsidRDefault="00BB2D44">
      <w:r>
        <w:pict w14:anchorId="7B671C27">
          <v:rect id="_x0000_i1047" style="width:415.3pt;height:1.5pt" o:hralign="center" o:hrstd="t" o:hr="t" fillcolor="#a0a0a0" stroked="f"/>
        </w:pict>
      </w:r>
    </w:p>
    <w:p w14:paraId="7B66F90A" w14:textId="77777777" w:rsidR="0040300B" w:rsidRDefault="00BB2D44">
      <w:hyperlink r:id="rId69" w:anchor="i52d5b40dbad7426a9806a2fd5167029f_7" w:history="1">
        <w:r>
          <w:rPr>
            <w:rStyle w:val="a5"/>
            <w:rFonts w:ascii="Times New Roman" w:eastAsia="宋体" w:hAnsi="Times New Roman"/>
            <w:sz w:val="18"/>
            <w:szCs w:val="18"/>
          </w:rPr>
          <w:t>Table of Contents</w:t>
        </w:r>
      </w:hyperlink>
    </w:p>
    <w:p w14:paraId="7B66F90B" w14:textId="77777777" w:rsidR="0040300B" w:rsidRDefault="00BB2D44">
      <w:pPr>
        <w:jc w:val="center"/>
      </w:pPr>
      <w:r>
        <w:rPr>
          <w:rFonts w:ascii="Times New Roman" w:eastAsia="宋体" w:hAnsi="Times New Roman"/>
          <w:b/>
          <w:bCs/>
          <w:color w:val="000000"/>
          <w:sz w:val="18"/>
          <w:szCs w:val="18"/>
        </w:rPr>
        <w:t>CISCO SYSTEMS, INC.</w:t>
      </w:r>
    </w:p>
    <w:p w14:paraId="7B66F90C"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90D" w14:textId="77777777" w:rsidR="0040300B" w:rsidRDefault="00BB2D44">
      <w:pPr>
        <w:jc w:val="center"/>
      </w:pPr>
      <w:r>
        <w:rPr>
          <w:rFonts w:ascii="Times New Roman" w:eastAsia="宋体" w:hAnsi="Times New Roman"/>
          <w:b/>
          <w:bCs/>
          <w:color w:val="000000"/>
          <w:sz w:val="18"/>
          <w:szCs w:val="18"/>
        </w:rPr>
        <w:t xml:space="preserve">(Unaudited) </w:t>
      </w:r>
    </w:p>
    <w:p w14:paraId="7B66F90E" w14:textId="77777777" w:rsidR="0040300B" w:rsidRDefault="0040300B">
      <w:pPr>
        <w:jc w:val="center"/>
      </w:pPr>
    </w:p>
    <w:p w14:paraId="7B66F90F" w14:textId="77777777" w:rsidR="0040300B" w:rsidRDefault="00BB2D44">
      <w:pPr>
        <w:spacing w:before="120"/>
        <w:jc w:val="both"/>
      </w:pPr>
      <w:r>
        <w:rPr>
          <w:rFonts w:ascii="Times New Roman" w:eastAsia="宋体" w:hAnsi="Times New Roman"/>
          <w:color w:val="000000"/>
          <w:sz w:val="20"/>
          <w:szCs w:val="20"/>
        </w:rPr>
        <w:t xml:space="preserve">Of the total carrying value of our investments in privately held </w:t>
      </w:r>
      <w:r>
        <w:rPr>
          <w:rFonts w:ascii="Times New Roman" w:eastAsia="宋体" w:hAnsi="Times New Roman"/>
          <w:color w:val="000000"/>
          <w:sz w:val="20"/>
          <w:szCs w:val="20"/>
        </w:rPr>
        <w:t>companies as of May 1, 2021, $0.8 billion of such investments are considered to be in variable interest entities which are unconsolidated. As of May 1, 2021, we have total funding commitments of $0.2 billion related to privately held investments, some of w</w:t>
      </w:r>
      <w:r>
        <w:rPr>
          <w:rFonts w:ascii="Times New Roman" w:eastAsia="宋体" w:hAnsi="Times New Roman"/>
          <w:color w:val="000000"/>
          <w:sz w:val="20"/>
          <w:szCs w:val="20"/>
        </w:rPr>
        <w:t>hich may be based on the achievement of certain agreed-upon milestones, and some of which are required to be funded on demand. The carrying value of these investments and the additional funding commitments collectively represent our maximum exposure relate</w:t>
      </w:r>
      <w:r>
        <w:rPr>
          <w:rFonts w:ascii="Times New Roman" w:eastAsia="宋体" w:hAnsi="Times New Roman"/>
          <w:color w:val="000000"/>
          <w:sz w:val="20"/>
          <w:szCs w:val="20"/>
        </w:rPr>
        <w:t>d to privately held investments.</w:t>
      </w:r>
    </w:p>
    <w:p w14:paraId="7B66F910" w14:textId="77777777" w:rsidR="0040300B" w:rsidRDefault="0040300B">
      <w:pPr>
        <w:spacing w:before="120"/>
        <w:jc w:val="both"/>
      </w:pPr>
    </w:p>
    <w:p w14:paraId="7B66F911" w14:textId="77777777" w:rsidR="0040300B" w:rsidRDefault="00BB2D44">
      <w:pPr>
        <w:spacing w:before="60"/>
        <w:ind w:hanging="360"/>
      </w:pPr>
      <w:r>
        <w:rPr>
          <w:rFonts w:ascii="Times New Roman" w:eastAsia="宋体" w:hAnsi="Times New Roman"/>
          <w:b/>
          <w:bCs/>
          <w:color w:val="000000"/>
          <w:sz w:val="20"/>
          <w:szCs w:val="20"/>
        </w:rPr>
        <w:t xml:space="preserve">11. Fair Value </w:t>
      </w:r>
    </w:p>
    <w:p w14:paraId="7B66F912" w14:textId="77777777" w:rsidR="0040300B" w:rsidRDefault="00BB2D44">
      <w:pPr>
        <w:spacing w:before="120"/>
        <w:jc w:val="both"/>
      </w:pPr>
      <w:r>
        <w:rPr>
          <w:rFonts w:ascii="Times New Roman" w:eastAsia="宋体" w:hAnsi="Times New Roman"/>
          <w:color w:val="000000"/>
          <w:sz w:val="20"/>
          <w:szCs w:val="20"/>
        </w:rPr>
        <w:t>Fair value is defined as the price that would be received from selling an asset or paid to transfer a liability in an orderly transaction between market participants at the measurement date. When determinin</w:t>
      </w:r>
      <w:r>
        <w:rPr>
          <w:rFonts w:ascii="Times New Roman" w:eastAsia="宋体" w:hAnsi="Times New Roman"/>
          <w:color w:val="000000"/>
          <w:sz w:val="20"/>
          <w:szCs w:val="20"/>
        </w:rPr>
        <w:t xml:space="preserve">g the fair value measurements for assets and liabilities required or permitted to be either recorded or disclosed at fair value, we consider the principal or most advantageous market in which we would transact, and we also consider assumptions that market </w:t>
      </w:r>
      <w:r>
        <w:rPr>
          <w:rFonts w:ascii="Times New Roman" w:eastAsia="宋体" w:hAnsi="Times New Roman"/>
          <w:color w:val="000000"/>
          <w:sz w:val="20"/>
          <w:szCs w:val="20"/>
        </w:rPr>
        <w:t>participants would use when pricing the asset or liability.</w:t>
      </w:r>
    </w:p>
    <w:p w14:paraId="7B66F913" w14:textId="77777777" w:rsidR="0040300B" w:rsidRDefault="00BB2D44">
      <w:pPr>
        <w:spacing w:before="100" w:after="100"/>
        <w:ind w:hanging="360"/>
      </w:pPr>
      <w:r>
        <w:rPr>
          <w:rFonts w:ascii="Times New Roman" w:eastAsia="宋体" w:hAnsi="Times New Roman"/>
          <w:b/>
          <w:bCs/>
          <w:color w:val="000000"/>
          <w:sz w:val="20"/>
          <w:szCs w:val="20"/>
        </w:rPr>
        <w:t>(a)Fair Value Hierarchy</w:t>
      </w:r>
    </w:p>
    <w:p w14:paraId="7B66F914" w14:textId="77777777" w:rsidR="0040300B" w:rsidRDefault="00BB2D44">
      <w:pPr>
        <w:spacing w:before="120"/>
        <w:jc w:val="both"/>
      </w:pPr>
      <w:r>
        <w:rPr>
          <w:rFonts w:ascii="Times New Roman" w:eastAsia="宋体" w:hAnsi="Times New Roman"/>
          <w:color w:val="000000"/>
          <w:sz w:val="20"/>
          <w:szCs w:val="20"/>
        </w:rPr>
        <w:t>The accounting guidance for fair value measurement requires an entity to maximize the use of observable inputs and minimize the use of unobservable inputs when measuring fa</w:t>
      </w:r>
      <w:r>
        <w:rPr>
          <w:rFonts w:ascii="Times New Roman" w:eastAsia="宋体" w:hAnsi="Times New Roman"/>
          <w:color w:val="000000"/>
          <w:sz w:val="20"/>
          <w:szCs w:val="20"/>
        </w:rPr>
        <w:t>ir value. The standard establishes a fair value hierarchy based on the level of independent, objective evidence surrounding the inputs used to measure fair value. A financial instrument’s categorization within the fair value hierarchy is based upon the low</w:t>
      </w:r>
      <w:r>
        <w:rPr>
          <w:rFonts w:ascii="Times New Roman" w:eastAsia="宋体" w:hAnsi="Times New Roman"/>
          <w:color w:val="000000"/>
          <w:sz w:val="20"/>
          <w:szCs w:val="20"/>
        </w:rPr>
        <w:t>est level of input that is significant to the fair value measurement. The fair value hierarchy is as follows:</w:t>
      </w:r>
    </w:p>
    <w:p w14:paraId="7B66F915" w14:textId="77777777" w:rsidR="0040300B" w:rsidRDefault="00BB2D44">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 prices in active markets for identical assets or liabilities.</w:t>
      </w:r>
    </w:p>
    <w:p w14:paraId="7B66F916" w14:textId="77777777" w:rsidR="0040300B" w:rsidRDefault="00BB2D44">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w:t>
      </w:r>
      <w:r>
        <w:rPr>
          <w:rFonts w:ascii="Times New Roman" w:eastAsia="宋体" w:hAnsi="Times New Roman"/>
          <w:color w:val="000000"/>
          <w:sz w:val="20"/>
          <w:szCs w:val="20"/>
        </w:rPr>
        <w:t>to assets or liabilities for which there are inputs other than quoted prices that are observable for the asset or liability, such as quoted prices for similar assets or liabilities in active markets; quoted prices for identical assets or liabilities in mar</w:t>
      </w:r>
      <w:r>
        <w:rPr>
          <w:rFonts w:ascii="Times New Roman" w:eastAsia="宋体" w:hAnsi="Times New Roman"/>
          <w:color w:val="000000"/>
          <w:sz w:val="20"/>
          <w:szCs w:val="20"/>
        </w:rPr>
        <w:t>kets with insufficient volume or infrequent transactions (less active markets); or model-derived valuations in which significant inputs are observable or can be derived principally from, or corroborated by, observable market data.</w:t>
      </w:r>
    </w:p>
    <w:p w14:paraId="7B66F917" w14:textId="77777777" w:rsidR="0040300B" w:rsidRDefault="00BB2D44">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w:t>
      </w:r>
      <w:r>
        <w:rPr>
          <w:rFonts w:ascii="Times New Roman" w:eastAsia="宋体" w:hAnsi="Times New Roman"/>
          <w:color w:val="000000"/>
          <w:sz w:val="20"/>
          <w:szCs w:val="20"/>
        </w:rPr>
        <w:t xml:space="preserve"> or liabilities for which there are unobservable inputs to the valuation methodology that are significant to the measurement of the fair value of the assets or liabilities.</w:t>
      </w:r>
    </w:p>
    <w:p w14:paraId="7B66F918" w14:textId="77777777" w:rsidR="0040300B" w:rsidRDefault="00BB2D44">
      <w:pPr>
        <w:jc w:val="center"/>
      </w:pPr>
      <w:r>
        <w:rPr>
          <w:rFonts w:ascii="Times New Roman" w:eastAsia="宋体" w:hAnsi="Times New Roman"/>
          <w:color w:val="000000"/>
          <w:sz w:val="20"/>
          <w:szCs w:val="20"/>
        </w:rPr>
        <w:t>24</w:t>
      </w:r>
    </w:p>
    <w:p w14:paraId="7B66F919" w14:textId="77777777" w:rsidR="0040300B" w:rsidRDefault="00BB2D44">
      <w:r>
        <w:pict w14:anchorId="7B671C28">
          <v:rect id="_x0000_i1048" style="width:415.3pt;height:1.5pt" o:hralign="center" o:hrstd="t" o:hr="t" fillcolor="#a0a0a0" stroked="f"/>
        </w:pict>
      </w:r>
    </w:p>
    <w:p w14:paraId="7B66F91A" w14:textId="77777777" w:rsidR="0040300B" w:rsidRDefault="00BB2D44">
      <w:hyperlink r:id="rId70" w:anchor="i52d5b40dbad7426a9806a2fd5167029f_7" w:history="1">
        <w:r>
          <w:rPr>
            <w:rStyle w:val="a5"/>
            <w:rFonts w:ascii="Times New Roman" w:eastAsia="宋体" w:hAnsi="Times New Roman"/>
            <w:sz w:val="18"/>
            <w:szCs w:val="18"/>
          </w:rPr>
          <w:t>Table of Contents</w:t>
        </w:r>
      </w:hyperlink>
    </w:p>
    <w:p w14:paraId="7B66F91B" w14:textId="77777777" w:rsidR="0040300B" w:rsidRDefault="00BB2D44">
      <w:pPr>
        <w:jc w:val="center"/>
      </w:pPr>
      <w:r>
        <w:rPr>
          <w:rFonts w:ascii="Times New Roman" w:eastAsia="宋体" w:hAnsi="Times New Roman"/>
          <w:b/>
          <w:bCs/>
          <w:color w:val="000000"/>
          <w:sz w:val="18"/>
          <w:szCs w:val="18"/>
        </w:rPr>
        <w:t>CISCO SYSTEMS, INC.</w:t>
      </w:r>
    </w:p>
    <w:p w14:paraId="7B66F91C"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91D" w14:textId="77777777" w:rsidR="0040300B" w:rsidRDefault="00BB2D44">
      <w:pPr>
        <w:jc w:val="center"/>
      </w:pPr>
      <w:r>
        <w:rPr>
          <w:rFonts w:ascii="Times New Roman" w:eastAsia="宋体" w:hAnsi="Times New Roman"/>
          <w:b/>
          <w:bCs/>
          <w:color w:val="000000"/>
          <w:sz w:val="18"/>
          <w:szCs w:val="18"/>
        </w:rPr>
        <w:t xml:space="preserve">(Unaudited) </w:t>
      </w:r>
    </w:p>
    <w:p w14:paraId="7B66F91E" w14:textId="77777777" w:rsidR="0040300B" w:rsidRDefault="0040300B">
      <w:pPr>
        <w:jc w:val="center"/>
      </w:pPr>
    </w:p>
    <w:p w14:paraId="7B66F91F" w14:textId="77777777" w:rsidR="0040300B" w:rsidRDefault="00BB2D44">
      <w:pPr>
        <w:spacing w:before="120"/>
        <w:ind w:hanging="360"/>
      </w:pPr>
      <w:r>
        <w:rPr>
          <w:rFonts w:ascii="Times New Roman" w:eastAsia="宋体" w:hAnsi="Times New Roman"/>
          <w:b/>
          <w:bCs/>
          <w:color w:val="000000"/>
          <w:sz w:val="20"/>
          <w:szCs w:val="20"/>
        </w:rPr>
        <w:t>(b)Assets and Liabilities Measured at Fair Value on a Recurring Basis</w:t>
      </w:r>
    </w:p>
    <w:p w14:paraId="7B66F920" w14:textId="77777777" w:rsidR="0040300B" w:rsidRDefault="00BB2D44">
      <w:pPr>
        <w:spacing w:before="120"/>
      </w:pPr>
      <w:r>
        <w:rPr>
          <w:rFonts w:ascii="Times New Roman" w:eastAsia="宋体" w:hAnsi="Times New Roman"/>
          <w:color w:val="000000"/>
          <w:sz w:val="20"/>
          <w:szCs w:val="20"/>
        </w:rPr>
        <w:t>Assets and liabilities measured at fair value on a recurring basis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61"/>
        <w:gridCol w:w="1951"/>
        <w:gridCol w:w="40"/>
        <w:gridCol w:w="120"/>
        <w:gridCol w:w="500"/>
        <w:gridCol w:w="36"/>
        <w:gridCol w:w="36"/>
        <w:gridCol w:w="36"/>
        <w:gridCol w:w="36"/>
        <w:gridCol w:w="120"/>
        <w:gridCol w:w="600"/>
        <w:gridCol w:w="36"/>
        <w:gridCol w:w="36"/>
        <w:gridCol w:w="36"/>
        <w:gridCol w:w="36"/>
        <w:gridCol w:w="121"/>
        <w:gridCol w:w="389"/>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1"/>
        <w:gridCol w:w="389"/>
        <w:gridCol w:w="36"/>
        <w:gridCol w:w="36"/>
        <w:gridCol w:w="36"/>
        <w:gridCol w:w="36"/>
        <w:gridCol w:w="120"/>
        <w:gridCol w:w="600"/>
        <w:gridCol w:w="36"/>
      </w:tblGrid>
      <w:tr w:rsidR="0040300B" w14:paraId="7B66F951" w14:textId="77777777">
        <w:tc>
          <w:tcPr>
            <w:tcW w:w="50" w:type="pct"/>
            <w:shd w:val="clear" w:color="auto" w:fill="auto"/>
          </w:tcPr>
          <w:p w14:paraId="7B66F921" w14:textId="77777777" w:rsidR="0040300B" w:rsidRDefault="0040300B">
            <w:pPr>
              <w:rPr>
                <w:rFonts w:ascii="宋体"/>
              </w:rPr>
            </w:pPr>
          </w:p>
        </w:tc>
        <w:tc>
          <w:tcPr>
            <w:tcW w:w="1421" w:type="pct"/>
            <w:shd w:val="clear" w:color="auto" w:fill="auto"/>
          </w:tcPr>
          <w:p w14:paraId="7B66F922" w14:textId="77777777" w:rsidR="0040300B" w:rsidRDefault="0040300B">
            <w:pPr>
              <w:rPr>
                <w:rFonts w:ascii="宋体"/>
              </w:rPr>
            </w:pPr>
          </w:p>
        </w:tc>
        <w:tc>
          <w:tcPr>
            <w:tcW w:w="5" w:type="pct"/>
            <w:shd w:val="clear" w:color="auto" w:fill="auto"/>
          </w:tcPr>
          <w:p w14:paraId="7B66F923" w14:textId="77777777" w:rsidR="0040300B" w:rsidRDefault="0040300B">
            <w:pPr>
              <w:rPr>
                <w:rFonts w:ascii="宋体"/>
              </w:rPr>
            </w:pPr>
          </w:p>
        </w:tc>
        <w:tc>
          <w:tcPr>
            <w:tcW w:w="50" w:type="pct"/>
            <w:shd w:val="clear" w:color="auto" w:fill="auto"/>
          </w:tcPr>
          <w:p w14:paraId="7B66F924" w14:textId="77777777" w:rsidR="0040300B" w:rsidRDefault="0040300B">
            <w:pPr>
              <w:rPr>
                <w:rFonts w:ascii="宋体"/>
              </w:rPr>
            </w:pPr>
          </w:p>
        </w:tc>
        <w:tc>
          <w:tcPr>
            <w:tcW w:w="354" w:type="pct"/>
            <w:shd w:val="clear" w:color="auto" w:fill="auto"/>
          </w:tcPr>
          <w:p w14:paraId="7B66F925" w14:textId="77777777" w:rsidR="0040300B" w:rsidRDefault="0040300B">
            <w:pPr>
              <w:rPr>
                <w:rFonts w:ascii="宋体"/>
              </w:rPr>
            </w:pPr>
          </w:p>
        </w:tc>
        <w:tc>
          <w:tcPr>
            <w:tcW w:w="5" w:type="pct"/>
            <w:shd w:val="clear" w:color="auto" w:fill="auto"/>
          </w:tcPr>
          <w:p w14:paraId="7B66F926" w14:textId="77777777" w:rsidR="0040300B" w:rsidRDefault="0040300B">
            <w:pPr>
              <w:rPr>
                <w:rFonts w:ascii="宋体"/>
              </w:rPr>
            </w:pPr>
          </w:p>
        </w:tc>
        <w:tc>
          <w:tcPr>
            <w:tcW w:w="5" w:type="pct"/>
            <w:shd w:val="clear" w:color="auto" w:fill="auto"/>
          </w:tcPr>
          <w:p w14:paraId="7B66F927" w14:textId="77777777" w:rsidR="0040300B" w:rsidRDefault="0040300B">
            <w:pPr>
              <w:rPr>
                <w:rFonts w:ascii="宋体"/>
              </w:rPr>
            </w:pPr>
          </w:p>
        </w:tc>
        <w:tc>
          <w:tcPr>
            <w:tcW w:w="26" w:type="pct"/>
            <w:shd w:val="clear" w:color="auto" w:fill="auto"/>
          </w:tcPr>
          <w:p w14:paraId="7B66F928" w14:textId="77777777" w:rsidR="0040300B" w:rsidRDefault="0040300B">
            <w:pPr>
              <w:rPr>
                <w:rFonts w:ascii="宋体"/>
              </w:rPr>
            </w:pPr>
          </w:p>
        </w:tc>
        <w:tc>
          <w:tcPr>
            <w:tcW w:w="5" w:type="pct"/>
            <w:shd w:val="clear" w:color="auto" w:fill="auto"/>
          </w:tcPr>
          <w:p w14:paraId="7B66F929" w14:textId="77777777" w:rsidR="0040300B" w:rsidRDefault="0040300B">
            <w:pPr>
              <w:rPr>
                <w:rFonts w:ascii="宋体"/>
              </w:rPr>
            </w:pPr>
          </w:p>
        </w:tc>
        <w:tc>
          <w:tcPr>
            <w:tcW w:w="50" w:type="pct"/>
            <w:shd w:val="clear" w:color="auto" w:fill="auto"/>
          </w:tcPr>
          <w:p w14:paraId="7B66F92A" w14:textId="77777777" w:rsidR="0040300B" w:rsidRDefault="0040300B">
            <w:pPr>
              <w:rPr>
                <w:rFonts w:ascii="宋体"/>
              </w:rPr>
            </w:pPr>
          </w:p>
        </w:tc>
        <w:tc>
          <w:tcPr>
            <w:tcW w:w="354" w:type="pct"/>
            <w:shd w:val="clear" w:color="auto" w:fill="auto"/>
          </w:tcPr>
          <w:p w14:paraId="7B66F92B" w14:textId="77777777" w:rsidR="0040300B" w:rsidRDefault="0040300B">
            <w:pPr>
              <w:rPr>
                <w:rFonts w:ascii="宋体"/>
              </w:rPr>
            </w:pPr>
          </w:p>
        </w:tc>
        <w:tc>
          <w:tcPr>
            <w:tcW w:w="5" w:type="pct"/>
            <w:shd w:val="clear" w:color="auto" w:fill="auto"/>
          </w:tcPr>
          <w:p w14:paraId="7B66F92C" w14:textId="77777777" w:rsidR="0040300B" w:rsidRDefault="0040300B">
            <w:pPr>
              <w:rPr>
                <w:rFonts w:ascii="宋体"/>
              </w:rPr>
            </w:pPr>
          </w:p>
        </w:tc>
        <w:tc>
          <w:tcPr>
            <w:tcW w:w="5" w:type="pct"/>
            <w:shd w:val="clear" w:color="auto" w:fill="auto"/>
          </w:tcPr>
          <w:p w14:paraId="7B66F92D" w14:textId="77777777" w:rsidR="0040300B" w:rsidRDefault="0040300B">
            <w:pPr>
              <w:rPr>
                <w:rFonts w:ascii="宋体"/>
              </w:rPr>
            </w:pPr>
          </w:p>
        </w:tc>
        <w:tc>
          <w:tcPr>
            <w:tcW w:w="26" w:type="pct"/>
            <w:shd w:val="clear" w:color="auto" w:fill="auto"/>
          </w:tcPr>
          <w:p w14:paraId="7B66F92E" w14:textId="77777777" w:rsidR="0040300B" w:rsidRDefault="0040300B">
            <w:pPr>
              <w:rPr>
                <w:rFonts w:ascii="宋体"/>
              </w:rPr>
            </w:pPr>
          </w:p>
        </w:tc>
        <w:tc>
          <w:tcPr>
            <w:tcW w:w="5" w:type="pct"/>
            <w:shd w:val="clear" w:color="auto" w:fill="auto"/>
          </w:tcPr>
          <w:p w14:paraId="7B66F92F" w14:textId="77777777" w:rsidR="0040300B" w:rsidRDefault="0040300B">
            <w:pPr>
              <w:rPr>
                <w:rFonts w:ascii="宋体"/>
              </w:rPr>
            </w:pPr>
          </w:p>
        </w:tc>
        <w:tc>
          <w:tcPr>
            <w:tcW w:w="50" w:type="pct"/>
            <w:shd w:val="clear" w:color="auto" w:fill="auto"/>
          </w:tcPr>
          <w:p w14:paraId="7B66F930" w14:textId="77777777" w:rsidR="0040300B" w:rsidRDefault="0040300B">
            <w:pPr>
              <w:rPr>
                <w:rFonts w:ascii="宋体"/>
              </w:rPr>
            </w:pPr>
          </w:p>
        </w:tc>
        <w:tc>
          <w:tcPr>
            <w:tcW w:w="354" w:type="pct"/>
            <w:shd w:val="clear" w:color="auto" w:fill="auto"/>
          </w:tcPr>
          <w:p w14:paraId="7B66F931" w14:textId="77777777" w:rsidR="0040300B" w:rsidRDefault="0040300B">
            <w:pPr>
              <w:rPr>
                <w:rFonts w:ascii="宋体"/>
              </w:rPr>
            </w:pPr>
          </w:p>
        </w:tc>
        <w:tc>
          <w:tcPr>
            <w:tcW w:w="5" w:type="pct"/>
            <w:shd w:val="clear" w:color="auto" w:fill="auto"/>
          </w:tcPr>
          <w:p w14:paraId="7B66F932" w14:textId="77777777" w:rsidR="0040300B" w:rsidRDefault="0040300B">
            <w:pPr>
              <w:rPr>
                <w:rFonts w:ascii="宋体"/>
              </w:rPr>
            </w:pPr>
          </w:p>
        </w:tc>
        <w:tc>
          <w:tcPr>
            <w:tcW w:w="5" w:type="pct"/>
            <w:shd w:val="clear" w:color="auto" w:fill="auto"/>
          </w:tcPr>
          <w:p w14:paraId="7B66F933" w14:textId="77777777" w:rsidR="0040300B" w:rsidRDefault="0040300B">
            <w:pPr>
              <w:rPr>
                <w:rFonts w:ascii="宋体"/>
              </w:rPr>
            </w:pPr>
          </w:p>
        </w:tc>
        <w:tc>
          <w:tcPr>
            <w:tcW w:w="26" w:type="pct"/>
            <w:shd w:val="clear" w:color="auto" w:fill="auto"/>
          </w:tcPr>
          <w:p w14:paraId="7B66F934" w14:textId="77777777" w:rsidR="0040300B" w:rsidRDefault="0040300B">
            <w:pPr>
              <w:rPr>
                <w:rFonts w:ascii="宋体"/>
              </w:rPr>
            </w:pPr>
          </w:p>
        </w:tc>
        <w:tc>
          <w:tcPr>
            <w:tcW w:w="5" w:type="pct"/>
            <w:shd w:val="clear" w:color="auto" w:fill="auto"/>
          </w:tcPr>
          <w:p w14:paraId="7B66F935" w14:textId="77777777" w:rsidR="0040300B" w:rsidRDefault="0040300B">
            <w:pPr>
              <w:rPr>
                <w:rFonts w:ascii="宋体"/>
              </w:rPr>
            </w:pPr>
          </w:p>
        </w:tc>
        <w:tc>
          <w:tcPr>
            <w:tcW w:w="50" w:type="pct"/>
            <w:shd w:val="clear" w:color="auto" w:fill="auto"/>
          </w:tcPr>
          <w:p w14:paraId="7B66F936" w14:textId="77777777" w:rsidR="0040300B" w:rsidRDefault="0040300B">
            <w:pPr>
              <w:rPr>
                <w:rFonts w:ascii="宋体"/>
              </w:rPr>
            </w:pPr>
          </w:p>
        </w:tc>
        <w:tc>
          <w:tcPr>
            <w:tcW w:w="347" w:type="pct"/>
            <w:shd w:val="clear" w:color="auto" w:fill="auto"/>
          </w:tcPr>
          <w:p w14:paraId="7B66F937" w14:textId="77777777" w:rsidR="0040300B" w:rsidRDefault="0040300B">
            <w:pPr>
              <w:rPr>
                <w:rFonts w:ascii="宋体"/>
              </w:rPr>
            </w:pPr>
          </w:p>
        </w:tc>
        <w:tc>
          <w:tcPr>
            <w:tcW w:w="5" w:type="pct"/>
            <w:shd w:val="clear" w:color="auto" w:fill="auto"/>
          </w:tcPr>
          <w:p w14:paraId="7B66F938" w14:textId="77777777" w:rsidR="0040300B" w:rsidRDefault="0040300B">
            <w:pPr>
              <w:rPr>
                <w:rFonts w:ascii="宋体"/>
              </w:rPr>
            </w:pPr>
          </w:p>
        </w:tc>
        <w:tc>
          <w:tcPr>
            <w:tcW w:w="5" w:type="pct"/>
            <w:shd w:val="clear" w:color="auto" w:fill="auto"/>
          </w:tcPr>
          <w:p w14:paraId="7B66F939" w14:textId="77777777" w:rsidR="0040300B" w:rsidRDefault="0040300B">
            <w:pPr>
              <w:rPr>
                <w:rFonts w:ascii="宋体"/>
              </w:rPr>
            </w:pPr>
          </w:p>
        </w:tc>
        <w:tc>
          <w:tcPr>
            <w:tcW w:w="26" w:type="pct"/>
            <w:shd w:val="clear" w:color="auto" w:fill="auto"/>
          </w:tcPr>
          <w:p w14:paraId="7B66F93A" w14:textId="77777777" w:rsidR="0040300B" w:rsidRDefault="0040300B">
            <w:pPr>
              <w:rPr>
                <w:rFonts w:ascii="宋体"/>
              </w:rPr>
            </w:pPr>
          </w:p>
        </w:tc>
        <w:tc>
          <w:tcPr>
            <w:tcW w:w="5" w:type="pct"/>
            <w:shd w:val="clear" w:color="auto" w:fill="auto"/>
          </w:tcPr>
          <w:p w14:paraId="7B66F93B" w14:textId="77777777" w:rsidR="0040300B" w:rsidRDefault="0040300B">
            <w:pPr>
              <w:rPr>
                <w:rFonts w:ascii="宋体"/>
              </w:rPr>
            </w:pPr>
          </w:p>
        </w:tc>
        <w:tc>
          <w:tcPr>
            <w:tcW w:w="50" w:type="pct"/>
            <w:shd w:val="clear" w:color="auto" w:fill="auto"/>
          </w:tcPr>
          <w:p w14:paraId="7B66F93C" w14:textId="77777777" w:rsidR="0040300B" w:rsidRDefault="0040300B">
            <w:pPr>
              <w:rPr>
                <w:rFonts w:ascii="宋体"/>
              </w:rPr>
            </w:pPr>
          </w:p>
        </w:tc>
        <w:tc>
          <w:tcPr>
            <w:tcW w:w="354" w:type="pct"/>
            <w:shd w:val="clear" w:color="auto" w:fill="auto"/>
          </w:tcPr>
          <w:p w14:paraId="7B66F93D" w14:textId="77777777" w:rsidR="0040300B" w:rsidRDefault="0040300B">
            <w:pPr>
              <w:rPr>
                <w:rFonts w:ascii="宋体"/>
              </w:rPr>
            </w:pPr>
          </w:p>
        </w:tc>
        <w:tc>
          <w:tcPr>
            <w:tcW w:w="5" w:type="pct"/>
            <w:shd w:val="clear" w:color="auto" w:fill="auto"/>
          </w:tcPr>
          <w:p w14:paraId="7B66F93E" w14:textId="77777777" w:rsidR="0040300B" w:rsidRDefault="0040300B">
            <w:pPr>
              <w:rPr>
                <w:rFonts w:ascii="宋体"/>
              </w:rPr>
            </w:pPr>
          </w:p>
        </w:tc>
        <w:tc>
          <w:tcPr>
            <w:tcW w:w="5" w:type="pct"/>
            <w:shd w:val="clear" w:color="auto" w:fill="auto"/>
          </w:tcPr>
          <w:p w14:paraId="7B66F93F" w14:textId="77777777" w:rsidR="0040300B" w:rsidRDefault="0040300B">
            <w:pPr>
              <w:rPr>
                <w:rFonts w:ascii="宋体"/>
              </w:rPr>
            </w:pPr>
          </w:p>
        </w:tc>
        <w:tc>
          <w:tcPr>
            <w:tcW w:w="26" w:type="pct"/>
            <w:shd w:val="clear" w:color="auto" w:fill="auto"/>
          </w:tcPr>
          <w:p w14:paraId="7B66F940" w14:textId="77777777" w:rsidR="0040300B" w:rsidRDefault="0040300B">
            <w:pPr>
              <w:rPr>
                <w:rFonts w:ascii="宋体"/>
              </w:rPr>
            </w:pPr>
          </w:p>
        </w:tc>
        <w:tc>
          <w:tcPr>
            <w:tcW w:w="5" w:type="pct"/>
            <w:shd w:val="clear" w:color="auto" w:fill="auto"/>
          </w:tcPr>
          <w:p w14:paraId="7B66F941" w14:textId="77777777" w:rsidR="0040300B" w:rsidRDefault="0040300B">
            <w:pPr>
              <w:rPr>
                <w:rFonts w:ascii="宋体"/>
              </w:rPr>
            </w:pPr>
          </w:p>
        </w:tc>
        <w:tc>
          <w:tcPr>
            <w:tcW w:w="50" w:type="pct"/>
            <w:shd w:val="clear" w:color="auto" w:fill="auto"/>
          </w:tcPr>
          <w:p w14:paraId="7B66F942" w14:textId="77777777" w:rsidR="0040300B" w:rsidRDefault="0040300B">
            <w:pPr>
              <w:rPr>
                <w:rFonts w:ascii="宋体"/>
              </w:rPr>
            </w:pPr>
          </w:p>
        </w:tc>
        <w:tc>
          <w:tcPr>
            <w:tcW w:w="354" w:type="pct"/>
            <w:shd w:val="clear" w:color="auto" w:fill="auto"/>
          </w:tcPr>
          <w:p w14:paraId="7B66F943" w14:textId="77777777" w:rsidR="0040300B" w:rsidRDefault="0040300B">
            <w:pPr>
              <w:rPr>
                <w:rFonts w:ascii="宋体"/>
              </w:rPr>
            </w:pPr>
          </w:p>
        </w:tc>
        <w:tc>
          <w:tcPr>
            <w:tcW w:w="5" w:type="pct"/>
            <w:shd w:val="clear" w:color="auto" w:fill="auto"/>
          </w:tcPr>
          <w:p w14:paraId="7B66F944" w14:textId="77777777" w:rsidR="0040300B" w:rsidRDefault="0040300B">
            <w:pPr>
              <w:rPr>
                <w:rFonts w:ascii="宋体"/>
              </w:rPr>
            </w:pPr>
          </w:p>
        </w:tc>
        <w:tc>
          <w:tcPr>
            <w:tcW w:w="5" w:type="pct"/>
            <w:shd w:val="clear" w:color="auto" w:fill="auto"/>
          </w:tcPr>
          <w:p w14:paraId="7B66F945" w14:textId="77777777" w:rsidR="0040300B" w:rsidRDefault="0040300B">
            <w:pPr>
              <w:rPr>
                <w:rFonts w:ascii="宋体"/>
              </w:rPr>
            </w:pPr>
          </w:p>
        </w:tc>
        <w:tc>
          <w:tcPr>
            <w:tcW w:w="26" w:type="pct"/>
            <w:shd w:val="clear" w:color="auto" w:fill="auto"/>
          </w:tcPr>
          <w:p w14:paraId="7B66F946" w14:textId="77777777" w:rsidR="0040300B" w:rsidRDefault="0040300B">
            <w:pPr>
              <w:rPr>
                <w:rFonts w:ascii="宋体"/>
              </w:rPr>
            </w:pPr>
          </w:p>
        </w:tc>
        <w:tc>
          <w:tcPr>
            <w:tcW w:w="5" w:type="pct"/>
            <w:shd w:val="clear" w:color="auto" w:fill="auto"/>
          </w:tcPr>
          <w:p w14:paraId="7B66F947" w14:textId="77777777" w:rsidR="0040300B" w:rsidRDefault="0040300B">
            <w:pPr>
              <w:rPr>
                <w:rFonts w:ascii="宋体"/>
              </w:rPr>
            </w:pPr>
          </w:p>
        </w:tc>
        <w:tc>
          <w:tcPr>
            <w:tcW w:w="50" w:type="pct"/>
            <w:shd w:val="clear" w:color="auto" w:fill="auto"/>
          </w:tcPr>
          <w:p w14:paraId="7B66F948" w14:textId="77777777" w:rsidR="0040300B" w:rsidRDefault="0040300B">
            <w:pPr>
              <w:rPr>
                <w:rFonts w:ascii="宋体"/>
              </w:rPr>
            </w:pPr>
          </w:p>
        </w:tc>
        <w:tc>
          <w:tcPr>
            <w:tcW w:w="354" w:type="pct"/>
            <w:shd w:val="clear" w:color="auto" w:fill="auto"/>
          </w:tcPr>
          <w:p w14:paraId="7B66F949" w14:textId="77777777" w:rsidR="0040300B" w:rsidRDefault="0040300B">
            <w:pPr>
              <w:rPr>
                <w:rFonts w:ascii="宋体"/>
              </w:rPr>
            </w:pPr>
          </w:p>
        </w:tc>
        <w:tc>
          <w:tcPr>
            <w:tcW w:w="5" w:type="pct"/>
            <w:shd w:val="clear" w:color="auto" w:fill="auto"/>
          </w:tcPr>
          <w:p w14:paraId="7B66F94A" w14:textId="77777777" w:rsidR="0040300B" w:rsidRDefault="0040300B">
            <w:pPr>
              <w:rPr>
                <w:rFonts w:ascii="宋体"/>
              </w:rPr>
            </w:pPr>
          </w:p>
        </w:tc>
        <w:tc>
          <w:tcPr>
            <w:tcW w:w="5" w:type="pct"/>
            <w:shd w:val="clear" w:color="auto" w:fill="auto"/>
          </w:tcPr>
          <w:p w14:paraId="7B66F94B" w14:textId="77777777" w:rsidR="0040300B" w:rsidRDefault="0040300B">
            <w:pPr>
              <w:rPr>
                <w:rFonts w:ascii="宋体"/>
              </w:rPr>
            </w:pPr>
          </w:p>
        </w:tc>
        <w:tc>
          <w:tcPr>
            <w:tcW w:w="26" w:type="pct"/>
            <w:shd w:val="clear" w:color="auto" w:fill="auto"/>
          </w:tcPr>
          <w:p w14:paraId="7B66F94C" w14:textId="77777777" w:rsidR="0040300B" w:rsidRDefault="0040300B">
            <w:pPr>
              <w:rPr>
                <w:rFonts w:ascii="宋体"/>
              </w:rPr>
            </w:pPr>
          </w:p>
        </w:tc>
        <w:tc>
          <w:tcPr>
            <w:tcW w:w="5" w:type="pct"/>
            <w:shd w:val="clear" w:color="auto" w:fill="auto"/>
          </w:tcPr>
          <w:p w14:paraId="7B66F94D" w14:textId="77777777" w:rsidR="0040300B" w:rsidRDefault="0040300B">
            <w:pPr>
              <w:rPr>
                <w:rFonts w:ascii="宋体"/>
              </w:rPr>
            </w:pPr>
          </w:p>
        </w:tc>
        <w:tc>
          <w:tcPr>
            <w:tcW w:w="50" w:type="pct"/>
            <w:shd w:val="clear" w:color="auto" w:fill="auto"/>
          </w:tcPr>
          <w:p w14:paraId="7B66F94E" w14:textId="77777777" w:rsidR="0040300B" w:rsidRDefault="0040300B">
            <w:pPr>
              <w:rPr>
                <w:rFonts w:ascii="宋体"/>
              </w:rPr>
            </w:pPr>
          </w:p>
        </w:tc>
        <w:tc>
          <w:tcPr>
            <w:tcW w:w="354" w:type="pct"/>
            <w:shd w:val="clear" w:color="auto" w:fill="auto"/>
          </w:tcPr>
          <w:p w14:paraId="7B66F94F" w14:textId="77777777" w:rsidR="0040300B" w:rsidRDefault="0040300B">
            <w:pPr>
              <w:rPr>
                <w:rFonts w:ascii="宋体"/>
              </w:rPr>
            </w:pPr>
          </w:p>
        </w:tc>
        <w:tc>
          <w:tcPr>
            <w:tcW w:w="5" w:type="pct"/>
            <w:shd w:val="clear" w:color="auto" w:fill="auto"/>
          </w:tcPr>
          <w:p w14:paraId="7B66F950" w14:textId="77777777" w:rsidR="0040300B" w:rsidRDefault="0040300B">
            <w:pPr>
              <w:rPr>
                <w:rFonts w:ascii="宋体"/>
              </w:rPr>
            </w:pPr>
          </w:p>
        </w:tc>
      </w:tr>
      <w:tr w:rsidR="0040300B" w14:paraId="7B66F956" w14:textId="77777777">
        <w:tc>
          <w:tcPr>
            <w:tcW w:w="0" w:type="auto"/>
            <w:gridSpan w:val="3"/>
            <w:shd w:val="clear" w:color="auto" w:fill="auto"/>
            <w:tcMar>
              <w:top w:w="40" w:type="dxa"/>
              <w:left w:w="20" w:type="dxa"/>
              <w:bottom w:w="40" w:type="dxa"/>
              <w:right w:w="20" w:type="dxa"/>
            </w:tcMar>
            <w:vAlign w:val="bottom"/>
          </w:tcPr>
          <w:p w14:paraId="7B66F952" w14:textId="77777777" w:rsidR="0040300B" w:rsidRDefault="00BB2D44">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7B66F953"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F954"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955"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F95B" w14:textId="77777777">
        <w:tc>
          <w:tcPr>
            <w:tcW w:w="0" w:type="auto"/>
            <w:gridSpan w:val="3"/>
            <w:shd w:val="clear" w:color="auto" w:fill="auto"/>
            <w:tcMar>
              <w:top w:w="0" w:type="dxa"/>
              <w:left w:w="20" w:type="dxa"/>
              <w:bottom w:w="0" w:type="dxa"/>
              <w:right w:w="20" w:type="dxa"/>
            </w:tcMar>
          </w:tcPr>
          <w:p w14:paraId="7B66F957"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958" w14:textId="77777777" w:rsidR="0040300B" w:rsidRDefault="00BB2D44">
            <w:pPr>
              <w:jc w:val="center"/>
              <w:textAlignment w:val="bottom"/>
            </w:pPr>
            <w:r>
              <w:rPr>
                <w:rFonts w:ascii="Times New Roman" w:eastAsia="宋体" w:hAnsi="Times New Roman"/>
                <w:color w:val="000000"/>
                <w:sz w:val="18"/>
                <w:szCs w:val="18"/>
              </w:rPr>
              <w:t>FAIR VALUE MEASUREMENTS</w:t>
            </w:r>
          </w:p>
        </w:tc>
        <w:tc>
          <w:tcPr>
            <w:tcW w:w="0" w:type="auto"/>
            <w:gridSpan w:val="3"/>
            <w:shd w:val="clear" w:color="auto" w:fill="auto"/>
            <w:tcMar>
              <w:top w:w="0" w:type="dxa"/>
              <w:left w:w="20" w:type="dxa"/>
              <w:bottom w:w="0" w:type="dxa"/>
              <w:right w:w="20" w:type="dxa"/>
            </w:tcMar>
          </w:tcPr>
          <w:p w14:paraId="7B66F959"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6F95A" w14:textId="77777777" w:rsidR="0040300B" w:rsidRDefault="00BB2D44">
            <w:pPr>
              <w:jc w:val="center"/>
              <w:textAlignment w:val="bottom"/>
            </w:pPr>
            <w:r>
              <w:rPr>
                <w:rFonts w:ascii="Times New Roman" w:eastAsia="宋体" w:hAnsi="Times New Roman"/>
                <w:color w:val="000000"/>
                <w:sz w:val="18"/>
                <w:szCs w:val="18"/>
              </w:rPr>
              <w:t>FAIR VALUE MEASUREMENTS</w:t>
            </w:r>
          </w:p>
        </w:tc>
      </w:tr>
      <w:tr w:rsidR="0040300B" w14:paraId="7B66F96C" w14:textId="77777777">
        <w:tc>
          <w:tcPr>
            <w:tcW w:w="0" w:type="auto"/>
            <w:gridSpan w:val="3"/>
            <w:shd w:val="clear" w:color="auto" w:fill="auto"/>
            <w:tcMar>
              <w:top w:w="40" w:type="dxa"/>
              <w:left w:w="20" w:type="dxa"/>
              <w:bottom w:w="40" w:type="dxa"/>
              <w:right w:w="20" w:type="dxa"/>
            </w:tcMar>
            <w:vAlign w:val="bottom"/>
          </w:tcPr>
          <w:p w14:paraId="7B66F95C" w14:textId="77777777" w:rsidR="0040300B" w:rsidRDefault="00BB2D44">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5D" w14:textId="77777777" w:rsidR="0040300B" w:rsidRDefault="00BB2D44">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B66F95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5F" w14:textId="77777777" w:rsidR="0040300B" w:rsidRDefault="00BB2D44">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B66F96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1" w14:textId="77777777" w:rsidR="0040300B" w:rsidRDefault="00BB2D44">
            <w:pPr>
              <w:jc w:val="center"/>
              <w:textAlignment w:val="bottom"/>
            </w:pPr>
            <w:r>
              <w:rPr>
                <w:rFonts w:ascii="Times New Roman" w:eastAsia="宋体" w:hAnsi="Times New Roman"/>
                <w:color w:val="000000"/>
                <w:sz w:val="18"/>
                <w:szCs w:val="18"/>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B66F96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3" w14:textId="77777777" w:rsidR="0040300B" w:rsidRDefault="00BB2D44">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c>
          <w:tcPr>
            <w:tcW w:w="0" w:type="auto"/>
            <w:gridSpan w:val="3"/>
            <w:shd w:val="clear" w:color="auto" w:fill="auto"/>
            <w:tcMar>
              <w:top w:w="0" w:type="dxa"/>
              <w:left w:w="20" w:type="dxa"/>
              <w:bottom w:w="0" w:type="dxa"/>
              <w:right w:w="20" w:type="dxa"/>
            </w:tcMar>
          </w:tcPr>
          <w:p w14:paraId="7B66F96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5" w14:textId="77777777" w:rsidR="0040300B" w:rsidRDefault="00BB2D44">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7B66F96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7" w14:textId="77777777" w:rsidR="0040300B" w:rsidRDefault="00BB2D44">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7B66F96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9" w14:textId="77777777" w:rsidR="0040300B" w:rsidRDefault="00BB2D44">
            <w:pPr>
              <w:jc w:val="center"/>
              <w:textAlignment w:val="bottom"/>
            </w:pPr>
            <w:r>
              <w:rPr>
                <w:rFonts w:ascii="Times New Roman" w:eastAsia="宋体" w:hAnsi="Times New Roman"/>
                <w:color w:val="000000"/>
                <w:sz w:val="18"/>
                <w:szCs w:val="18"/>
              </w:rPr>
              <w:t>Level 3</w:t>
            </w:r>
          </w:p>
        </w:tc>
        <w:tc>
          <w:tcPr>
            <w:tcW w:w="0" w:type="auto"/>
            <w:gridSpan w:val="3"/>
            <w:tcBorders>
              <w:top w:val="single" w:sz="8" w:space="0" w:color="000000"/>
            </w:tcBorders>
            <w:shd w:val="clear" w:color="auto" w:fill="auto"/>
            <w:tcMar>
              <w:top w:w="0" w:type="dxa"/>
              <w:left w:w="20" w:type="dxa"/>
              <w:bottom w:w="0" w:type="dxa"/>
              <w:right w:w="20" w:type="dxa"/>
            </w:tcMar>
          </w:tcPr>
          <w:p w14:paraId="7B66F96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96B" w14:textId="77777777" w:rsidR="0040300B" w:rsidRDefault="00BB2D44">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40300B" w14:paraId="7B66F97D" w14:textId="77777777">
        <w:tc>
          <w:tcPr>
            <w:tcW w:w="0" w:type="auto"/>
            <w:gridSpan w:val="3"/>
            <w:shd w:val="clear" w:color="auto" w:fill="CCEEFF"/>
            <w:tcMar>
              <w:top w:w="40" w:type="dxa"/>
              <w:left w:w="20" w:type="dxa"/>
              <w:bottom w:w="40" w:type="dxa"/>
              <w:right w:w="20" w:type="dxa"/>
            </w:tcMar>
          </w:tcPr>
          <w:p w14:paraId="7B66F96D" w14:textId="77777777" w:rsidR="0040300B" w:rsidRDefault="00BB2D44">
            <w:pPr>
              <w:textAlignment w:val="top"/>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7B66F96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6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97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97C" w14:textId="77777777" w:rsidR="0040300B" w:rsidRDefault="0040300B">
            <w:pPr>
              <w:rPr>
                <w:rFonts w:ascii="宋体"/>
              </w:rPr>
            </w:pPr>
          </w:p>
        </w:tc>
      </w:tr>
      <w:tr w:rsidR="0040300B" w14:paraId="7B66F98E" w14:textId="77777777">
        <w:tc>
          <w:tcPr>
            <w:tcW w:w="0" w:type="auto"/>
            <w:gridSpan w:val="3"/>
            <w:shd w:val="clear" w:color="auto" w:fill="FFFFFF"/>
            <w:tcMar>
              <w:top w:w="40" w:type="dxa"/>
              <w:left w:w="20" w:type="dxa"/>
              <w:bottom w:w="40" w:type="dxa"/>
              <w:right w:w="20" w:type="dxa"/>
            </w:tcMar>
          </w:tcPr>
          <w:p w14:paraId="7B66F97E" w14:textId="77777777" w:rsidR="0040300B" w:rsidRDefault="00BB2D44">
            <w:pPr>
              <w:textAlignment w:val="top"/>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tcPr>
          <w:p w14:paraId="7B66F97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8D" w14:textId="77777777" w:rsidR="0040300B" w:rsidRDefault="0040300B">
            <w:pPr>
              <w:rPr>
                <w:rFonts w:ascii="宋体"/>
              </w:rPr>
            </w:pPr>
          </w:p>
        </w:tc>
      </w:tr>
      <w:tr w:rsidR="0040300B" w14:paraId="7B66F9AF" w14:textId="77777777">
        <w:tc>
          <w:tcPr>
            <w:tcW w:w="0" w:type="auto"/>
            <w:gridSpan w:val="3"/>
            <w:shd w:val="clear" w:color="auto" w:fill="CCEEFF"/>
            <w:tcMar>
              <w:top w:w="40" w:type="dxa"/>
              <w:left w:w="380" w:type="dxa"/>
              <w:bottom w:w="40" w:type="dxa"/>
              <w:right w:w="20" w:type="dxa"/>
            </w:tcMar>
          </w:tcPr>
          <w:p w14:paraId="7B66F98F" w14:textId="77777777" w:rsidR="0040300B" w:rsidRDefault="00BB2D44">
            <w:pPr>
              <w:textAlignment w:val="top"/>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7B66F99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991" w14:textId="77777777" w:rsidR="0040300B" w:rsidRDefault="00BB2D44">
            <w:pPr>
              <w:jc w:val="right"/>
              <w:textAlignment w:val="bottom"/>
            </w:pPr>
            <w:r>
              <w:rPr>
                <w:rFonts w:ascii="Times New Roman" w:eastAsia="宋体" w:hAnsi="Times New Roman"/>
                <w:color w:val="000000"/>
                <w:sz w:val="20"/>
                <w:szCs w:val="20"/>
              </w:rPr>
              <w:t>4,698 </w:t>
            </w:r>
          </w:p>
        </w:tc>
        <w:tc>
          <w:tcPr>
            <w:tcW w:w="0" w:type="auto"/>
            <w:shd w:val="clear" w:color="auto" w:fill="CCEEFF"/>
            <w:tcMar>
              <w:top w:w="40" w:type="dxa"/>
              <w:left w:w="0" w:type="dxa"/>
              <w:bottom w:w="40" w:type="dxa"/>
              <w:right w:w="20" w:type="dxa"/>
            </w:tcMar>
            <w:vAlign w:val="bottom"/>
          </w:tcPr>
          <w:p w14:paraId="7B66F99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9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9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99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9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9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9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99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9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9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9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99D" w14:textId="77777777" w:rsidR="0040300B" w:rsidRDefault="00BB2D44">
            <w:pPr>
              <w:jc w:val="right"/>
              <w:textAlignment w:val="bottom"/>
            </w:pPr>
            <w:r>
              <w:rPr>
                <w:rFonts w:ascii="Times New Roman" w:eastAsia="宋体" w:hAnsi="Times New Roman"/>
                <w:color w:val="000000"/>
                <w:sz w:val="20"/>
                <w:szCs w:val="20"/>
              </w:rPr>
              <w:t>4,698 </w:t>
            </w:r>
          </w:p>
        </w:tc>
        <w:tc>
          <w:tcPr>
            <w:tcW w:w="0" w:type="auto"/>
            <w:shd w:val="clear" w:color="auto" w:fill="CCEEFF"/>
            <w:tcMar>
              <w:top w:w="40" w:type="dxa"/>
              <w:left w:w="0" w:type="dxa"/>
              <w:bottom w:w="40" w:type="dxa"/>
              <w:right w:w="20" w:type="dxa"/>
            </w:tcMar>
            <w:vAlign w:val="bottom"/>
          </w:tcPr>
          <w:p w14:paraId="7B66F9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9F"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A0" w14:textId="77777777" w:rsidR="0040300B" w:rsidRDefault="00BB2D44">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7B66F9A1" w14:textId="77777777" w:rsidR="0040300B" w:rsidRDefault="00BB2D44">
            <w:pPr>
              <w:jc w:val="right"/>
              <w:textAlignment w:val="bottom"/>
            </w:pPr>
            <w:r>
              <w:rPr>
                <w:rFonts w:ascii="Times New Roman" w:eastAsia="宋体" w:hAnsi="Times New Roman"/>
                <w:color w:val="242424"/>
                <w:sz w:val="20"/>
                <w:szCs w:val="20"/>
              </w:rPr>
              <w:t>10,024 </w:t>
            </w:r>
          </w:p>
        </w:tc>
        <w:tc>
          <w:tcPr>
            <w:tcW w:w="0" w:type="auto"/>
            <w:shd w:val="clear" w:color="auto" w:fill="CCEEFF"/>
            <w:tcMar>
              <w:top w:w="40" w:type="dxa"/>
              <w:left w:w="0" w:type="dxa"/>
              <w:bottom w:w="40" w:type="dxa"/>
              <w:right w:w="20" w:type="dxa"/>
            </w:tcMar>
            <w:vAlign w:val="bottom"/>
          </w:tcPr>
          <w:p w14:paraId="7B66F9A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A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A4" w14:textId="77777777" w:rsidR="0040300B" w:rsidRDefault="00BB2D44">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7B66F9A5"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9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A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A8" w14:textId="77777777" w:rsidR="0040300B" w:rsidRDefault="00BB2D44">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7B66F9A9"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9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A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9A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9AD" w14:textId="77777777" w:rsidR="0040300B" w:rsidRDefault="00BB2D44">
            <w:pPr>
              <w:jc w:val="right"/>
              <w:textAlignment w:val="bottom"/>
            </w:pPr>
            <w:r>
              <w:rPr>
                <w:rFonts w:ascii="Times New Roman" w:eastAsia="宋体" w:hAnsi="Times New Roman"/>
                <w:color w:val="000000"/>
                <w:sz w:val="20"/>
                <w:szCs w:val="20"/>
              </w:rPr>
              <w:t>10,024 </w:t>
            </w:r>
          </w:p>
        </w:tc>
        <w:tc>
          <w:tcPr>
            <w:tcW w:w="0" w:type="auto"/>
            <w:shd w:val="clear" w:color="auto" w:fill="CCEEFF"/>
            <w:tcMar>
              <w:top w:w="40" w:type="dxa"/>
              <w:left w:w="0" w:type="dxa"/>
              <w:bottom w:w="40" w:type="dxa"/>
              <w:right w:w="20" w:type="dxa"/>
            </w:tcMar>
            <w:vAlign w:val="bottom"/>
          </w:tcPr>
          <w:p w14:paraId="7B66F9AE" w14:textId="77777777" w:rsidR="0040300B" w:rsidRDefault="0040300B">
            <w:pPr>
              <w:jc w:val="right"/>
              <w:rPr>
                <w:rFonts w:ascii="宋体"/>
              </w:rPr>
            </w:pPr>
          </w:p>
        </w:tc>
      </w:tr>
      <w:tr w:rsidR="0040300B" w14:paraId="7B66F9C8" w14:textId="77777777">
        <w:tc>
          <w:tcPr>
            <w:tcW w:w="0" w:type="auto"/>
            <w:gridSpan w:val="3"/>
            <w:shd w:val="clear" w:color="auto" w:fill="FFFFFF"/>
            <w:tcMar>
              <w:top w:w="40" w:type="dxa"/>
              <w:left w:w="380" w:type="dxa"/>
              <w:bottom w:w="40" w:type="dxa"/>
              <w:right w:w="20" w:type="dxa"/>
            </w:tcMar>
          </w:tcPr>
          <w:p w14:paraId="7B66F9B0" w14:textId="77777777" w:rsidR="0040300B" w:rsidRDefault="00BB2D44">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B66F9B1"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9B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B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B4"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9B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B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B7"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9B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B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B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9B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B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BD"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9B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B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C0" w14:textId="77777777" w:rsidR="0040300B" w:rsidRDefault="00BB2D44">
            <w:pPr>
              <w:jc w:val="right"/>
              <w:textAlignment w:val="bottom"/>
            </w:pPr>
            <w:r>
              <w:rPr>
                <w:rFonts w:ascii="Times New Roman" w:eastAsia="宋体" w:hAnsi="Times New Roman"/>
                <w:color w:val="242424"/>
                <w:sz w:val="20"/>
                <w:szCs w:val="20"/>
              </w:rPr>
              <w:t>8 </w:t>
            </w:r>
          </w:p>
        </w:tc>
        <w:tc>
          <w:tcPr>
            <w:tcW w:w="0" w:type="auto"/>
            <w:shd w:val="clear" w:color="auto" w:fill="FFFFFF"/>
            <w:tcMar>
              <w:top w:w="40" w:type="dxa"/>
              <w:left w:w="0" w:type="dxa"/>
              <w:bottom w:w="40" w:type="dxa"/>
              <w:right w:w="20" w:type="dxa"/>
            </w:tcMar>
            <w:vAlign w:val="bottom"/>
          </w:tcPr>
          <w:p w14:paraId="7B66F9C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C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C3"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9C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9C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9C6"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B66F9C7" w14:textId="77777777" w:rsidR="0040300B" w:rsidRDefault="0040300B">
            <w:pPr>
              <w:jc w:val="right"/>
              <w:rPr>
                <w:rFonts w:ascii="宋体"/>
              </w:rPr>
            </w:pPr>
          </w:p>
        </w:tc>
      </w:tr>
      <w:tr w:rsidR="0040300B" w14:paraId="7B66F9E1" w14:textId="77777777">
        <w:tc>
          <w:tcPr>
            <w:tcW w:w="0" w:type="auto"/>
            <w:gridSpan w:val="3"/>
            <w:shd w:val="clear" w:color="auto" w:fill="CCEEFF"/>
            <w:tcMar>
              <w:top w:w="40" w:type="dxa"/>
              <w:left w:w="380" w:type="dxa"/>
              <w:bottom w:w="40" w:type="dxa"/>
              <w:right w:w="20" w:type="dxa"/>
            </w:tcMar>
          </w:tcPr>
          <w:p w14:paraId="7B66F9C9" w14:textId="77777777" w:rsidR="0040300B" w:rsidRDefault="00BB2D4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7B66F9C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C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C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CD" w14:textId="77777777" w:rsidR="0040300B" w:rsidRDefault="00BB2D44">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B66F9C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C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D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D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3" w14:textId="77777777" w:rsidR="0040300B" w:rsidRDefault="00BB2D44">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7B66F9D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D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6"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9D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D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9"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9D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D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C"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9D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D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D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E0" w14:textId="77777777" w:rsidR="0040300B" w:rsidRDefault="0040300B">
            <w:pPr>
              <w:jc w:val="right"/>
              <w:rPr>
                <w:rFonts w:ascii="宋体"/>
              </w:rPr>
            </w:pPr>
          </w:p>
        </w:tc>
      </w:tr>
      <w:tr w:rsidR="0040300B" w14:paraId="7B66F9F2" w14:textId="77777777">
        <w:tc>
          <w:tcPr>
            <w:tcW w:w="0" w:type="auto"/>
            <w:gridSpan w:val="3"/>
            <w:shd w:val="clear" w:color="auto" w:fill="FFFFFF"/>
            <w:tcMar>
              <w:top w:w="40" w:type="dxa"/>
              <w:left w:w="20" w:type="dxa"/>
              <w:bottom w:w="40" w:type="dxa"/>
              <w:right w:w="20" w:type="dxa"/>
            </w:tcMar>
          </w:tcPr>
          <w:p w14:paraId="7B66F9E2" w14:textId="77777777" w:rsidR="0040300B" w:rsidRDefault="00BB2D44">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tcPr>
          <w:p w14:paraId="7B66F9E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F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9F1" w14:textId="77777777" w:rsidR="0040300B" w:rsidRDefault="0040300B">
            <w:pPr>
              <w:rPr>
                <w:rFonts w:ascii="宋体"/>
              </w:rPr>
            </w:pPr>
          </w:p>
        </w:tc>
      </w:tr>
      <w:tr w:rsidR="0040300B" w14:paraId="7B66FA0B" w14:textId="77777777">
        <w:tc>
          <w:tcPr>
            <w:tcW w:w="0" w:type="auto"/>
            <w:gridSpan w:val="3"/>
            <w:shd w:val="clear" w:color="auto" w:fill="CCEEFF"/>
            <w:tcMar>
              <w:top w:w="40" w:type="dxa"/>
              <w:left w:w="380" w:type="dxa"/>
              <w:bottom w:w="40" w:type="dxa"/>
              <w:right w:w="20" w:type="dxa"/>
            </w:tcMar>
          </w:tcPr>
          <w:p w14:paraId="7B66F9F3" w14:textId="77777777" w:rsidR="0040300B" w:rsidRDefault="00BB2D44">
            <w:pPr>
              <w:textAlignment w:val="top"/>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7B66F9F4"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F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F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F7" w14:textId="77777777" w:rsidR="0040300B" w:rsidRDefault="00BB2D44">
            <w:pPr>
              <w:jc w:val="right"/>
              <w:textAlignment w:val="bottom"/>
            </w:pPr>
            <w:r>
              <w:rPr>
                <w:rFonts w:ascii="Times New Roman" w:eastAsia="宋体" w:hAnsi="Times New Roman"/>
                <w:color w:val="000000"/>
                <w:sz w:val="20"/>
                <w:szCs w:val="20"/>
              </w:rPr>
              <w:t>1,903 </w:t>
            </w:r>
          </w:p>
        </w:tc>
        <w:tc>
          <w:tcPr>
            <w:tcW w:w="0" w:type="auto"/>
            <w:shd w:val="clear" w:color="auto" w:fill="CCEEFF"/>
            <w:tcMar>
              <w:top w:w="40" w:type="dxa"/>
              <w:left w:w="0" w:type="dxa"/>
              <w:bottom w:w="40" w:type="dxa"/>
              <w:right w:w="20" w:type="dxa"/>
            </w:tcMar>
            <w:vAlign w:val="bottom"/>
          </w:tcPr>
          <w:p w14:paraId="7B66F9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F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F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9F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F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9FD" w14:textId="77777777" w:rsidR="0040300B" w:rsidRDefault="00BB2D44">
            <w:pPr>
              <w:jc w:val="right"/>
              <w:textAlignment w:val="bottom"/>
            </w:pPr>
            <w:r>
              <w:rPr>
                <w:rFonts w:ascii="Times New Roman" w:eastAsia="宋体" w:hAnsi="Times New Roman"/>
                <w:color w:val="000000"/>
                <w:sz w:val="20"/>
                <w:szCs w:val="20"/>
              </w:rPr>
              <w:t>1,903 </w:t>
            </w:r>
          </w:p>
        </w:tc>
        <w:tc>
          <w:tcPr>
            <w:tcW w:w="0" w:type="auto"/>
            <w:shd w:val="clear" w:color="auto" w:fill="CCEEFF"/>
            <w:tcMar>
              <w:top w:w="40" w:type="dxa"/>
              <w:left w:w="0" w:type="dxa"/>
              <w:bottom w:w="40" w:type="dxa"/>
              <w:right w:w="20" w:type="dxa"/>
            </w:tcMar>
            <w:vAlign w:val="bottom"/>
          </w:tcPr>
          <w:p w14:paraId="7B66F9F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9F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00"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0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0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03" w14:textId="77777777" w:rsidR="0040300B" w:rsidRDefault="00BB2D44">
            <w:pPr>
              <w:jc w:val="right"/>
              <w:textAlignment w:val="bottom"/>
            </w:pPr>
            <w:r>
              <w:rPr>
                <w:rFonts w:ascii="Times New Roman" w:eastAsia="宋体" w:hAnsi="Times New Roman"/>
                <w:color w:val="242424"/>
                <w:sz w:val="20"/>
                <w:szCs w:val="20"/>
              </w:rPr>
              <w:t>2,685 </w:t>
            </w:r>
          </w:p>
        </w:tc>
        <w:tc>
          <w:tcPr>
            <w:tcW w:w="0" w:type="auto"/>
            <w:shd w:val="clear" w:color="auto" w:fill="CCEEFF"/>
            <w:tcMar>
              <w:top w:w="40" w:type="dxa"/>
              <w:left w:w="0" w:type="dxa"/>
              <w:bottom w:w="40" w:type="dxa"/>
              <w:right w:w="20" w:type="dxa"/>
            </w:tcMar>
            <w:vAlign w:val="bottom"/>
          </w:tcPr>
          <w:p w14:paraId="7B66FA0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0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06"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0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0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09" w14:textId="77777777" w:rsidR="0040300B" w:rsidRDefault="00BB2D44">
            <w:pPr>
              <w:jc w:val="right"/>
              <w:textAlignment w:val="bottom"/>
            </w:pPr>
            <w:r>
              <w:rPr>
                <w:rFonts w:ascii="Times New Roman" w:eastAsia="宋体" w:hAnsi="Times New Roman"/>
                <w:color w:val="000000"/>
                <w:sz w:val="20"/>
                <w:szCs w:val="20"/>
              </w:rPr>
              <w:t>2,685 </w:t>
            </w:r>
          </w:p>
        </w:tc>
        <w:tc>
          <w:tcPr>
            <w:tcW w:w="0" w:type="auto"/>
            <w:shd w:val="clear" w:color="auto" w:fill="CCEEFF"/>
            <w:tcMar>
              <w:top w:w="40" w:type="dxa"/>
              <w:left w:w="0" w:type="dxa"/>
              <w:bottom w:w="40" w:type="dxa"/>
              <w:right w:w="20" w:type="dxa"/>
            </w:tcMar>
            <w:vAlign w:val="bottom"/>
          </w:tcPr>
          <w:p w14:paraId="7B66FA0A" w14:textId="77777777" w:rsidR="0040300B" w:rsidRDefault="0040300B">
            <w:pPr>
              <w:jc w:val="right"/>
              <w:rPr>
                <w:rFonts w:ascii="宋体"/>
              </w:rPr>
            </w:pPr>
          </w:p>
        </w:tc>
      </w:tr>
      <w:tr w:rsidR="0040300B" w14:paraId="7B66FA24" w14:textId="77777777">
        <w:tc>
          <w:tcPr>
            <w:tcW w:w="0" w:type="auto"/>
            <w:gridSpan w:val="3"/>
            <w:shd w:val="clear" w:color="auto" w:fill="FFFFFF"/>
            <w:tcMar>
              <w:top w:w="40" w:type="dxa"/>
              <w:left w:w="380" w:type="dxa"/>
              <w:bottom w:w="40" w:type="dxa"/>
              <w:right w:w="20" w:type="dxa"/>
            </w:tcMar>
            <w:vAlign w:val="bottom"/>
          </w:tcPr>
          <w:p w14:paraId="7B66FA0C" w14:textId="77777777" w:rsidR="0040300B" w:rsidRDefault="00BB2D44">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7B66FA0D"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0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0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0" w14:textId="77777777" w:rsidR="0040300B" w:rsidRDefault="00BB2D44">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7B66FA1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1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1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1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6" w14:textId="77777777" w:rsidR="0040300B" w:rsidRDefault="00BB2D44">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7B66FA1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1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9"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1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1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C" w14:textId="77777777" w:rsidR="0040300B" w:rsidRDefault="00BB2D44">
            <w:pPr>
              <w:jc w:val="right"/>
              <w:textAlignment w:val="bottom"/>
            </w:pPr>
            <w:r>
              <w:rPr>
                <w:rFonts w:ascii="Times New Roman" w:eastAsia="宋体" w:hAnsi="Times New Roman"/>
                <w:color w:val="242424"/>
                <w:sz w:val="20"/>
                <w:szCs w:val="20"/>
              </w:rPr>
              <w:t>110 </w:t>
            </w:r>
          </w:p>
        </w:tc>
        <w:tc>
          <w:tcPr>
            <w:tcW w:w="0" w:type="auto"/>
            <w:shd w:val="clear" w:color="auto" w:fill="FFFFFF"/>
            <w:tcMar>
              <w:top w:w="40" w:type="dxa"/>
              <w:left w:w="0" w:type="dxa"/>
              <w:bottom w:w="40" w:type="dxa"/>
              <w:right w:w="20" w:type="dxa"/>
            </w:tcMar>
            <w:vAlign w:val="bottom"/>
          </w:tcPr>
          <w:p w14:paraId="7B66FA1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1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1F"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2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2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22" w14:textId="77777777" w:rsidR="0040300B" w:rsidRDefault="00BB2D44">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7B66FA23" w14:textId="77777777" w:rsidR="0040300B" w:rsidRDefault="0040300B">
            <w:pPr>
              <w:jc w:val="right"/>
              <w:rPr>
                <w:rFonts w:ascii="宋体"/>
              </w:rPr>
            </w:pPr>
          </w:p>
        </w:tc>
      </w:tr>
      <w:tr w:rsidR="0040300B" w14:paraId="7B66FA3D" w14:textId="77777777">
        <w:tc>
          <w:tcPr>
            <w:tcW w:w="0" w:type="auto"/>
            <w:gridSpan w:val="3"/>
            <w:shd w:val="clear" w:color="auto" w:fill="CCEEFF"/>
            <w:tcMar>
              <w:top w:w="40" w:type="dxa"/>
              <w:left w:w="380" w:type="dxa"/>
              <w:bottom w:w="40" w:type="dxa"/>
              <w:right w:w="20" w:type="dxa"/>
            </w:tcMar>
          </w:tcPr>
          <w:p w14:paraId="7B66FA25" w14:textId="77777777" w:rsidR="0040300B" w:rsidRDefault="00BB2D44">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7B66FA2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2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2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29"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FA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2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2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2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2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2F"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6FA3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3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32"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3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35"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3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3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38"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3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3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3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3C" w14:textId="77777777" w:rsidR="0040300B" w:rsidRDefault="0040300B">
            <w:pPr>
              <w:jc w:val="right"/>
              <w:rPr>
                <w:rFonts w:ascii="宋体"/>
              </w:rPr>
            </w:pPr>
          </w:p>
        </w:tc>
      </w:tr>
      <w:tr w:rsidR="0040300B" w14:paraId="7B66FA56" w14:textId="77777777">
        <w:tc>
          <w:tcPr>
            <w:tcW w:w="0" w:type="auto"/>
            <w:gridSpan w:val="3"/>
            <w:shd w:val="clear" w:color="auto" w:fill="FFFFFF"/>
            <w:tcMar>
              <w:top w:w="40" w:type="dxa"/>
              <w:left w:w="380" w:type="dxa"/>
              <w:bottom w:w="40" w:type="dxa"/>
              <w:right w:w="20" w:type="dxa"/>
            </w:tcMar>
          </w:tcPr>
          <w:p w14:paraId="7B66FA3E" w14:textId="77777777" w:rsidR="0040300B" w:rsidRDefault="00BB2D44">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B66FA3F"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4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42" w14:textId="77777777" w:rsidR="0040300B" w:rsidRDefault="00BB2D44">
            <w:pPr>
              <w:jc w:val="right"/>
              <w:textAlignment w:val="bottom"/>
            </w:pPr>
            <w:r>
              <w:rPr>
                <w:rFonts w:ascii="Times New Roman" w:eastAsia="宋体" w:hAnsi="Times New Roman"/>
                <w:color w:val="000000"/>
                <w:sz w:val="20"/>
                <w:szCs w:val="20"/>
              </w:rPr>
              <w:t>9,512 </w:t>
            </w:r>
          </w:p>
        </w:tc>
        <w:tc>
          <w:tcPr>
            <w:tcW w:w="0" w:type="auto"/>
            <w:shd w:val="clear" w:color="auto" w:fill="FFFFFF"/>
            <w:tcMar>
              <w:top w:w="40" w:type="dxa"/>
              <w:left w:w="0" w:type="dxa"/>
              <w:bottom w:w="40" w:type="dxa"/>
              <w:right w:w="20" w:type="dxa"/>
            </w:tcMar>
            <w:vAlign w:val="bottom"/>
          </w:tcPr>
          <w:p w14:paraId="7B66FA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4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45"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4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4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48" w14:textId="77777777" w:rsidR="0040300B" w:rsidRDefault="00BB2D44">
            <w:pPr>
              <w:jc w:val="right"/>
              <w:textAlignment w:val="bottom"/>
            </w:pPr>
            <w:r>
              <w:rPr>
                <w:rFonts w:ascii="Times New Roman" w:eastAsia="宋体" w:hAnsi="Times New Roman"/>
                <w:color w:val="000000"/>
                <w:sz w:val="20"/>
                <w:szCs w:val="20"/>
              </w:rPr>
              <w:t>9,512 </w:t>
            </w:r>
          </w:p>
        </w:tc>
        <w:tc>
          <w:tcPr>
            <w:tcW w:w="0" w:type="auto"/>
            <w:shd w:val="clear" w:color="auto" w:fill="FFFFFF"/>
            <w:tcMar>
              <w:top w:w="40" w:type="dxa"/>
              <w:left w:w="0" w:type="dxa"/>
              <w:bottom w:w="40" w:type="dxa"/>
              <w:right w:w="20" w:type="dxa"/>
            </w:tcMar>
            <w:vAlign w:val="bottom"/>
          </w:tcPr>
          <w:p w14:paraId="7B66FA4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4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4B"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4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4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4E" w14:textId="77777777" w:rsidR="0040300B" w:rsidRDefault="00BB2D44">
            <w:pPr>
              <w:jc w:val="right"/>
              <w:textAlignment w:val="bottom"/>
            </w:pPr>
            <w:r>
              <w:rPr>
                <w:rFonts w:ascii="Times New Roman" w:eastAsia="宋体" w:hAnsi="Times New Roman"/>
                <w:color w:val="242424"/>
                <w:sz w:val="20"/>
                <w:szCs w:val="20"/>
              </w:rPr>
              <w:t>11,877 </w:t>
            </w:r>
          </w:p>
        </w:tc>
        <w:tc>
          <w:tcPr>
            <w:tcW w:w="0" w:type="auto"/>
            <w:shd w:val="clear" w:color="auto" w:fill="FFFFFF"/>
            <w:tcMar>
              <w:top w:w="40" w:type="dxa"/>
              <w:left w:w="0" w:type="dxa"/>
              <w:bottom w:w="40" w:type="dxa"/>
              <w:right w:w="20" w:type="dxa"/>
            </w:tcMar>
            <w:vAlign w:val="bottom"/>
          </w:tcPr>
          <w:p w14:paraId="7B66FA4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5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51"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5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5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54" w14:textId="77777777" w:rsidR="0040300B" w:rsidRDefault="00BB2D44">
            <w:pPr>
              <w:jc w:val="right"/>
              <w:textAlignment w:val="bottom"/>
            </w:pPr>
            <w:r>
              <w:rPr>
                <w:rFonts w:ascii="Times New Roman" w:eastAsia="宋体" w:hAnsi="Times New Roman"/>
                <w:color w:val="000000"/>
                <w:sz w:val="20"/>
                <w:szCs w:val="20"/>
              </w:rPr>
              <w:t>11,877 </w:t>
            </w:r>
          </w:p>
        </w:tc>
        <w:tc>
          <w:tcPr>
            <w:tcW w:w="0" w:type="auto"/>
            <w:shd w:val="clear" w:color="auto" w:fill="FFFFFF"/>
            <w:tcMar>
              <w:top w:w="40" w:type="dxa"/>
              <w:left w:w="0" w:type="dxa"/>
              <w:bottom w:w="40" w:type="dxa"/>
              <w:right w:w="20" w:type="dxa"/>
            </w:tcMar>
            <w:vAlign w:val="bottom"/>
          </w:tcPr>
          <w:p w14:paraId="7B66FA55" w14:textId="77777777" w:rsidR="0040300B" w:rsidRDefault="0040300B">
            <w:pPr>
              <w:jc w:val="right"/>
              <w:rPr>
                <w:rFonts w:ascii="宋体"/>
              </w:rPr>
            </w:pPr>
          </w:p>
        </w:tc>
      </w:tr>
      <w:tr w:rsidR="0040300B" w14:paraId="7B66FA6F" w14:textId="77777777">
        <w:tc>
          <w:tcPr>
            <w:tcW w:w="0" w:type="auto"/>
            <w:gridSpan w:val="3"/>
            <w:shd w:val="clear" w:color="auto" w:fill="CCEEFF"/>
            <w:tcMar>
              <w:top w:w="40" w:type="dxa"/>
              <w:left w:w="380" w:type="dxa"/>
              <w:bottom w:w="40" w:type="dxa"/>
              <w:right w:w="20" w:type="dxa"/>
            </w:tcMar>
          </w:tcPr>
          <w:p w14:paraId="7B66FA57" w14:textId="77777777" w:rsidR="0040300B" w:rsidRDefault="00BB2D4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7B66FA5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5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5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5B" w14:textId="77777777" w:rsidR="0040300B" w:rsidRDefault="00BB2D44">
            <w:pPr>
              <w:jc w:val="right"/>
              <w:textAlignment w:val="bottom"/>
            </w:pPr>
            <w:r>
              <w:rPr>
                <w:rFonts w:ascii="Times New Roman" w:eastAsia="宋体" w:hAnsi="Times New Roman"/>
                <w:color w:val="000000"/>
                <w:sz w:val="20"/>
                <w:szCs w:val="20"/>
              </w:rPr>
              <w:t>2,810 </w:t>
            </w:r>
          </w:p>
        </w:tc>
        <w:tc>
          <w:tcPr>
            <w:tcW w:w="0" w:type="auto"/>
            <w:shd w:val="clear" w:color="auto" w:fill="CCEEFF"/>
            <w:tcMar>
              <w:top w:w="40" w:type="dxa"/>
              <w:left w:w="0" w:type="dxa"/>
              <w:bottom w:w="40" w:type="dxa"/>
              <w:right w:w="20" w:type="dxa"/>
            </w:tcMar>
            <w:vAlign w:val="bottom"/>
          </w:tcPr>
          <w:p w14:paraId="7B66FA5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5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5E"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5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6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61" w14:textId="77777777" w:rsidR="0040300B" w:rsidRDefault="00BB2D44">
            <w:pPr>
              <w:jc w:val="right"/>
              <w:textAlignment w:val="bottom"/>
            </w:pPr>
            <w:r>
              <w:rPr>
                <w:rFonts w:ascii="Times New Roman" w:eastAsia="宋体" w:hAnsi="Times New Roman"/>
                <w:color w:val="000000"/>
                <w:sz w:val="20"/>
                <w:szCs w:val="20"/>
              </w:rPr>
              <w:t>2,810 </w:t>
            </w:r>
          </w:p>
        </w:tc>
        <w:tc>
          <w:tcPr>
            <w:tcW w:w="0" w:type="auto"/>
            <w:shd w:val="clear" w:color="auto" w:fill="CCEEFF"/>
            <w:tcMar>
              <w:top w:w="40" w:type="dxa"/>
              <w:left w:w="0" w:type="dxa"/>
              <w:bottom w:w="40" w:type="dxa"/>
              <w:right w:w="20" w:type="dxa"/>
            </w:tcMar>
            <w:vAlign w:val="bottom"/>
          </w:tcPr>
          <w:p w14:paraId="7B66FA6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6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64"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6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6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67" w14:textId="77777777" w:rsidR="0040300B" w:rsidRDefault="00BB2D44">
            <w:pPr>
              <w:jc w:val="right"/>
              <w:textAlignment w:val="bottom"/>
            </w:pPr>
            <w:r>
              <w:rPr>
                <w:rFonts w:ascii="Times New Roman" w:eastAsia="宋体" w:hAnsi="Times New Roman"/>
                <w:color w:val="242424"/>
                <w:sz w:val="20"/>
                <w:szCs w:val="20"/>
              </w:rPr>
              <w:t>2,035 </w:t>
            </w:r>
          </w:p>
        </w:tc>
        <w:tc>
          <w:tcPr>
            <w:tcW w:w="0" w:type="auto"/>
            <w:shd w:val="clear" w:color="auto" w:fill="CCEEFF"/>
            <w:tcMar>
              <w:top w:w="40" w:type="dxa"/>
              <w:left w:w="0" w:type="dxa"/>
              <w:bottom w:w="40" w:type="dxa"/>
              <w:right w:w="20" w:type="dxa"/>
            </w:tcMar>
            <w:vAlign w:val="bottom"/>
          </w:tcPr>
          <w:p w14:paraId="7B66FA6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6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6A"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7B66FA6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6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6D" w14:textId="77777777" w:rsidR="0040300B" w:rsidRDefault="00BB2D44">
            <w:pPr>
              <w:jc w:val="right"/>
              <w:textAlignment w:val="bottom"/>
            </w:pPr>
            <w:r>
              <w:rPr>
                <w:rFonts w:ascii="Times New Roman" w:eastAsia="宋体" w:hAnsi="Times New Roman"/>
                <w:color w:val="000000"/>
                <w:sz w:val="20"/>
                <w:szCs w:val="20"/>
              </w:rPr>
              <w:t>2,035 </w:t>
            </w:r>
          </w:p>
        </w:tc>
        <w:tc>
          <w:tcPr>
            <w:tcW w:w="0" w:type="auto"/>
            <w:shd w:val="clear" w:color="auto" w:fill="CCEEFF"/>
            <w:tcMar>
              <w:top w:w="40" w:type="dxa"/>
              <w:left w:w="0" w:type="dxa"/>
              <w:bottom w:w="40" w:type="dxa"/>
              <w:right w:w="20" w:type="dxa"/>
            </w:tcMar>
            <w:vAlign w:val="bottom"/>
          </w:tcPr>
          <w:p w14:paraId="7B66FA6E" w14:textId="77777777" w:rsidR="0040300B" w:rsidRDefault="0040300B">
            <w:pPr>
              <w:jc w:val="right"/>
              <w:rPr>
                <w:rFonts w:ascii="宋体"/>
              </w:rPr>
            </w:pPr>
          </w:p>
        </w:tc>
      </w:tr>
      <w:tr w:rsidR="0040300B" w14:paraId="7B66FA88" w14:textId="77777777">
        <w:tc>
          <w:tcPr>
            <w:tcW w:w="0" w:type="auto"/>
            <w:gridSpan w:val="3"/>
            <w:shd w:val="clear" w:color="auto" w:fill="FFFFFF"/>
            <w:tcMar>
              <w:top w:w="40" w:type="dxa"/>
              <w:left w:w="380" w:type="dxa"/>
              <w:bottom w:w="40" w:type="dxa"/>
              <w:right w:w="20" w:type="dxa"/>
            </w:tcMar>
          </w:tcPr>
          <w:p w14:paraId="7B66FA70" w14:textId="77777777" w:rsidR="0040300B" w:rsidRDefault="00BB2D44">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7B66FA71"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7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7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74" w14:textId="77777777" w:rsidR="0040300B" w:rsidRDefault="00BB2D44">
            <w:pPr>
              <w:jc w:val="right"/>
              <w:textAlignment w:val="bottom"/>
            </w:pPr>
            <w:r>
              <w:rPr>
                <w:rFonts w:ascii="Times New Roman" w:eastAsia="宋体" w:hAnsi="Times New Roman"/>
                <w:color w:val="000000"/>
                <w:sz w:val="20"/>
                <w:szCs w:val="20"/>
              </w:rPr>
              <w:t>1,333 </w:t>
            </w:r>
          </w:p>
        </w:tc>
        <w:tc>
          <w:tcPr>
            <w:tcW w:w="0" w:type="auto"/>
            <w:shd w:val="clear" w:color="auto" w:fill="FFFFFF"/>
            <w:tcMar>
              <w:top w:w="40" w:type="dxa"/>
              <w:left w:w="0" w:type="dxa"/>
              <w:bottom w:w="40" w:type="dxa"/>
              <w:right w:w="20" w:type="dxa"/>
            </w:tcMar>
            <w:vAlign w:val="bottom"/>
          </w:tcPr>
          <w:p w14:paraId="7B66FA7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7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77"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A7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7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7A" w14:textId="77777777" w:rsidR="0040300B" w:rsidRDefault="00BB2D44">
            <w:pPr>
              <w:jc w:val="right"/>
              <w:textAlignment w:val="bottom"/>
            </w:pPr>
            <w:r>
              <w:rPr>
                <w:rFonts w:ascii="Times New Roman" w:eastAsia="宋体" w:hAnsi="Times New Roman"/>
                <w:color w:val="000000"/>
                <w:sz w:val="20"/>
                <w:szCs w:val="20"/>
              </w:rPr>
              <w:t>1,333 </w:t>
            </w:r>
          </w:p>
        </w:tc>
        <w:tc>
          <w:tcPr>
            <w:tcW w:w="0" w:type="auto"/>
            <w:shd w:val="clear" w:color="auto" w:fill="FFFFFF"/>
            <w:tcMar>
              <w:top w:w="40" w:type="dxa"/>
              <w:left w:w="0" w:type="dxa"/>
              <w:bottom w:w="40" w:type="dxa"/>
              <w:right w:w="20" w:type="dxa"/>
            </w:tcMar>
            <w:vAlign w:val="bottom"/>
          </w:tcPr>
          <w:p w14:paraId="7B66FA7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7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7D"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7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7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80" w14:textId="77777777" w:rsidR="0040300B" w:rsidRDefault="00BB2D44">
            <w:pPr>
              <w:jc w:val="right"/>
              <w:textAlignment w:val="bottom"/>
            </w:pPr>
            <w:r>
              <w:rPr>
                <w:rFonts w:ascii="Times New Roman" w:eastAsia="宋体" w:hAnsi="Times New Roman"/>
                <w:color w:val="242424"/>
                <w:sz w:val="20"/>
                <w:szCs w:val="20"/>
              </w:rPr>
              <w:t>727 </w:t>
            </w:r>
          </w:p>
        </w:tc>
        <w:tc>
          <w:tcPr>
            <w:tcW w:w="0" w:type="auto"/>
            <w:shd w:val="clear" w:color="auto" w:fill="FFFFFF"/>
            <w:tcMar>
              <w:top w:w="40" w:type="dxa"/>
              <w:left w:w="0" w:type="dxa"/>
              <w:bottom w:w="40" w:type="dxa"/>
              <w:right w:w="20" w:type="dxa"/>
            </w:tcMar>
            <w:vAlign w:val="bottom"/>
          </w:tcPr>
          <w:p w14:paraId="7B66FA8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83" w14:textId="77777777" w:rsidR="0040300B" w:rsidRDefault="00BB2D4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7B66FA8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8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A86" w14:textId="77777777" w:rsidR="0040300B" w:rsidRDefault="00BB2D44">
            <w:pPr>
              <w:jc w:val="right"/>
              <w:textAlignment w:val="bottom"/>
            </w:pPr>
            <w:r>
              <w:rPr>
                <w:rFonts w:ascii="Times New Roman" w:eastAsia="宋体" w:hAnsi="Times New Roman"/>
                <w:color w:val="000000"/>
                <w:sz w:val="20"/>
                <w:szCs w:val="20"/>
              </w:rPr>
              <w:t>727 </w:t>
            </w:r>
          </w:p>
        </w:tc>
        <w:tc>
          <w:tcPr>
            <w:tcW w:w="0" w:type="auto"/>
            <w:shd w:val="clear" w:color="auto" w:fill="FFFFFF"/>
            <w:tcMar>
              <w:top w:w="40" w:type="dxa"/>
              <w:left w:w="0" w:type="dxa"/>
              <w:bottom w:w="40" w:type="dxa"/>
              <w:right w:w="20" w:type="dxa"/>
            </w:tcMar>
            <w:vAlign w:val="bottom"/>
          </w:tcPr>
          <w:p w14:paraId="7B66FA87" w14:textId="77777777" w:rsidR="0040300B" w:rsidRDefault="0040300B">
            <w:pPr>
              <w:jc w:val="right"/>
              <w:rPr>
                <w:rFonts w:ascii="宋体"/>
              </w:rPr>
            </w:pPr>
          </w:p>
        </w:tc>
      </w:tr>
      <w:tr w:rsidR="0040300B" w14:paraId="7B66FAA1" w14:textId="77777777">
        <w:tc>
          <w:tcPr>
            <w:tcW w:w="0" w:type="auto"/>
            <w:gridSpan w:val="3"/>
            <w:shd w:val="clear" w:color="auto" w:fill="CCEEFF"/>
            <w:tcMar>
              <w:top w:w="40" w:type="dxa"/>
              <w:left w:w="380" w:type="dxa"/>
              <w:bottom w:w="40" w:type="dxa"/>
              <w:right w:w="20" w:type="dxa"/>
            </w:tcMar>
          </w:tcPr>
          <w:p w14:paraId="7B66FA89" w14:textId="77777777" w:rsidR="0040300B" w:rsidRDefault="00BB2D44">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7B66FA8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8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8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8D" w14:textId="77777777" w:rsidR="0040300B" w:rsidRDefault="00BB2D44">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7B66FA8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8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9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9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3" w14:textId="77777777" w:rsidR="0040300B" w:rsidRDefault="00BB2D44">
            <w:pPr>
              <w:jc w:val="right"/>
              <w:textAlignment w:val="bottom"/>
            </w:pPr>
            <w:r>
              <w:rPr>
                <w:rFonts w:ascii="Times New Roman" w:eastAsia="宋体" w:hAnsi="Times New Roman"/>
                <w:color w:val="000000"/>
                <w:sz w:val="20"/>
                <w:szCs w:val="20"/>
              </w:rPr>
              <w:t>440 </w:t>
            </w:r>
          </w:p>
        </w:tc>
        <w:tc>
          <w:tcPr>
            <w:tcW w:w="0" w:type="auto"/>
            <w:shd w:val="clear" w:color="auto" w:fill="CCEEFF"/>
            <w:tcMar>
              <w:top w:w="40" w:type="dxa"/>
              <w:left w:w="0" w:type="dxa"/>
              <w:bottom w:w="40" w:type="dxa"/>
              <w:right w:w="20" w:type="dxa"/>
            </w:tcMar>
            <w:vAlign w:val="bottom"/>
          </w:tcPr>
          <w:p w14:paraId="7B66FA9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9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9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9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9" w14:textId="77777777" w:rsidR="0040300B" w:rsidRDefault="00BB2D44">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7B66FA9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9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C"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9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9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9F" w14:textId="77777777" w:rsidR="0040300B" w:rsidRDefault="00BB2D44">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7B66FAA0" w14:textId="77777777" w:rsidR="0040300B" w:rsidRDefault="0040300B">
            <w:pPr>
              <w:jc w:val="right"/>
              <w:rPr>
                <w:rFonts w:ascii="宋体"/>
              </w:rPr>
            </w:pPr>
          </w:p>
        </w:tc>
      </w:tr>
      <w:tr w:rsidR="0040300B" w14:paraId="7B66FAB2" w14:textId="77777777">
        <w:tc>
          <w:tcPr>
            <w:tcW w:w="0" w:type="auto"/>
            <w:gridSpan w:val="3"/>
            <w:shd w:val="clear" w:color="auto" w:fill="FFFFFF"/>
            <w:tcMar>
              <w:top w:w="40" w:type="dxa"/>
              <w:left w:w="20" w:type="dxa"/>
              <w:bottom w:w="40" w:type="dxa"/>
              <w:right w:w="20" w:type="dxa"/>
            </w:tcMar>
          </w:tcPr>
          <w:p w14:paraId="7B66FAA2" w14:textId="77777777" w:rsidR="0040300B" w:rsidRDefault="00BB2D44">
            <w:pPr>
              <w:textAlignment w:val="top"/>
            </w:pPr>
            <w:r>
              <w:rPr>
                <w:rFonts w:ascii="Times New Roman" w:eastAsia="宋体" w:hAnsi="Times New Roman"/>
                <w:color w:val="000000"/>
                <w:sz w:val="20"/>
                <w:szCs w:val="20"/>
              </w:rPr>
              <w:t>Equity investments:</w:t>
            </w:r>
          </w:p>
        </w:tc>
        <w:tc>
          <w:tcPr>
            <w:tcW w:w="0" w:type="auto"/>
            <w:gridSpan w:val="3"/>
            <w:shd w:val="clear" w:color="auto" w:fill="FFFFFF"/>
            <w:tcMar>
              <w:top w:w="0" w:type="dxa"/>
              <w:left w:w="20" w:type="dxa"/>
              <w:bottom w:w="0" w:type="dxa"/>
              <w:right w:w="20" w:type="dxa"/>
            </w:tcMar>
          </w:tcPr>
          <w:p w14:paraId="7B66FAA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A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B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B1" w14:textId="77777777" w:rsidR="0040300B" w:rsidRDefault="0040300B">
            <w:pPr>
              <w:rPr>
                <w:rFonts w:ascii="宋体"/>
              </w:rPr>
            </w:pPr>
          </w:p>
        </w:tc>
      </w:tr>
      <w:tr w:rsidR="0040300B" w14:paraId="7B66FACB" w14:textId="77777777">
        <w:tc>
          <w:tcPr>
            <w:tcW w:w="0" w:type="auto"/>
            <w:gridSpan w:val="3"/>
            <w:shd w:val="clear" w:color="auto" w:fill="CCEEFF"/>
            <w:tcMar>
              <w:top w:w="40" w:type="dxa"/>
              <w:left w:w="380" w:type="dxa"/>
              <w:bottom w:w="40" w:type="dxa"/>
              <w:right w:w="20" w:type="dxa"/>
            </w:tcMar>
          </w:tcPr>
          <w:p w14:paraId="7B66FAB3" w14:textId="77777777" w:rsidR="0040300B" w:rsidRDefault="00BB2D44">
            <w:pPr>
              <w:textAlignment w:val="top"/>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7B66FAB4"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6FAB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B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B7"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B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B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B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B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BD"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6FA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B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C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C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C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C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C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C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C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CA" w14:textId="77777777" w:rsidR="0040300B" w:rsidRDefault="0040300B">
            <w:pPr>
              <w:jc w:val="right"/>
              <w:rPr>
                <w:rFonts w:ascii="宋体"/>
              </w:rPr>
            </w:pPr>
          </w:p>
        </w:tc>
      </w:tr>
      <w:tr w:rsidR="0040300B" w14:paraId="7B66FADC" w14:textId="77777777">
        <w:tc>
          <w:tcPr>
            <w:tcW w:w="0" w:type="auto"/>
            <w:gridSpan w:val="3"/>
            <w:shd w:val="clear" w:color="auto" w:fill="FFFFFF"/>
            <w:tcMar>
              <w:top w:w="40" w:type="dxa"/>
              <w:left w:w="20" w:type="dxa"/>
              <w:bottom w:w="40" w:type="dxa"/>
              <w:right w:w="20" w:type="dxa"/>
            </w:tcMar>
          </w:tcPr>
          <w:p w14:paraId="7B66FACC" w14:textId="77777777" w:rsidR="0040300B" w:rsidRDefault="00BB2D44">
            <w:pPr>
              <w:textAlignment w:val="top"/>
            </w:pPr>
            <w:r>
              <w:rPr>
                <w:rFonts w:ascii="Times New Roman" w:eastAsia="宋体" w:hAnsi="Times New Roman"/>
                <w:color w:val="000000"/>
                <w:sz w:val="20"/>
                <w:szCs w:val="20"/>
              </w:rPr>
              <w:t>Assets:</w:t>
            </w:r>
          </w:p>
        </w:tc>
        <w:tc>
          <w:tcPr>
            <w:tcW w:w="0" w:type="auto"/>
            <w:gridSpan w:val="3"/>
            <w:shd w:val="clear" w:color="auto" w:fill="FFFFFF"/>
            <w:tcMar>
              <w:top w:w="0" w:type="dxa"/>
              <w:left w:w="20" w:type="dxa"/>
              <w:bottom w:w="0" w:type="dxa"/>
              <w:right w:w="20" w:type="dxa"/>
            </w:tcMar>
          </w:tcPr>
          <w:p w14:paraId="7B66FAC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C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C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ADB" w14:textId="77777777" w:rsidR="0040300B" w:rsidRDefault="0040300B">
            <w:pPr>
              <w:rPr>
                <w:rFonts w:ascii="宋体"/>
              </w:rPr>
            </w:pPr>
          </w:p>
        </w:tc>
      </w:tr>
      <w:tr w:rsidR="0040300B" w14:paraId="7B66FAF5" w14:textId="77777777">
        <w:tc>
          <w:tcPr>
            <w:tcW w:w="0" w:type="auto"/>
            <w:gridSpan w:val="3"/>
            <w:shd w:val="clear" w:color="auto" w:fill="CCEEFF"/>
            <w:tcMar>
              <w:top w:w="40" w:type="dxa"/>
              <w:left w:w="380" w:type="dxa"/>
              <w:bottom w:w="40" w:type="dxa"/>
              <w:right w:w="20" w:type="dxa"/>
            </w:tcMar>
          </w:tcPr>
          <w:p w14:paraId="7B66FADD" w14:textId="77777777" w:rsidR="0040300B" w:rsidRDefault="00BB2D44">
            <w:pPr>
              <w:textAlignment w:val="top"/>
            </w:pPr>
            <w:r>
              <w:rPr>
                <w:rFonts w:ascii="Times New Roman" w:eastAsia="宋体" w:hAnsi="Times New Roman"/>
                <w:color w:val="000000"/>
                <w:sz w:val="20"/>
                <w:szCs w:val="20"/>
              </w:rPr>
              <w:t>Derivative assets</w:t>
            </w:r>
          </w:p>
        </w:tc>
        <w:tc>
          <w:tcPr>
            <w:tcW w:w="0" w:type="auto"/>
            <w:gridSpan w:val="2"/>
            <w:shd w:val="clear" w:color="auto" w:fill="CCEEFF"/>
            <w:tcMar>
              <w:top w:w="40" w:type="dxa"/>
              <w:left w:w="20" w:type="dxa"/>
              <w:bottom w:w="40" w:type="dxa"/>
              <w:right w:w="0" w:type="dxa"/>
            </w:tcMar>
            <w:vAlign w:val="bottom"/>
          </w:tcPr>
          <w:p w14:paraId="7B66FADE"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E1" w14:textId="77777777" w:rsidR="0040300B" w:rsidRDefault="00BB2D44">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7B66FA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E4"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6FAE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E7" w14:textId="77777777" w:rsidR="0040300B" w:rsidRDefault="00BB2D44">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left w:w="0" w:type="dxa"/>
              <w:bottom w:w="40" w:type="dxa"/>
              <w:right w:w="20" w:type="dxa"/>
            </w:tcMar>
            <w:vAlign w:val="bottom"/>
          </w:tcPr>
          <w:p w14:paraId="7B66FAE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E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AE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ED" w14:textId="77777777" w:rsidR="0040300B" w:rsidRDefault="00BB2D44">
            <w:pPr>
              <w:jc w:val="right"/>
              <w:textAlignment w:val="bottom"/>
            </w:pPr>
            <w:r>
              <w:rPr>
                <w:rFonts w:ascii="Times New Roman" w:eastAsia="宋体" w:hAnsi="Times New Roman"/>
                <w:color w:val="000000"/>
                <w:sz w:val="20"/>
                <w:szCs w:val="20"/>
              </w:rPr>
              <w:t>190 </w:t>
            </w:r>
          </w:p>
        </w:tc>
        <w:tc>
          <w:tcPr>
            <w:tcW w:w="0" w:type="auto"/>
            <w:shd w:val="clear" w:color="auto" w:fill="CCEEFF"/>
            <w:tcMar>
              <w:top w:w="40" w:type="dxa"/>
              <w:left w:w="0" w:type="dxa"/>
              <w:bottom w:w="40" w:type="dxa"/>
              <w:right w:w="20" w:type="dxa"/>
            </w:tcMar>
            <w:vAlign w:val="bottom"/>
          </w:tcPr>
          <w:p w14:paraId="7B66FA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E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F0"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B66FAF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AF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AF3" w14:textId="77777777" w:rsidR="0040300B" w:rsidRDefault="00BB2D44">
            <w:pPr>
              <w:jc w:val="right"/>
              <w:textAlignment w:val="bottom"/>
            </w:pPr>
            <w:r>
              <w:rPr>
                <w:rFonts w:ascii="Times New Roman" w:eastAsia="宋体" w:hAnsi="Times New Roman"/>
                <w:color w:val="000000"/>
                <w:sz w:val="20"/>
                <w:szCs w:val="20"/>
              </w:rPr>
              <w:t>191 </w:t>
            </w:r>
          </w:p>
        </w:tc>
        <w:tc>
          <w:tcPr>
            <w:tcW w:w="0" w:type="auto"/>
            <w:shd w:val="clear" w:color="auto" w:fill="CCEEFF"/>
            <w:tcMar>
              <w:top w:w="40" w:type="dxa"/>
              <w:left w:w="0" w:type="dxa"/>
              <w:bottom w:w="40" w:type="dxa"/>
              <w:right w:w="20" w:type="dxa"/>
            </w:tcMar>
            <w:vAlign w:val="bottom"/>
          </w:tcPr>
          <w:p w14:paraId="7B66FAF4" w14:textId="77777777" w:rsidR="0040300B" w:rsidRDefault="0040300B">
            <w:pPr>
              <w:jc w:val="right"/>
              <w:rPr>
                <w:rFonts w:ascii="宋体"/>
              </w:rPr>
            </w:pPr>
          </w:p>
        </w:tc>
      </w:tr>
      <w:tr w:rsidR="0040300B" w14:paraId="7B66FB16" w14:textId="77777777">
        <w:tc>
          <w:tcPr>
            <w:tcW w:w="0" w:type="auto"/>
            <w:gridSpan w:val="3"/>
            <w:shd w:val="clear" w:color="auto" w:fill="FFFFFF"/>
            <w:tcMar>
              <w:top w:w="40" w:type="dxa"/>
              <w:left w:w="740" w:type="dxa"/>
              <w:bottom w:w="40" w:type="dxa"/>
              <w:right w:w="20" w:type="dxa"/>
            </w:tcMar>
          </w:tcPr>
          <w:p w14:paraId="7B66FAF6"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B66FAF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AF8" w14:textId="77777777" w:rsidR="0040300B" w:rsidRDefault="00BB2D44">
            <w:pPr>
              <w:jc w:val="right"/>
              <w:textAlignment w:val="bottom"/>
            </w:pPr>
            <w:r>
              <w:rPr>
                <w:rFonts w:ascii="Times New Roman" w:eastAsia="宋体" w:hAnsi="Times New Roman"/>
                <w:color w:val="000000"/>
                <w:sz w:val="20"/>
                <w:szCs w:val="20"/>
              </w:rPr>
              <w:t>4,759 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AF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FA"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AF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AFC" w14:textId="77777777" w:rsidR="0040300B" w:rsidRDefault="00BB2D44">
            <w:pPr>
              <w:jc w:val="right"/>
              <w:textAlignment w:val="bottom"/>
            </w:pPr>
            <w:r>
              <w:rPr>
                <w:rFonts w:ascii="Times New Roman" w:eastAsia="宋体" w:hAnsi="Times New Roman"/>
                <w:color w:val="000000"/>
                <w:sz w:val="20"/>
                <w:szCs w:val="20"/>
              </w:rPr>
              <w:t>16,402 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AF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AFE"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AF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00" w14:textId="77777777" w:rsidR="0040300B" w:rsidRDefault="00BB2D44">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0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02"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B0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04" w14:textId="77777777" w:rsidR="0040300B" w:rsidRDefault="00BB2D44">
            <w:pPr>
              <w:jc w:val="right"/>
              <w:textAlignment w:val="bottom"/>
            </w:pPr>
            <w:r>
              <w:rPr>
                <w:rFonts w:ascii="Times New Roman" w:eastAsia="宋体" w:hAnsi="Times New Roman"/>
                <w:color w:val="000000"/>
                <w:sz w:val="20"/>
                <w:szCs w:val="20"/>
              </w:rPr>
              <w:t>21,167 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0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06"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B0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08" w14:textId="77777777" w:rsidR="0040300B" w:rsidRDefault="00BB2D44">
            <w:pPr>
              <w:jc w:val="right"/>
              <w:textAlignment w:val="bottom"/>
            </w:pPr>
            <w:r>
              <w:rPr>
                <w:rFonts w:ascii="Times New Roman" w:eastAsia="宋体" w:hAnsi="Times New Roman"/>
                <w:color w:val="000000"/>
                <w:sz w:val="20"/>
                <w:szCs w:val="20"/>
              </w:rPr>
              <w:t>10,024 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0A"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B0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0C" w14:textId="77777777" w:rsidR="0040300B" w:rsidRDefault="00BB2D44">
            <w:pPr>
              <w:jc w:val="right"/>
              <w:textAlignment w:val="bottom"/>
            </w:pPr>
            <w:r>
              <w:rPr>
                <w:rFonts w:ascii="Times New Roman" w:eastAsia="宋体" w:hAnsi="Times New Roman"/>
                <w:color w:val="000000"/>
                <w:sz w:val="20"/>
                <w:szCs w:val="20"/>
              </w:rPr>
              <w:t>17,808 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0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0E"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B0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10" w14:textId="77777777" w:rsidR="0040300B" w:rsidRDefault="00BB2D44">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1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12"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B1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B14" w14:textId="77777777" w:rsidR="0040300B" w:rsidRDefault="00BB2D44">
            <w:pPr>
              <w:jc w:val="right"/>
              <w:textAlignment w:val="bottom"/>
            </w:pPr>
            <w:r>
              <w:rPr>
                <w:rFonts w:ascii="Times New Roman" w:eastAsia="宋体" w:hAnsi="Times New Roman"/>
                <w:color w:val="000000"/>
                <w:sz w:val="20"/>
                <w:szCs w:val="20"/>
              </w:rPr>
              <w:t>27,833 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B15" w14:textId="77777777" w:rsidR="0040300B" w:rsidRDefault="0040300B">
            <w:pPr>
              <w:jc w:val="right"/>
              <w:rPr>
                <w:rFonts w:ascii="宋体"/>
              </w:rPr>
            </w:pPr>
          </w:p>
        </w:tc>
      </w:tr>
      <w:tr w:rsidR="0040300B" w14:paraId="7B66FB27" w14:textId="77777777">
        <w:tc>
          <w:tcPr>
            <w:tcW w:w="0" w:type="auto"/>
            <w:gridSpan w:val="3"/>
            <w:shd w:val="clear" w:color="auto" w:fill="CCEEFF"/>
            <w:tcMar>
              <w:top w:w="40" w:type="dxa"/>
              <w:left w:w="20" w:type="dxa"/>
              <w:bottom w:w="40" w:type="dxa"/>
              <w:right w:w="20" w:type="dxa"/>
            </w:tcMar>
          </w:tcPr>
          <w:p w14:paraId="7B66FB17" w14:textId="77777777" w:rsidR="0040300B" w:rsidRDefault="00BB2D44">
            <w:pPr>
              <w:textAlignment w:val="top"/>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tcPr>
          <w:p w14:paraId="7B66FB1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1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1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1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1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1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1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1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2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2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2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2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2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2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26" w14:textId="77777777" w:rsidR="0040300B" w:rsidRDefault="0040300B">
            <w:pPr>
              <w:rPr>
                <w:rFonts w:ascii="宋体"/>
              </w:rPr>
            </w:pPr>
          </w:p>
        </w:tc>
      </w:tr>
      <w:tr w:rsidR="0040300B" w14:paraId="7B66FB48" w14:textId="77777777">
        <w:tc>
          <w:tcPr>
            <w:tcW w:w="0" w:type="auto"/>
            <w:gridSpan w:val="3"/>
            <w:shd w:val="clear" w:color="auto" w:fill="FFFFFF"/>
            <w:tcMar>
              <w:top w:w="40" w:type="dxa"/>
              <w:left w:w="380" w:type="dxa"/>
              <w:bottom w:w="40" w:type="dxa"/>
              <w:right w:w="20" w:type="dxa"/>
            </w:tcMar>
          </w:tcPr>
          <w:p w14:paraId="7B66FB28" w14:textId="77777777" w:rsidR="0040300B" w:rsidRDefault="00BB2D44">
            <w:pPr>
              <w:textAlignment w:val="top"/>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7B66FB2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2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B2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2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2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2E"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6FB2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3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3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3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B3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3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3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36"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6FB3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3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3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3A"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B3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3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3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3E"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B66FB3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4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4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4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B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B4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B4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B46"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B66FB47" w14:textId="77777777" w:rsidR="0040300B" w:rsidRDefault="0040300B">
            <w:pPr>
              <w:jc w:val="right"/>
              <w:rPr>
                <w:rFonts w:ascii="宋体"/>
              </w:rPr>
            </w:pPr>
          </w:p>
        </w:tc>
      </w:tr>
      <w:tr w:rsidR="0040300B" w14:paraId="7B66FB69" w14:textId="77777777">
        <w:tc>
          <w:tcPr>
            <w:tcW w:w="0" w:type="auto"/>
            <w:gridSpan w:val="3"/>
            <w:shd w:val="clear" w:color="auto" w:fill="CCEEFF"/>
            <w:tcMar>
              <w:top w:w="40" w:type="dxa"/>
              <w:left w:w="740" w:type="dxa"/>
              <w:bottom w:w="40" w:type="dxa"/>
              <w:right w:w="20" w:type="dxa"/>
            </w:tcMar>
          </w:tcPr>
          <w:p w14:paraId="7B66FB49"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4B"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4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4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4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4F" w14:textId="77777777" w:rsidR="0040300B" w:rsidRDefault="00BB2D44">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5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5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53"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5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5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5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57" w14:textId="77777777" w:rsidR="0040300B" w:rsidRDefault="00BB2D44">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5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5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5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5B"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5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5D"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5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5F"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6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61"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6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63"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6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6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B6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B67"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B68" w14:textId="77777777" w:rsidR="0040300B" w:rsidRDefault="0040300B">
            <w:pPr>
              <w:jc w:val="right"/>
              <w:rPr>
                <w:rFonts w:ascii="宋体"/>
              </w:rPr>
            </w:pPr>
          </w:p>
        </w:tc>
      </w:tr>
    </w:tbl>
    <w:p w14:paraId="7B66FB6A" w14:textId="77777777" w:rsidR="0040300B" w:rsidRDefault="00BB2D44">
      <w:pPr>
        <w:spacing w:before="120"/>
        <w:jc w:val="both"/>
      </w:pPr>
      <w:r>
        <w:rPr>
          <w:rFonts w:ascii="Times New Roman" w:eastAsia="宋体" w:hAnsi="Times New Roman"/>
          <w:color w:val="000000"/>
          <w:sz w:val="20"/>
          <w:szCs w:val="20"/>
        </w:rPr>
        <w:t xml:space="preserve">Level 1 marketable securities are determined by using quoted prices in active markets for identical assets. Level 2 available-for-sale debt investments are priced using quoted market prices for similar instruments or </w:t>
      </w:r>
      <w:r>
        <w:rPr>
          <w:rFonts w:ascii="Times New Roman" w:eastAsia="宋体" w:hAnsi="Times New Roman"/>
          <w:color w:val="000000"/>
          <w:sz w:val="20"/>
          <w:szCs w:val="20"/>
        </w:rPr>
        <w:t>nonbinding market prices that are corroborated by observable market data. We use inputs such as actual trade data, benchmark yields, broker/dealer quotes, and other similar data, which are obtained from quoted market prices, independent pricing vendors, or</w:t>
      </w:r>
      <w:r>
        <w:rPr>
          <w:rFonts w:ascii="Times New Roman" w:eastAsia="宋体" w:hAnsi="Times New Roman"/>
          <w:color w:val="000000"/>
          <w:sz w:val="20"/>
          <w:szCs w:val="20"/>
        </w:rPr>
        <w:t xml:space="preserve"> other sources, to determine the ultimate fair value of these assets and liabilities. We use such pricing data as the primary input to make our assessments and determinations as to the ultimate valuation of our investment portfolio and have not made, durin</w:t>
      </w:r>
      <w:r>
        <w:rPr>
          <w:rFonts w:ascii="Times New Roman" w:eastAsia="宋体" w:hAnsi="Times New Roman"/>
          <w:color w:val="000000"/>
          <w:sz w:val="20"/>
          <w:szCs w:val="20"/>
        </w:rPr>
        <w:t>g the periods presented, any material adjustments to such inputs. We are ultimately responsible for the financial statements and underlying estimates. Our derivative instruments are primarily classified as Level 2, as they are not actively traded and are v</w:t>
      </w:r>
      <w:r>
        <w:rPr>
          <w:rFonts w:ascii="Times New Roman" w:eastAsia="宋体" w:hAnsi="Times New Roman"/>
          <w:color w:val="000000"/>
          <w:sz w:val="20"/>
          <w:szCs w:val="20"/>
        </w:rPr>
        <w:t>alued using pricing models that use observable market inputs. We did not have any transfers between Level 1 and Level 2 fair value measurements during the periods presented. Level 3 assets include certain derivative instruments, the values of which are det</w:t>
      </w:r>
      <w:r>
        <w:rPr>
          <w:rFonts w:ascii="Times New Roman" w:eastAsia="宋体" w:hAnsi="Times New Roman"/>
          <w:color w:val="000000"/>
          <w:sz w:val="20"/>
          <w:szCs w:val="20"/>
        </w:rPr>
        <w:t>ermined based on discounted cash flow models using inputs that we could not corroborate with market data.</w:t>
      </w:r>
    </w:p>
    <w:p w14:paraId="7B66FB6B" w14:textId="77777777" w:rsidR="0040300B" w:rsidRDefault="00BB2D44">
      <w:pPr>
        <w:spacing w:before="120"/>
        <w:ind w:hanging="360"/>
      </w:pPr>
      <w:r>
        <w:rPr>
          <w:rFonts w:ascii="Times New Roman" w:eastAsia="宋体" w:hAnsi="Times New Roman"/>
          <w:b/>
          <w:bCs/>
          <w:color w:val="000000"/>
          <w:sz w:val="20"/>
          <w:szCs w:val="20"/>
        </w:rPr>
        <w:t xml:space="preserve">(c)Assets Measured at Fair Value on a Nonrecurring Basis </w:t>
      </w:r>
    </w:p>
    <w:p w14:paraId="7B66FB6C" w14:textId="77777777" w:rsidR="0040300B" w:rsidRDefault="00BB2D44">
      <w:pPr>
        <w:spacing w:before="120"/>
        <w:jc w:val="both"/>
      </w:pPr>
      <w:r>
        <w:rPr>
          <w:rFonts w:ascii="Times New Roman" w:eastAsia="宋体" w:hAnsi="Times New Roman"/>
          <w:color w:val="000000"/>
          <w:sz w:val="20"/>
          <w:szCs w:val="20"/>
        </w:rPr>
        <w:t>The carrying value of our non-marketable equity securities recorded to fair value on a non-r</w:t>
      </w:r>
      <w:r>
        <w:rPr>
          <w:rFonts w:ascii="Times New Roman" w:eastAsia="宋体" w:hAnsi="Times New Roman"/>
          <w:color w:val="000000"/>
          <w:sz w:val="20"/>
          <w:szCs w:val="20"/>
        </w:rPr>
        <w:t>ecurring basis is adjusted for observable transactions for identical or similar investments of the same issuer or impairment. These securities are classified as Level 3 in the fair value hierarchy because we estimate the value based on valuation methods us</w:t>
      </w:r>
      <w:r>
        <w:rPr>
          <w:rFonts w:ascii="Times New Roman" w:eastAsia="宋体" w:hAnsi="Times New Roman"/>
          <w:color w:val="000000"/>
          <w:sz w:val="20"/>
          <w:szCs w:val="20"/>
        </w:rPr>
        <w:t xml:space="preserve">ing the observable transaction price at the transaction date and other unobservable inputs such as volatility, rights, and obligations of the securities we hold. </w:t>
      </w:r>
    </w:p>
    <w:p w14:paraId="7B66FB6D" w14:textId="77777777" w:rsidR="0040300B" w:rsidRDefault="00BB2D44">
      <w:pPr>
        <w:spacing w:before="120"/>
        <w:ind w:hanging="360"/>
        <w:jc w:val="both"/>
      </w:pPr>
      <w:r>
        <w:rPr>
          <w:rFonts w:ascii="Times New Roman" w:eastAsia="宋体" w:hAnsi="Times New Roman"/>
          <w:b/>
          <w:bCs/>
          <w:color w:val="000000"/>
          <w:sz w:val="20"/>
          <w:szCs w:val="20"/>
        </w:rPr>
        <w:t xml:space="preserve">(d) Other Fair Value Disclosures </w:t>
      </w:r>
    </w:p>
    <w:p w14:paraId="7B66FB6E" w14:textId="77777777" w:rsidR="0040300B" w:rsidRDefault="00BB2D44">
      <w:pPr>
        <w:spacing w:before="120"/>
        <w:jc w:val="both"/>
      </w:pPr>
      <w:r>
        <w:rPr>
          <w:rFonts w:ascii="Times New Roman" w:eastAsia="宋体" w:hAnsi="Times New Roman"/>
          <w:color w:val="000000"/>
          <w:sz w:val="20"/>
          <w:szCs w:val="20"/>
        </w:rPr>
        <w:t>The fair value of our short-term loan receivables and finan</w:t>
      </w:r>
      <w:r>
        <w:rPr>
          <w:rFonts w:ascii="Times New Roman" w:eastAsia="宋体" w:hAnsi="Times New Roman"/>
          <w:color w:val="000000"/>
          <w:sz w:val="20"/>
          <w:szCs w:val="20"/>
        </w:rPr>
        <w:t xml:space="preserve">ced service contracts approximates their carrying value due to their short duration. The aggregate carrying value of our long-term loan receivables and financed service contracts as of May 1, 2021 </w:t>
      </w:r>
    </w:p>
    <w:p w14:paraId="7B66FB6F" w14:textId="77777777" w:rsidR="0040300B" w:rsidRDefault="00BB2D44">
      <w:pPr>
        <w:jc w:val="center"/>
      </w:pPr>
      <w:r>
        <w:rPr>
          <w:rFonts w:ascii="Times New Roman" w:eastAsia="宋体" w:hAnsi="Times New Roman"/>
          <w:color w:val="000000"/>
          <w:sz w:val="20"/>
          <w:szCs w:val="20"/>
        </w:rPr>
        <w:t>25</w:t>
      </w:r>
    </w:p>
    <w:p w14:paraId="7B66FB70" w14:textId="77777777" w:rsidR="0040300B" w:rsidRDefault="00BB2D44">
      <w:r>
        <w:pict w14:anchorId="7B671C29">
          <v:rect id="_x0000_i1049" style="width:415.3pt;height:1.5pt" o:hralign="center" o:hrstd="t" o:hr="t" fillcolor="#a0a0a0" stroked="f"/>
        </w:pict>
      </w:r>
    </w:p>
    <w:p w14:paraId="7B66FB71" w14:textId="77777777" w:rsidR="0040300B" w:rsidRDefault="00BB2D44">
      <w:hyperlink r:id="rId71" w:anchor="i52d5b40dbad7426a9806a2fd5167029f_7" w:history="1">
        <w:r>
          <w:rPr>
            <w:rStyle w:val="a5"/>
            <w:rFonts w:ascii="Times New Roman" w:eastAsia="宋体" w:hAnsi="Times New Roman"/>
            <w:sz w:val="18"/>
            <w:szCs w:val="18"/>
          </w:rPr>
          <w:t>Table of Contents</w:t>
        </w:r>
      </w:hyperlink>
    </w:p>
    <w:p w14:paraId="7B66FB72" w14:textId="77777777" w:rsidR="0040300B" w:rsidRDefault="00BB2D44">
      <w:pPr>
        <w:jc w:val="center"/>
      </w:pPr>
      <w:r>
        <w:rPr>
          <w:rFonts w:ascii="Times New Roman" w:eastAsia="宋体" w:hAnsi="Times New Roman"/>
          <w:b/>
          <w:bCs/>
          <w:color w:val="000000"/>
          <w:sz w:val="18"/>
          <w:szCs w:val="18"/>
        </w:rPr>
        <w:t>CISCO SYSTEMS, INC.</w:t>
      </w:r>
    </w:p>
    <w:p w14:paraId="7B66FB73"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B74" w14:textId="77777777" w:rsidR="0040300B" w:rsidRDefault="00BB2D44">
      <w:pPr>
        <w:jc w:val="center"/>
      </w:pPr>
      <w:r>
        <w:rPr>
          <w:rFonts w:ascii="Times New Roman" w:eastAsia="宋体" w:hAnsi="Times New Roman"/>
          <w:b/>
          <w:bCs/>
          <w:color w:val="000000"/>
          <w:sz w:val="18"/>
          <w:szCs w:val="18"/>
        </w:rPr>
        <w:t xml:space="preserve">(Unaudited) </w:t>
      </w:r>
    </w:p>
    <w:p w14:paraId="7B66FB75" w14:textId="77777777" w:rsidR="0040300B" w:rsidRDefault="0040300B">
      <w:pPr>
        <w:jc w:val="center"/>
      </w:pPr>
    </w:p>
    <w:p w14:paraId="7B66FB76" w14:textId="77777777" w:rsidR="0040300B" w:rsidRDefault="00BB2D44">
      <w:pPr>
        <w:spacing w:before="120"/>
        <w:jc w:val="both"/>
      </w:pPr>
      <w:r>
        <w:rPr>
          <w:rFonts w:ascii="Times New Roman" w:eastAsia="宋体" w:hAnsi="Times New Roman"/>
          <w:color w:val="000000"/>
          <w:sz w:val="20"/>
          <w:szCs w:val="20"/>
        </w:rPr>
        <w:t xml:space="preserve">and July 25, 2020 was $4.1 billion and $4.5 </w:t>
      </w:r>
      <w:r>
        <w:rPr>
          <w:rFonts w:ascii="Times New Roman" w:eastAsia="宋体" w:hAnsi="Times New Roman"/>
          <w:color w:val="000000"/>
          <w:sz w:val="20"/>
          <w:szCs w:val="20"/>
        </w:rPr>
        <w:t>billion, respectively. The estimated fair value of our long-term loan receivables and financed service contracts approximates their carrying value. We use significant unobservable inputs in determining discounted cash flows to estimate the fair value of ou</w:t>
      </w:r>
      <w:r>
        <w:rPr>
          <w:rFonts w:ascii="Times New Roman" w:eastAsia="宋体" w:hAnsi="Times New Roman"/>
          <w:color w:val="000000"/>
          <w:sz w:val="20"/>
          <w:szCs w:val="20"/>
        </w:rPr>
        <w:t>r long-term loan receivables and financed service contracts, and therefore they are categorized as Level 3.</w:t>
      </w:r>
    </w:p>
    <w:p w14:paraId="7B66FB77" w14:textId="77777777" w:rsidR="0040300B" w:rsidRDefault="00BB2D44">
      <w:pPr>
        <w:spacing w:before="120"/>
        <w:jc w:val="both"/>
      </w:pPr>
      <w:r>
        <w:rPr>
          <w:rFonts w:ascii="Times New Roman" w:eastAsia="宋体" w:hAnsi="Times New Roman"/>
          <w:color w:val="000000"/>
          <w:sz w:val="20"/>
          <w:szCs w:val="20"/>
        </w:rPr>
        <w:t>As of May 1, 2021, the estimated fair value of our short-term debt approximates its carrying value due to the short maturities. As of May 1, 2021, t</w:t>
      </w:r>
      <w:r>
        <w:rPr>
          <w:rFonts w:ascii="Times New Roman" w:eastAsia="宋体" w:hAnsi="Times New Roman"/>
          <w:color w:val="000000"/>
          <w:sz w:val="20"/>
          <w:szCs w:val="20"/>
        </w:rPr>
        <w:t xml:space="preserve">he fair value of our senior notes was $13.5 billion with a carrying amount of $11.5 billion. This compares to a fair value of $17.4 billion and a carrying amount of $14.6 billion as of July 25, 2020. The fair value of the senior notes was determined based </w:t>
      </w:r>
      <w:r>
        <w:rPr>
          <w:rFonts w:ascii="Times New Roman" w:eastAsia="宋体" w:hAnsi="Times New Roman"/>
          <w:color w:val="000000"/>
          <w:sz w:val="20"/>
          <w:szCs w:val="20"/>
        </w:rPr>
        <w:t xml:space="preserve">on observable market prices in a less active market and was categorized as Level 2 in the fair value hierarchy. </w:t>
      </w:r>
    </w:p>
    <w:p w14:paraId="7B66FB78" w14:textId="77777777" w:rsidR="0040300B" w:rsidRDefault="0040300B">
      <w:pPr>
        <w:spacing w:before="60"/>
        <w:jc w:val="both"/>
      </w:pPr>
    </w:p>
    <w:p w14:paraId="7B66FB79" w14:textId="77777777" w:rsidR="0040300B" w:rsidRDefault="00BB2D44">
      <w:pPr>
        <w:spacing w:before="120"/>
        <w:ind w:hanging="360"/>
      </w:pPr>
      <w:r>
        <w:rPr>
          <w:rFonts w:ascii="Times New Roman" w:eastAsia="宋体" w:hAnsi="Times New Roman"/>
          <w:b/>
          <w:bCs/>
          <w:color w:val="000000"/>
          <w:sz w:val="20"/>
          <w:szCs w:val="20"/>
        </w:rPr>
        <w:t xml:space="preserve">12.Borrowings </w:t>
      </w:r>
    </w:p>
    <w:p w14:paraId="7B66FB7A" w14:textId="77777777" w:rsidR="0040300B" w:rsidRDefault="00BB2D44">
      <w:pPr>
        <w:spacing w:before="120"/>
        <w:ind w:hanging="360"/>
      </w:pPr>
      <w:r>
        <w:rPr>
          <w:rFonts w:ascii="Times New Roman" w:eastAsia="宋体" w:hAnsi="Times New Roman"/>
          <w:b/>
          <w:bCs/>
          <w:color w:val="000000"/>
          <w:sz w:val="20"/>
          <w:szCs w:val="20"/>
        </w:rPr>
        <w:t>(a)Short-Term Debt</w:t>
      </w:r>
    </w:p>
    <w:p w14:paraId="7B66FB7B" w14:textId="77777777" w:rsidR="0040300B" w:rsidRDefault="00BB2D44">
      <w:pPr>
        <w:spacing w:before="120"/>
      </w:pPr>
      <w:r>
        <w:rPr>
          <w:rFonts w:ascii="Times New Roman" w:eastAsia="宋体" w:hAnsi="Times New Roman"/>
          <w:color w:val="000000"/>
          <w:sz w:val="20"/>
          <w:szCs w:val="20"/>
        </w:rPr>
        <w:t>The following table summarizes our short-term debt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7"/>
        <w:gridCol w:w="3097"/>
        <w:gridCol w:w="36"/>
        <w:gridCol w:w="120"/>
        <w:gridCol w:w="1065"/>
        <w:gridCol w:w="36"/>
        <w:gridCol w:w="36"/>
        <w:gridCol w:w="36"/>
        <w:gridCol w:w="36"/>
        <w:gridCol w:w="43"/>
        <w:gridCol w:w="990"/>
        <w:gridCol w:w="187"/>
        <w:gridCol w:w="36"/>
        <w:gridCol w:w="36"/>
        <w:gridCol w:w="36"/>
        <w:gridCol w:w="120"/>
        <w:gridCol w:w="1012"/>
        <w:gridCol w:w="36"/>
        <w:gridCol w:w="36"/>
        <w:gridCol w:w="36"/>
        <w:gridCol w:w="36"/>
        <w:gridCol w:w="43"/>
        <w:gridCol w:w="991"/>
        <w:gridCol w:w="187"/>
      </w:tblGrid>
      <w:tr w:rsidR="0040300B" w14:paraId="7B66FB94" w14:textId="77777777">
        <w:tc>
          <w:tcPr>
            <w:tcW w:w="50" w:type="pct"/>
            <w:shd w:val="clear" w:color="auto" w:fill="auto"/>
          </w:tcPr>
          <w:p w14:paraId="7B66FB7C" w14:textId="77777777" w:rsidR="0040300B" w:rsidRDefault="0040300B">
            <w:pPr>
              <w:rPr>
                <w:rFonts w:ascii="宋体"/>
              </w:rPr>
            </w:pPr>
          </w:p>
        </w:tc>
        <w:tc>
          <w:tcPr>
            <w:tcW w:w="1906" w:type="pct"/>
            <w:shd w:val="clear" w:color="auto" w:fill="auto"/>
          </w:tcPr>
          <w:p w14:paraId="7B66FB7D" w14:textId="77777777" w:rsidR="0040300B" w:rsidRDefault="0040300B">
            <w:pPr>
              <w:rPr>
                <w:rFonts w:ascii="宋体"/>
              </w:rPr>
            </w:pPr>
          </w:p>
        </w:tc>
        <w:tc>
          <w:tcPr>
            <w:tcW w:w="5" w:type="pct"/>
            <w:shd w:val="clear" w:color="auto" w:fill="auto"/>
          </w:tcPr>
          <w:p w14:paraId="7B66FB7E" w14:textId="77777777" w:rsidR="0040300B" w:rsidRDefault="0040300B">
            <w:pPr>
              <w:rPr>
                <w:rFonts w:ascii="宋体"/>
              </w:rPr>
            </w:pPr>
          </w:p>
        </w:tc>
        <w:tc>
          <w:tcPr>
            <w:tcW w:w="50" w:type="pct"/>
            <w:shd w:val="clear" w:color="auto" w:fill="auto"/>
          </w:tcPr>
          <w:p w14:paraId="7B66FB7F" w14:textId="77777777" w:rsidR="0040300B" w:rsidRDefault="0040300B">
            <w:pPr>
              <w:rPr>
                <w:rFonts w:ascii="宋体"/>
              </w:rPr>
            </w:pPr>
          </w:p>
        </w:tc>
        <w:tc>
          <w:tcPr>
            <w:tcW w:w="677" w:type="pct"/>
            <w:shd w:val="clear" w:color="auto" w:fill="auto"/>
          </w:tcPr>
          <w:p w14:paraId="7B66FB80" w14:textId="77777777" w:rsidR="0040300B" w:rsidRDefault="0040300B">
            <w:pPr>
              <w:rPr>
                <w:rFonts w:ascii="宋体"/>
              </w:rPr>
            </w:pPr>
          </w:p>
        </w:tc>
        <w:tc>
          <w:tcPr>
            <w:tcW w:w="5" w:type="pct"/>
            <w:shd w:val="clear" w:color="auto" w:fill="auto"/>
          </w:tcPr>
          <w:p w14:paraId="7B66FB81" w14:textId="77777777" w:rsidR="0040300B" w:rsidRDefault="0040300B">
            <w:pPr>
              <w:rPr>
                <w:rFonts w:ascii="宋体"/>
              </w:rPr>
            </w:pPr>
          </w:p>
        </w:tc>
        <w:tc>
          <w:tcPr>
            <w:tcW w:w="5" w:type="pct"/>
            <w:shd w:val="clear" w:color="auto" w:fill="auto"/>
          </w:tcPr>
          <w:p w14:paraId="7B66FB82" w14:textId="77777777" w:rsidR="0040300B" w:rsidRDefault="0040300B">
            <w:pPr>
              <w:rPr>
                <w:rFonts w:ascii="宋体"/>
              </w:rPr>
            </w:pPr>
          </w:p>
        </w:tc>
        <w:tc>
          <w:tcPr>
            <w:tcW w:w="26" w:type="pct"/>
            <w:shd w:val="clear" w:color="auto" w:fill="auto"/>
          </w:tcPr>
          <w:p w14:paraId="7B66FB83" w14:textId="77777777" w:rsidR="0040300B" w:rsidRDefault="0040300B">
            <w:pPr>
              <w:rPr>
                <w:rFonts w:ascii="宋体"/>
              </w:rPr>
            </w:pPr>
          </w:p>
        </w:tc>
        <w:tc>
          <w:tcPr>
            <w:tcW w:w="5" w:type="pct"/>
            <w:shd w:val="clear" w:color="auto" w:fill="auto"/>
          </w:tcPr>
          <w:p w14:paraId="7B66FB84" w14:textId="77777777" w:rsidR="0040300B" w:rsidRDefault="0040300B">
            <w:pPr>
              <w:rPr>
                <w:rFonts w:ascii="宋体"/>
              </w:rPr>
            </w:pPr>
          </w:p>
        </w:tc>
        <w:tc>
          <w:tcPr>
            <w:tcW w:w="50" w:type="pct"/>
            <w:shd w:val="clear" w:color="auto" w:fill="auto"/>
          </w:tcPr>
          <w:p w14:paraId="7B66FB85" w14:textId="77777777" w:rsidR="0040300B" w:rsidRDefault="0040300B">
            <w:pPr>
              <w:rPr>
                <w:rFonts w:ascii="宋体"/>
              </w:rPr>
            </w:pPr>
          </w:p>
        </w:tc>
        <w:tc>
          <w:tcPr>
            <w:tcW w:w="677" w:type="pct"/>
            <w:shd w:val="clear" w:color="auto" w:fill="auto"/>
          </w:tcPr>
          <w:p w14:paraId="7B66FB86" w14:textId="77777777" w:rsidR="0040300B" w:rsidRDefault="0040300B">
            <w:pPr>
              <w:rPr>
                <w:rFonts w:ascii="宋体"/>
              </w:rPr>
            </w:pPr>
          </w:p>
        </w:tc>
        <w:tc>
          <w:tcPr>
            <w:tcW w:w="5" w:type="pct"/>
            <w:shd w:val="clear" w:color="auto" w:fill="auto"/>
          </w:tcPr>
          <w:p w14:paraId="7B66FB87" w14:textId="77777777" w:rsidR="0040300B" w:rsidRDefault="0040300B">
            <w:pPr>
              <w:rPr>
                <w:rFonts w:ascii="宋体"/>
              </w:rPr>
            </w:pPr>
          </w:p>
        </w:tc>
        <w:tc>
          <w:tcPr>
            <w:tcW w:w="5" w:type="pct"/>
            <w:shd w:val="clear" w:color="auto" w:fill="auto"/>
          </w:tcPr>
          <w:p w14:paraId="7B66FB88" w14:textId="77777777" w:rsidR="0040300B" w:rsidRDefault="0040300B">
            <w:pPr>
              <w:rPr>
                <w:rFonts w:ascii="宋体"/>
              </w:rPr>
            </w:pPr>
          </w:p>
        </w:tc>
        <w:tc>
          <w:tcPr>
            <w:tcW w:w="26" w:type="pct"/>
            <w:shd w:val="clear" w:color="auto" w:fill="auto"/>
          </w:tcPr>
          <w:p w14:paraId="7B66FB89" w14:textId="77777777" w:rsidR="0040300B" w:rsidRDefault="0040300B">
            <w:pPr>
              <w:rPr>
                <w:rFonts w:ascii="宋体"/>
              </w:rPr>
            </w:pPr>
          </w:p>
        </w:tc>
        <w:tc>
          <w:tcPr>
            <w:tcW w:w="5" w:type="pct"/>
            <w:shd w:val="clear" w:color="auto" w:fill="auto"/>
          </w:tcPr>
          <w:p w14:paraId="7B66FB8A" w14:textId="77777777" w:rsidR="0040300B" w:rsidRDefault="0040300B">
            <w:pPr>
              <w:rPr>
                <w:rFonts w:ascii="宋体"/>
              </w:rPr>
            </w:pPr>
          </w:p>
        </w:tc>
        <w:tc>
          <w:tcPr>
            <w:tcW w:w="50" w:type="pct"/>
            <w:shd w:val="clear" w:color="auto" w:fill="auto"/>
          </w:tcPr>
          <w:p w14:paraId="7B66FB8B" w14:textId="77777777" w:rsidR="0040300B" w:rsidRDefault="0040300B">
            <w:pPr>
              <w:rPr>
                <w:rFonts w:ascii="宋体"/>
              </w:rPr>
            </w:pPr>
          </w:p>
        </w:tc>
        <w:tc>
          <w:tcPr>
            <w:tcW w:w="677" w:type="pct"/>
            <w:shd w:val="clear" w:color="auto" w:fill="auto"/>
          </w:tcPr>
          <w:p w14:paraId="7B66FB8C" w14:textId="77777777" w:rsidR="0040300B" w:rsidRDefault="0040300B">
            <w:pPr>
              <w:rPr>
                <w:rFonts w:ascii="宋体"/>
              </w:rPr>
            </w:pPr>
          </w:p>
        </w:tc>
        <w:tc>
          <w:tcPr>
            <w:tcW w:w="5" w:type="pct"/>
            <w:shd w:val="clear" w:color="auto" w:fill="auto"/>
          </w:tcPr>
          <w:p w14:paraId="7B66FB8D" w14:textId="77777777" w:rsidR="0040300B" w:rsidRDefault="0040300B">
            <w:pPr>
              <w:rPr>
                <w:rFonts w:ascii="宋体"/>
              </w:rPr>
            </w:pPr>
          </w:p>
        </w:tc>
        <w:tc>
          <w:tcPr>
            <w:tcW w:w="5" w:type="pct"/>
            <w:shd w:val="clear" w:color="auto" w:fill="auto"/>
          </w:tcPr>
          <w:p w14:paraId="7B66FB8E" w14:textId="77777777" w:rsidR="0040300B" w:rsidRDefault="0040300B">
            <w:pPr>
              <w:rPr>
                <w:rFonts w:ascii="宋体"/>
              </w:rPr>
            </w:pPr>
          </w:p>
        </w:tc>
        <w:tc>
          <w:tcPr>
            <w:tcW w:w="26" w:type="pct"/>
            <w:shd w:val="clear" w:color="auto" w:fill="auto"/>
          </w:tcPr>
          <w:p w14:paraId="7B66FB8F" w14:textId="77777777" w:rsidR="0040300B" w:rsidRDefault="0040300B">
            <w:pPr>
              <w:rPr>
                <w:rFonts w:ascii="宋体"/>
              </w:rPr>
            </w:pPr>
          </w:p>
        </w:tc>
        <w:tc>
          <w:tcPr>
            <w:tcW w:w="5" w:type="pct"/>
            <w:shd w:val="clear" w:color="auto" w:fill="auto"/>
          </w:tcPr>
          <w:p w14:paraId="7B66FB90" w14:textId="77777777" w:rsidR="0040300B" w:rsidRDefault="0040300B">
            <w:pPr>
              <w:rPr>
                <w:rFonts w:ascii="宋体"/>
              </w:rPr>
            </w:pPr>
          </w:p>
        </w:tc>
        <w:tc>
          <w:tcPr>
            <w:tcW w:w="50" w:type="pct"/>
            <w:shd w:val="clear" w:color="auto" w:fill="auto"/>
          </w:tcPr>
          <w:p w14:paraId="7B66FB91" w14:textId="77777777" w:rsidR="0040300B" w:rsidRDefault="0040300B">
            <w:pPr>
              <w:rPr>
                <w:rFonts w:ascii="宋体"/>
              </w:rPr>
            </w:pPr>
          </w:p>
        </w:tc>
        <w:tc>
          <w:tcPr>
            <w:tcW w:w="677" w:type="pct"/>
            <w:shd w:val="clear" w:color="auto" w:fill="auto"/>
          </w:tcPr>
          <w:p w14:paraId="7B66FB92" w14:textId="77777777" w:rsidR="0040300B" w:rsidRDefault="0040300B">
            <w:pPr>
              <w:rPr>
                <w:rFonts w:ascii="宋体"/>
              </w:rPr>
            </w:pPr>
          </w:p>
        </w:tc>
        <w:tc>
          <w:tcPr>
            <w:tcW w:w="5" w:type="pct"/>
            <w:shd w:val="clear" w:color="auto" w:fill="auto"/>
          </w:tcPr>
          <w:p w14:paraId="7B66FB93" w14:textId="77777777" w:rsidR="0040300B" w:rsidRDefault="0040300B">
            <w:pPr>
              <w:rPr>
                <w:rFonts w:ascii="宋体"/>
              </w:rPr>
            </w:pPr>
          </w:p>
        </w:tc>
      </w:tr>
      <w:tr w:rsidR="0040300B" w14:paraId="7B66FB99" w14:textId="77777777">
        <w:tc>
          <w:tcPr>
            <w:tcW w:w="0" w:type="auto"/>
            <w:gridSpan w:val="3"/>
            <w:shd w:val="clear" w:color="auto" w:fill="auto"/>
            <w:tcMar>
              <w:top w:w="40" w:type="dxa"/>
              <w:left w:w="20" w:type="dxa"/>
              <w:bottom w:w="40" w:type="dxa"/>
              <w:right w:w="20" w:type="dxa"/>
            </w:tcMar>
            <w:vAlign w:val="bottom"/>
          </w:tcPr>
          <w:p w14:paraId="7B66FB95" w14:textId="77777777" w:rsidR="0040300B" w:rsidRDefault="00BB2D44">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7B66FB96"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FB97"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B98"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FBA2" w14:textId="77777777">
        <w:tc>
          <w:tcPr>
            <w:tcW w:w="0" w:type="auto"/>
            <w:gridSpan w:val="3"/>
            <w:shd w:val="clear" w:color="auto" w:fill="auto"/>
            <w:tcMar>
              <w:top w:w="40" w:type="dxa"/>
              <w:left w:w="20" w:type="dxa"/>
              <w:bottom w:w="40" w:type="dxa"/>
              <w:right w:w="20" w:type="dxa"/>
            </w:tcMar>
            <w:vAlign w:val="bottom"/>
          </w:tcPr>
          <w:p w14:paraId="7B66FB9A" w14:textId="77777777" w:rsidR="0040300B" w:rsidRDefault="00BB2D44">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9B"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6FB9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9D" w14:textId="77777777" w:rsidR="0040300B" w:rsidRDefault="00BB2D44">
            <w:pPr>
              <w:jc w:val="center"/>
              <w:textAlignment w:val="bottom"/>
            </w:pPr>
            <w:r>
              <w:rPr>
                <w:rFonts w:ascii="Times New Roman" w:eastAsia="宋体" w:hAnsi="Times New Roman"/>
                <w:color w:val="000000"/>
                <w:sz w:val="16"/>
                <w:szCs w:val="16"/>
              </w:rPr>
              <w:t>Effective Rate</w:t>
            </w:r>
          </w:p>
        </w:tc>
        <w:tc>
          <w:tcPr>
            <w:tcW w:w="0" w:type="auto"/>
            <w:gridSpan w:val="3"/>
            <w:shd w:val="clear" w:color="auto" w:fill="auto"/>
            <w:tcMar>
              <w:top w:w="0" w:type="dxa"/>
              <w:left w:w="20" w:type="dxa"/>
              <w:bottom w:w="0" w:type="dxa"/>
              <w:right w:w="20" w:type="dxa"/>
            </w:tcMar>
          </w:tcPr>
          <w:p w14:paraId="7B66FB9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9F" w14:textId="77777777" w:rsidR="0040300B" w:rsidRDefault="00BB2D44">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6FBA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A1" w14:textId="77777777" w:rsidR="0040300B" w:rsidRDefault="00BB2D44">
            <w:pPr>
              <w:jc w:val="center"/>
              <w:textAlignment w:val="bottom"/>
            </w:pPr>
            <w:r>
              <w:rPr>
                <w:rFonts w:ascii="Times New Roman" w:eastAsia="宋体" w:hAnsi="Times New Roman"/>
                <w:color w:val="000000"/>
                <w:sz w:val="16"/>
                <w:szCs w:val="16"/>
              </w:rPr>
              <w:t>Effective Rate</w:t>
            </w:r>
          </w:p>
        </w:tc>
      </w:tr>
      <w:tr w:rsidR="0040300B" w14:paraId="7B66FBB1" w14:textId="77777777">
        <w:tc>
          <w:tcPr>
            <w:tcW w:w="0" w:type="auto"/>
            <w:gridSpan w:val="3"/>
            <w:shd w:val="clear" w:color="auto" w:fill="CCEEFF"/>
            <w:tcMar>
              <w:top w:w="40" w:type="dxa"/>
              <w:left w:w="20" w:type="dxa"/>
              <w:bottom w:w="40" w:type="dxa"/>
              <w:right w:w="20" w:type="dxa"/>
            </w:tcMar>
          </w:tcPr>
          <w:p w14:paraId="7B66FBA3" w14:textId="77777777" w:rsidR="0040300B" w:rsidRDefault="00BB2D44">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BA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BA5" w14:textId="77777777" w:rsidR="0040300B" w:rsidRDefault="00BB2D44">
            <w:pPr>
              <w:jc w:val="right"/>
              <w:textAlignment w:val="bottom"/>
            </w:pPr>
            <w:r>
              <w:rPr>
                <w:rFonts w:ascii="Times New Roman" w:eastAsia="宋体" w:hAnsi="Times New Roman"/>
                <w:color w:val="000000"/>
                <w:sz w:val="20"/>
                <w:szCs w:val="20"/>
              </w:rPr>
              <w:t>2,000 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B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A7"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BA8" w14:textId="77777777" w:rsidR="0040300B" w:rsidRDefault="00BB2D44">
            <w:pPr>
              <w:jc w:val="right"/>
              <w:textAlignment w:val="bottom"/>
            </w:pPr>
            <w:r>
              <w:rPr>
                <w:rFonts w:ascii="Times New Roman" w:eastAsia="宋体" w:hAnsi="Times New Roman"/>
                <w:color w:val="000000"/>
                <w:sz w:val="20"/>
                <w:szCs w:val="20"/>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BA9"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6FBA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BA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BAC" w14:textId="77777777" w:rsidR="0040300B" w:rsidRDefault="00BB2D44">
            <w:pPr>
              <w:jc w:val="right"/>
              <w:textAlignment w:val="bottom"/>
            </w:pPr>
            <w:r>
              <w:rPr>
                <w:rFonts w:ascii="Times New Roman" w:eastAsia="宋体" w:hAnsi="Times New Roman"/>
                <w:color w:val="000000"/>
                <w:sz w:val="20"/>
                <w:szCs w:val="20"/>
              </w:rPr>
              <w:t>3,005 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BA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BAE"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BAF" w14:textId="77777777" w:rsidR="0040300B" w:rsidRDefault="00BB2D44">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BB0" w14:textId="77777777" w:rsidR="0040300B" w:rsidRDefault="00BB2D44">
            <w:pPr>
              <w:jc w:val="right"/>
              <w:textAlignment w:val="bottom"/>
            </w:pPr>
            <w:r>
              <w:rPr>
                <w:rFonts w:ascii="Times New Roman" w:eastAsia="宋体" w:hAnsi="Times New Roman"/>
                <w:color w:val="000000"/>
                <w:sz w:val="20"/>
                <w:szCs w:val="20"/>
              </w:rPr>
              <w:t>%</w:t>
            </w:r>
          </w:p>
        </w:tc>
      </w:tr>
    </w:tbl>
    <w:p w14:paraId="7B66FBB2" w14:textId="77777777" w:rsidR="0040300B" w:rsidRDefault="00BB2D44">
      <w:pPr>
        <w:spacing w:before="120"/>
        <w:jc w:val="both"/>
      </w:pPr>
      <w:r>
        <w:rPr>
          <w:rFonts w:ascii="Times New Roman" w:eastAsia="宋体" w:hAnsi="Times New Roman"/>
          <w:color w:val="000000"/>
          <w:sz w:val="20"/>
          <w:szCs w:val="20"/>
        </w:rPr>
        <w:t>We have a short-term debt financing program of up to $10.0 billion through the issuance of commercial paper notes. We use the proceeds from the issuance of commerci</w:t>
      </w:r>
      <w:r>
        <w:rPr>
          <w:rFonts w:ascii="Times New Roman" w:eastAsia="宋体" w:hAnsi="Times New Roman"/>
          <w:color w:val="000000"/>
          <w:sz w:val="20"/>
          <w:szCs w:val="20"/>
        </w:rPr>
        <w:t xml:space="preserve">al paper notes for general corporate purposes. We had no commercial paper outstanding as of May 1, 2021 and July 25, 2020. </w:t>
      </w:r>
    </w:p>
    <w:p w14:paraId="7B66FBB3" w14:textId="77777777" w:rsidR="0040300B" w:rsidRDefault="00BB2D44">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w:t>
      </w:r>
      <w:r>
        <w:rPr>
          <w:rFonts w:ascii="Times New Roman" w:eastAsia="宋体" w:hAnsi="Times New Roman"/>
          <w:color w:val="000000"/>
          <w:sz w:val="20"/>
          <w:szCs w:val="20"/>
        </w:rPr>
        <w:t xml:space="preserve"> costs, and, if applicable, adjustments related to hedging.</w:t>
      </w:r>
    </w:p>
    <w:p w14:paraId="7B66FBB4" w14:textId="77777777" w:rsidR="0040300B" w:rsidRDefault="00BB2D44">
      <w:pPr>
        <w:jc w:val="center"/>
      </w:pPr>
      <w:r>
        <w:rPr>
          <w:rFonts w:ascii="Times New Roman" w:eastAsia="宋体" w:hAnsi="Times New Roman"/>
          <w:color w:val="000000"/>
          <w:sz w:val="20"/>
          <w:szCs w:val="20"/>
        </w:rPr>
        <w:t>26</w:t>
      </w:r>
    </w:p>
    <w:p w14:paraId="7B66FBB5" w14:textId="77777777" w:rsidR="0040300B" w:rsidRDefault="00BB2D44">
      <w:r>
        <w:pict w14:anchorId="7B671C2A">
          <v:rect id="_x0000_i1050" style="width:415.3pt;height:1.5pt" o:hralign="center" o:hrstd="t" o:hr="t" fillcolor="#a0a0a0" stroked="f"/>
        </w:pict>
      </w:r>
    </w:p>
    <w:p w14:paraId="7B66FBB6" w14:textId="77777777" w:rsidR="0040300B" w:rsidRDefault="00BB2D44">
      <w:hyperlink r:id="rId72" w:anchor="i52d5b40dbad7426a9806a2fd5167029f_7" w:history="1">
        <w:r>
          <w:rPr>
            <w:rStyle w:val="a5"/>
            <w:rFonts w:ascii="Times New Roman" w:eastAsia="宋体" w:hAnsi="Times New Roman"/>
            <w:sz w:val="18"/>
            <w:szCs w:val="18"/>
          </w:rPr>
          <w:t>Table of Contents</w:t>
        </w:r>
      </w:hyperlink>
    </w:p>
    <w:p w14:paraId="7B66FBB7" w14:textId="77777777" w:rsidR="0040300B" w:rsidRDefault="00BB2D44">
      <w:pPr>
        <w:jc w:val="center"/>
      </w:pPr>
      <w:r>
        <w:rPr>
          <w:rFonts w:ascii="Times New Roman" w:eastAsia="宋体" w:hAnsi="Times New Roman"/>
          <w:b/>
          <w:bCs/>
          <w:color w:val="000000"/>
          <w:sz w:val="18"/>
          <w:szCs w:val="18"/>
        </w:rPr>
        <w:t>CISCO SYSTEMS, INC.</w:t>
      </w:r>
    </w:p>
    <w:p w14:paraId="7B66FBB8" w14:textId="77777777" w:rsidR="0040300B" w:rsidRDefault="00BB2D44">
      <w:pPr>
        <w:jc w:val="center"/>
      </w:pPr>
      <w:r>
        <w:rPr>
          <w:rFonts w:ascii="Times New Roman" w:eastAsia="宋体" w:hAnsi="Times New Roman"/>
          <w:b/>
          <w:bCs/>
          <w:color w:val="000000"/>
          <w:sz w:val="18"/>
          <w:szCs w:val="18"/>
        </w:rPr>
        <w:t>NOTE</w:t>
      </w:r>
      <w:r>
        <w:rPr>
          <w:rFonts w:ascii="Times New Roman" w:eastAsia="宋体" w:hAnsi="Times New Roman"/>
          <w:b/>
          <w:bCs/>
          <w:color w:val="000000"/>
          <w:sz w:val="18"/>
          <w:szCs w:val="18"/>
        </w:rPr>
        <w:t>S TO CONSOLIDATED FINANCIAL STATEMENTS (Continued)</w:t>
      </w:r>
    </w:p>
    <w:p w14:paraId="7B66FBB9" w14:textId="77777777" w:rsidR="0040300B" w:rsidRDefault="00BB2D44">
      <w:pPr>
        <w:jc w:val="center"/>
      </w:pPr>
      <w:r>
        <w:rPr>
          <w:rFonts w:ascii="Times New Roman" w:eastAsia="宋体" w:hAnsi="Times New Roman"/>
          <w:b/>
          <w:bCs/>
          <w:color w:val="000000"/>
          <w:sz w:val="18"/>
          <w:szCs w:val="18"/>
        </w:rPr>
        <w:t xml:space="preserve">(Unaudited) </w:t>
      </w:r>
    </w:p>
    <w:p w14:paraId="7B66FBBA" w14:textId="77777777" w:rsidR="0040300B" w:rsidRDefault="0040300B">
      <w:pPr>
        <w:jc w:val="center"/>
      </w:pPr>
    </w:p>
    <w:p w14:paraId="7B66FBBB" w14:textId="77777777" w:rsidR="0040300B" w:rsidRDefault="00BB2D44">
      <w:pPr>
        <w:spacing w:before="100" w:after="100"/>
        <w:ind w:hanging="360"/>
      </w:pPr>
      <w:r>
        <w:rPr>
          <w:rFonts w:ascii="Times New Roman" w:eastAsia="宋体" w:hAnsi="Times New Roman"/>
          <w:b/>
          <w:bCs/>
          <w:color w:val="000000"/>
          <w:sz w:val="20"/>
          <w:szCs w:val="20"/>
        </w:rPr>
        <w:t>(b)Long-Term Debt</w:t>
      </w:r>
    </w:p>
    <w:p w14:paraId="7B66FBBC" w14:textId="77777777" w:rsidR="0040300B" w:rsidRDefault="00BB2D44">
      <w:pPr>
        <w:spacing w:before="120"/>
      </w:pPr>
      <w:r>
        <w:rPr>
          <w:rFonts w:ascii="Times New Roman" w:eastAsia="宋体" w:hAnsi="Times New Roman"/>
          <w:color w:val="000000"/>
          <w:sz w:val="20"/>
          <w:szCs w:val="20"/>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03"/>
        <w:gridCol w:w="39"/>
        <w:gridCol w:w="51"/>
        <w:gridCol w:w="1169"/>
        <w:gridCol w:w="38"/>
        <w:gridCol w:w="36"/>
        <w:gridCol w:w="59"/>
        <w:gridCol w:w="36"/>
        <w:gridCol w:w="120"/>
        <w:gridCol w:w="6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40300B" w14:paraId="7B66FBDB" w14:textId="77777777">
        <w:trPr>
          <w:jc w:val="center"/>
        </w:trPr>
        <w:tc>
          <w:tcPr>
            <w:tcW w:w="50" w:type="pct"/>
            <w:shd w:val="clear" w:color="auto" w:fill="auto"/>
          </w:tcPr>
          <w:p w14:paraId="7B66FBBD" w14:textId="77777777" w:rsidR="0040300B" w:rsidRDefault="0040300B">
            <w:pPr>
              <w:rPr>
                <w:rFonts w:ascii="宋体"/>
              </w:rPr>
            </w:pPr>
          </w:p>
        </w:tc>
        <w:tc>
          <w:tcPr>
            <w:tcW w:w="1799" w:type="pct"/>
            <w:shd w:val="clear" w:color="auto" w:fill="auto"/>
          </w:tcPr>
          <w:p w14:paraId="7B66FBBE" w14:textId="77777777" w:rsidR="0040300B" w:rsidRDefault="0040300B">
            <w:pPr>
              <w:rPr>
                <w:rFonts w:ascii="宋体"/>
              </w:rPr>
            </w:pPr>
          </w:p>
        </w:tc>
        <w:tc>
          <w:tcPr>
            <w:tcW w:w="5" w:type="pct"/>
            <w:shd w:val="clear" w:color="auto" w:fill="auto"/>
          </w:tcPr>
          <w:p w14:paraId="7B66FBBF" w14:textId="77777777" w:rsidR="0040300B" w:rsidRDefault="0040300B">
            <w:pPr>
              <w:rPr>
                <w:rFonts w:ascii="宋体"/>
              </w:rPr>
            </w:pPr>
          </w:p>
        </w:tc>
        <w:tc>
          <w:tcPr>
            <w:tcW w:w="50" w:type="pct"/>
            <w:shd w:val="clear" w:color="auto" w:fill="auto"/>
          </w:tcPr>
          <w:p w14:paraId="7B66FBC0" w14:textId="77777777" w:rsidR="0040300B" w:rsidRDefault="0040300B">
            <w:pPr>
              <w:rPr>
                <w:rFonts w:ascii="宋体"/>
              </w:rPr>
            </w:pPr>
          </w:p>
        </w:tc>
        <w:tc>
          <w:tcPr>
            <w:tcW w:w="824" w:type="pct"/>
            <w:shd w:val="clear" w:color="auto" w:fill="auto"/>
          </w:tcPr>
          <w:p w14:paraId="7B66FBC1" w14:textId="77777777" w:rsidR="0040300B" w:rsidRDefault="0040300B">
            <w:pPr>
              <w:rPr>
                <w:rFonts w:ascii="宋体"/>
              </w:rPr>
            </w:pPr>
          </w:p>
        </w:tc>
        <w:tc>
          <w:tcPr>
            <w:tcW w:w="5" w:type="pct"/>
            <w:shd w:val="clear" w:color="auto" w:fill="auto"/>
          </w:tcPr>
          <w:p w14:paraId="7B66FBC2" w14:textId="77777777" w:rsidR="0040300B" w:rsidRDefault="0040300B">
            <w:pPr>
              <w:rPr>
                <w:rFonts w:ascii="宋体"/>
              </w:rPr>
            </w:pPr>
          </w:p>
        </w:tc>
        <w:tc>
          <w:tcPr>
            <w:tcW w:w="5" w:type="pct"/>
            <w:shd w:val="clear" w:color="auto" w:fill="auto"/>
          </w:tcPr>
          <w:p w14:paraId="7B66FBC3" w14:textId="77777777" w:rsidR="0040300B" w:rsidRDefault="0040300B">
            <w:pPr>
              <w:rPr>
                <w:rFonts w:ascii="宋体"/>
              </w:rPr>
            </w:pPr>
          </w:p>
        </w:tc>
        <w:tc>
          <w:tcPr>
            <w:tcW w:w="136" w:type="pct"/>
            <w:shd w:val="clear" w:color="auto" w:fill="auto"/>
          </w:tcPr>
          <w:p w14:paraId="7B66FBC4" w14:textId="77777777" w:rsidR="0040300B" w:rsidRDefault="0040300B">
            <w:pPr>
              <w:rPr>
                <w:rFonts w:ascii="宋体"/>
              </w:rPr>
            </w:pPr>
          </w:p>
        </w:tc>
        <w:tc>
          <w:tcPr>
            <w:tcW w:w="5" w:type="pct"/>
            <w:shd w:val="clear" w:color="auto" w:fill="auto"/>
          </w:tcPr>
          <w:p w14:paraId="7B66FBC5" w14:textId="77777777" w:rsidR="0040300B" w:rsidRDefault="0040300B">
            <w:pPr>
              <w:rPr>
                <w:rFonts w:ascii="宋体"/>
              </w:rPr>
            </w:pPr>
          </w:p>
        </w:tc>
        <w:tc>
          <w:tcPr>
            <w:tcW w:w="50" w:type="pct"/>
            <w:shd w:val="clear" w:color="auto" w:fill="auto"/>
          </w:tcPr>
          <w:p w14:paraId="7B66FBC6" w14:textId="77777777" w:rsidR="0040300B" w:rsidRDefault="0040300B">
            <w:pPr>
              <w:rPr>
                <w:rFonts w:ascii="宋体"/>
              </w:rPr>
            </w:pPr>
          </w:p>
        </w:tc>
        <w:tc>
          <w:tcPr>
            <w:tcW w:w="362" w:type="pct"/>
            <w:shd w:val="clear" w:color="auto" w:fill="auto"/>
          </w:tcPr>
          <w:p w14:paraId="7B66FBC7" w14:textId="77777777" w:rsidR="0040300B" w:rsidRDefault="0040300B">
            <w:pPr>
              <w:rPr>
                <w:rFonts w:ascii="宋体"/>
              </w:rPr>
            </w:pPr>
          </w:p>
        </w:tc>
        <w:tc>
          <w:tcPr>
            <w:tcW w:w="5" w:type="pct"/>
            <w:shd w:val="clear" w:color="auto" w:fill="auto"/>
          </w:tcPr>
          <w:p w14:paraId="7B66FBC8" w14:textId="77777777" w:rsidR="0040300B" w:rsidRDefault="0040300B">
            <w:pPr>
              <w:rPr>
                <w:rFonts w:ascii="宋体"/>
              </w:rPr>
            </w:pPr>
          </w:p>
        </w:tc>
        <w:tc>
          <w:tcPr>
            <w:tcW w:w="5" w:type="pct"/>
            <w:shd w:val="clear" w:color="auto" w:fill="auto"/>
          </w:tcPr>
          <w:p w14:paraId="7B66FBC9" w14:textId="77777777" w:rsidR="0040300B" w:rsidRDefault="0040300B">
            <w:pPr>
              <w:rPr>
                <w:rFonts w:ascii="宋体"/>
              </w:rPr>
            </w:pPr>
          </w:p>
        </w:tc>
        <w:tc>
          <w:tcPr>
            <w:tcW w:w="26" w:type="pct"/>
            <w:shd w:val="clear" w:color="auto" w:fill="auto"/>
          </w:tcPr>
          <w:p w14:paraId="7B66FBCA" w14:textId="77777777" w:rsidR="0040300B" w:rsidRDefault="0040300B">
            <w:pPr>
              <w:rPr>
                <w:rFonts w:ascii="宋体"/>
              </w:rPr>
            </w:pPr>
          </w:p>
        </w:tc>
        <w:tc>
          <w:tcPr>
            <w:tcW w:w="5" w:type="pct"/>
            <w:shd w:val="clear" w:color="auto" w:fill="auto"/>
          </w:tcPr>
          <w:p w14:paraId="7B66FBCB" w14:textId="77777777" w:rsidR="0040300B" w:rsidRDefault="0040300B">
            <w:pPr>
              <w:rPr>
                <w:rFonts w:ascii="宋体"/>
              </w:rPr>
            </w:pPr>
          </w:p>
        </w:tc>
        <w:tc>
          <w:tcPr>
            <w:tcW w:w="50" w:type="pct"/>
            <w:shd w:val="clear" w:color="auto" w:fill="auto"/>
          </w:tcPr>
          <w:p w14:paraId="7B66FBCC" w14:textId="77777777" w:rsidR="0040300B" w:rsidRDefault="0040300B">
            <w:pPr>
              <w:rPr>
                <w:rFonts w:ascii="宋体"/>
              </w:rPr>
            </w:pPr>
          </w:p>
        </w:tc>
        <w:tc>
          <w:tcPr>
            <w:tcW w:w="531" w:type="pct"/>
            <w:shd w:val="clear" w:color="auto" w:fill="auto"/>
          </w:tcPr>
          <w:p w14:paraId="7B66FBCD" w14:textId="77777777" w:rsidR="0040300B" w:rsidRDefault="0040300B">
            <w:pPr>
              <w:rPr>
                <w:rFonts w:ascii="宋体"/>
              </w:rPr>
            </w:pPr>
          </w:p>
        </w:tc>
        <w:tc>
          <w:tcPr>
            <w:tcW w:w="5" w:type="pct"/>
            <w:shd w:val="clear" w:color="auto" w:fill="auto"/>
          </w:tcPr>
          <w:p w14:paraId="7B66FBCE" w14:textId="77777777" w:rsidR="0040300B" w:rsidRDefault="0040300B">
            <w:pPr>
              <w:rPr>
                <w:rFonts w:ascii="宋体"/>
              </w:rPr>
            </w:pPr>
          </w:p>
        </w:tc>
        <w:tc>
          <w:tcPr>
            <w:tcW w:w="5" w:type="pct"/>
            <w:shd w:val="clear" w:color="auto" w:fill="auto"/>
          </w:tcPr>
          <w:p w14:paraId="7B66FBCF" w14:textId="77777777" w:rsidR="0040300B" w:rsidRDefault="0040300B">
            <w:pPr>
              <w:rPr>
                <w:rFonts w:ascii="宋体"/>
              </w:rPr>
            </w:pPr>
          </w:p>
        </w:tc>
        <w:tc>
          <w:tcPr>
            <w:tcW w:w="26" w:type="pct"/>
            <w:shd w:val="clear" w:color="auto" w:fill="auto"/>
          </w:tcPr>
          <w:p w14:paraId="7B66FBD0" w14:textId="77777777" w:rsidR="0040300B" w:rsidRDefault="0040300B">
            <w:pPr>
              <w:rPr>
                <w:rFonts w:ascii="宋体"/>
              </w:rPr>
            </w:pPr>
          </w:p>
        </w:tc>
        <w:tc>
          <w:tcPr>
            <w:tcW w:w="5" w:type="pct"/>
            <w:shd w:val="clear" w:color="auto" w:fill="auto"/>
          </w:tcPr>
          <w:p w14:paraId="7B66FBD1" w14:textId="77777777" w:rsidR="0040300B" w:rsidRDefault="0040300B">
            <w:pPr>
              <w:rPr>
                <w:rFonts w:ascii="宋体"/>
              </w:rPr>
            </w:pPr>
          </w:p>
        </w:tc>
        <w:tc>
          <w:tcPr>
            <w:tcW w:w="50" w:type="pct"/>
            <w:shd w:val="clear" w:color="auto" w:fill="auto"/>
          </w:tcPr>
          <w:p w14:paraId="7B66FBD2" w14:textId="77777777" w:rsidR="0040300B" w:rsidRDefault="0040300B">
            <w:pPr>
              <w:rPr>
                <w:rFonts w:ascii="宋体"/>
              </w:rPr>
            </w:pPr>
          </w:p>
        </w:tc>
        <w:tc>
          <w:tcPr>
            <w:tcW w:w="362" w:type="pct"/>
            <w:shd w:val="clear" w:color="auto" w:fill="auto"/>
          </w:tcPr>
          <w:p w14:paraId="7B66FBD3" w14:textId="77777777" w:rsidR="0040300B" w:rsidRDefault="0040300B">
            <w:pPr>
              <w:rPr>
                <w:rFonts w:ascii="宋体"/>
              </w:rPr>
            </w:pPr>
          </w:p>
        </w:tc>
        <w:tc>
          <w:tcPr>
            <w:tcW w:w="5" w:type="pct"/>
            <w:shd w:val="clear" w:color="auto" w:fill="auto"/>
          </w:tcPr>
          <w:p w14:paraId="7B66FBD4" w14:textId="77777777" w:rsidR="0040300B" w:rsidRDefault="0040300B">
            <w:pPr>
              <w:rPr>
                <w:rFonts w:ascii="宋体"/>
              </w:rPr>
            </w:pPr>
          </w:p>
        </w:tc>
        <w:tc>
          <w:tcPr>
            <w:tcW w:w="5" w:type="pct"/>
            <w:shd w:val="clear" w:color="auto" w:fill="auto"/>
          </w:tcPr>
          <w:p w14:paraId="7B66FBD5" w14:textId="77777777" w:rsidR="0040300B" w:rsidRDefault="0040300B">
            <w:pPr>
              <w:rPr>
                <w:rFonts w:ascii="宋体"/>
              </w:rPr>
            </w:pPr>
          </w:p>
        </w:tc>
        <w:tc>
          <w:tcPr>
            <w:tcW w:w="26" w:type="pct"/>
            <w:shd w:val="clear" w:color="auto" w:fill="auto"/>
          </w:tcPr>
          <w:p w14:paraId="7B66FBD6" w14:textId="77777777" w:rsidR="0040300B" w:rsidRDefault="0040300B">
            <w:pPr>
              <w:rPr>
                <w:rFonts w:ascii="宋体"/>
              </w:rPr>
            </w:pPr>
          </w:p>
        </w:tc>
        <w:tc>
          <w:tcPr>
            <w:tcW w:w="5" w:type="pct"/>
            <w:shd w:val="clear" w:color="auto" w:fill="auto"/>
          </w:tcPr>
          <w:p w14:paraId="7B66FBD7" w14:textId="77777777" w:rsidR="0040300B" w:rsidRDefault="0040300B">
            <w:pPr>
              <w:rPr>
                <w:rFonts w:ascii="宋体"/>
              </w:rPr>
            </w:pPr>
          </w:p>
        </w:tc>
        <w:tc>
          <w:tcPr>
            <w:tcW w:w="50" w:type="pct"/>
            <w:shd w:val="clear" w:color="auto" w:fill="auto"/>
          </w:tcPr>
          <w:p w14:paraId="7B66FBD8" w14:textId="77777777" w:rsidR="0040300B" w:rsidRDefault="0040300B">
            <w:pPr>
              <w:rPr>
                <w:rFonts w:ascii="宋体"/>
              </w:rPr>
            </w:pPr>
          </w:p>
        </w:tc>
        <w:tc>
          <w:tcPr>
            <w:tcW w:w="531" w:type="pct"/>
            <w:shd w:val="clear" w:color="auto" w:fill="auto"/>
          </w:tcPr>
          <w:p w14:paraId="7B66FBD9" w14:textId="77777777" w:rsidR="0040300B" w:rsidRDefault="0040300B">
            <w:pPr>
              <w:rPr>
                <w:rFonts w:ascii="宋体"/>
              </w:rPr>
            </w:pPr>
          </w:p>
        </w:tc>
        <w:tc>
          <w:tcPr>
            <w:tcW w:w="5" w:type="pct"/>
            <w:shd w:val="clear" w:color="auto" w:fill="auto"/>
          </w:tcPr>
          <w:p w14:paraId="7B66FBDA" w14:textId="77777777" w:rsidR="0040300B" w:rsidRDefault="0040300B">
            <w:pPr>
              <w:rPr>
                <w:rFonts w:ascii="宋体"/>
              </w:rPr>
            </w:pPr>
          </w:p>
        </w:tc>
      </w:tr>
      <w:tr w:rsidR="0040300B" w14:paraId="7B66FBE2" w14:textId="77777777">
        <w:trPr>
          <w:jc w:val="center"/>
        </w:trPr>
        <w:tc>
          <w:tcPr>
            <w:tcW w:w="0" w:type="auto"/>
            <w:gridSpan w:val="3"/>
            <w:shd w:val="clear" w:color="auto" w:fill="auto"/>
            <w:tcMar>
              <w:top w:w="40" w:type="dxa"/>
              <w:left w:w="20" w:type="dxa"/>
              <w:bottom w:w="40" w:type="dxa"/>
              <w:right w:w="20" w:type="dxa"/>
            </w:tcMar>
            <w:vAlign w:val="bottom"/>
          </w:tcPr>
          <w:p w14:paraId="7B66FBDC"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7B66FBD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BDE"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BDF"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6FBE0"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BE1"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6FBED" w14:textId="77777777">
        <w:trPr>
          <w:jc w:val="center"/>
        </w:trPr>
        <w:tc>
          <w:tcPr>
            <w:tcW w:w="0" w:type="auto"/>
            <w:gridSpan w:val="3"/>
            <w:shd w:val="clear" w:color="auto" w:fill="auto"/>
            <w:tcMar>
              <w:top w:w="40" w:type="dxa"/>
              <w:left w:w="20" w:type="dxa"/>
              <w:bottom w:w="40" w:type="dxa"/>
              <w:right w:w="20" w:type="dxa"/>
            </w:tcMar>
            <w:vAlign w:val="bottom"/>
          </w:tcPr>
          <w:p w14:paraId="7B66FBE3"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6FBE4" w14:textId="77777777" w:rsidR="0040300B" w:rsidRDefault="00BB2D44">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tcPr>
          <w:p w14:paraId="7B66FBE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E6"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6FBE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E8" w14:textId="77777777" w:rsidR="0040300B" w:rsidRDefault="00BB2D44">
            <w:pPr>
              <w:jc w:val="center"/>
              <w:textAlignment w:val="bottom"/>
            </w:pPr>
            <w:r>
              <w:rPr>
                <w:rFonts w:ascii="Times New Roman" w:eastAsia="宋体" w:hAnsi="Times New Roman"/>
                <w:color w:val="000000"/>
                <w:sz w:val="18"/>
                <w:szCs w:val="18"/>
              </w:rPr>
              <w:t>Effective Rate</w:t>
            </w:r>
          </w:p>
        </w:tc>
        <w:tc>
          <w:tcPr>
            <w:tcW w:w="0" w:type="auto"/>
            <w:gridSpan w:val="3"/>
            <w:shd w:val="clear" w:color="auto" w:fill="auto"/>
            <w:tcMar>
              <w:top w:w="0" w:type="dxa"/>
              <w:left w:w="20" w:type="dxa"/>
              <w:bottom w:w="0" w:type="dxa"/>
              <w:right w:w="20" w:type="dxa"/>
            </w:tcMar>
          </w:tcPr>
          <w:p w14:paraId="7B66FBE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EA"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6FBE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BEC" w14:textId="77777777" w:rsidR="0040300B" w:rsidRDefault="00BB2D44">
            <w:pPr>
              <w:jc w:val="center"/>
              <w:textAlignment w:val="bottom"/>
            </w:pPr>
            <w:r>
              <w:rPr>
                <w:rFonts w:ascii="Times New Roman" w:eastAsia="宋体" w:hAnsi="Times New Roman"/>
                <w:color w:val="000000"/>
                <w:sz w:val="18"/>
                <w:szCs w:val="18"/>
              </w:rPr>
              <w:t>Effective Rate</w:t>
            </w:r>
          </w:p>
        </w:tc>
      </w:tr>
      <w:tr w:rsidR="0040300B" w14:paraId="7B66FBF8" w14:textId="77777777">
        <w:trPr>
          <w:jc w:val="center"/>
        </w:trPr>
        <w:tc>
          <w:tcPr>
            <w:tcW w:w="0" w:type="auto"/>
            <w:gridSpan w:val="3"/>
            <w:shd w:val="clear" w:color="auto" w:fill="CCEEFF"/>
            <w:tcMar>
              <w:top w:w="40" w:type="dxa"/>
              <w:left w:w="20" w:type="dxa"/>
              <w:bottom w:w="40" w:type="dxa"/>
              <w:right w:w="20" w:type="dxa"/>
            </w:tcMar>
          </w:tcPr>
          <w:p w14:paraId="7B66FBEE" w14:textId="77777777" w:rsidR="0040300B" w:rsidRDefault="00BB2D44">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tcPr>
          <w:p w14:paraId="7B66FBE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F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F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F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F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F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F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BF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BF7" w14:textId="77777777" w:rsidR="0040300B" w:rsidRDefault="0040300B">
            <w:pPr>
              <w:rPr>
                <w:rFonts w:ascii="宋体"/>
              </w:rPr>
            </w:pPr>
          </w:p>
        </w:tc>
      </w:tr>
      <w:tr w:rsidR="0040300B" w14:paraId="7B66FC03" w14:textId="77777777">
        <w:trPr>
          <w:jc w:val="center"/>
        </w:trPr>
        <w:tc>
          <w:tcPr>
            <w:tcW w:w="0" w:type="auto"/>
            <w:gridSpan w:val="3"/>
            <w:shd w:val="clear" w:color="auto" w:fill="FFFFFF"/>
            <w:tcMar>
              <w:top w:w="40" w:type="dxa"/>
              <w:left w:w="140" w:type="dxa"/>
              <w:bottom w:w="40" w:type="dxa"/>
              <w:right w:w="20" w:type="dxa"/>
            </w:tcMar>
            <w:vAlign w:val="center"/>
          </w:tcPr>
          <w:p w14:paraId="7B66FBF9" w14:textId="77777777" w:rsidR="0040300B" w:rsidRDefault="00BB2D44">
            <w:pPr>
              <w:textAlignment w:val="center"/>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tcPr>
          <w:p w14:paraId="7B66FBF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BF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BF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BF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BF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BF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0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0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02" w14:textId="77777777" w:rsidR="0040300B" w:rsidRDefault="0040300B">
            <w:pPr>
              <w:rPr>
                <w:rFonts w:ascii="宋体"/>
              </w:rPr>
            </w:pPr>
          </w:p>
        </w:tc>
      </w:tr>
      <w:tr w:rsidR="0040300B" w14:paraId="7B66FC12" w14:textId="77777777">
        <w:trPr>
          <w:jc w:val="center"/>
        </w:trPr>
        <w:tc>
          <w:tcPr>
            <w:tcW w:w="0" w:type="auto"/>
            <w:gridSpan w:val="3"/>
            <w:shd w:val="clear" w:color="auto" w:fill="CCEEFF"/>
            <w:tcMar>
              <w:top w:w="40" w:type="dxa"/>
              <w:left w:w="380" w:type="dxa"/>
              <w:bottom w:w="40" w:type="dxa"/>
              <w:right w:w="20" w:type="dxa"/>
            </w:tcMar>
            <w:vAlign w:val="center"/>
          </w:tcPr>
          <w:p w14:paraId="7B66FC04" w14:textId="77777777" w:rsidR="0040300B" w:rsidRDefault="00BB2D44">
            <w:pPr>
              <w:textAlignment w:val="center"/>
            </w:pPr>
            <w:r>
              <w:rPr>
                <w:rFonts w:ascii="Times New Roman" w:eastAsia="宋体" w:hAnsi="Times New Roman"/>
                <w:color w:val="000000"/>
                <w:sz w:val="20"/>
                <w:szCs w:val="20"/>
              </w:rPr>
              <w:t>2.20%</w:t>
            </w:r>
          </w:p>
        </w:tc>
        <w:tc>
          <w:tcPr>
            <w:tcW w:w="0" w:type="auto"/>
            <w:gridSpan w:val="3"/>
            <w:shd w:val="clear" w:color="auto" w:fill="CCEEFF"/>
            <w:tcMar>
              <w:top w:w="40" w:type="dxa"/>
              <w:left w:w="20" w:type="dxa"/>
              <w:bottom w:w="40" w:type="dxa"/>
              <w:right w:w="20" w:type="dxa"/>
            </w:tcMar>
            <w:vAlign w:val="bottom"/>
          </w:tcPr>
          <w:p w14:paraId="7B66FC05" w14:textId="77777777" w:rsidR="0040300B" w:rsidRDefault="00BB2D44">
            <w:pPr>
              <w:textAlignment w:val="bottom"/>
            </w:pPr>
            <w:r>
              <w:rPr>
                <w:rFonts w:ascii="Times New Roman" w:eastAsia="宋体" w:hAnsi="Times New Roman"/>
                <w:color w:val="000000"/>
                <w:sz w:val="20"/>
                <w:szCs w:val="20"/>
              </w:rPr>
              <w:t>February 28, 2021</w:t>
            </w:r>
          </w:p>
        </w:tc>
        <w:tc>
          <w:tcPr>
            <w:tcW w:w="0" w:type="auto"/>
            <w:gridSpan w:val="3"/>
            <w:shd w:val="clear" w:color="auto" w:fill="CCEEFF"/>
            <w:tcMar>
              <w:top w:w="0" w:type="dxa"/>
              <w:left w:w="20" w:type="dxa"/>
              <w:bottom w:w="0" w:type="dxa"/>
              <w:right w:w="20" w:type="dxa"/>
            </w:tcMar>
          </w:tcPr>
          <w:p w14:paraId="7B66FC0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C0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C0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6FC0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0A"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0B" w14:textId="77777777" w:rsidR="0040300B" w:rsidRDefault="00BB2D44">
            <w:pPr>
              <w:jc w:val="center"/>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6FC0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C0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C0E" w14:textId="77777777" w:rsidR="0040300B" w:rsidRDefault="00BB2D44">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7B66FC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10"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11" w14:textId="77777777" w:rsidR="0040300B" w:rsidRDefault="00BB2D44">
            <w:pPr>
              <w:jc w:val="center"/>
              <w:textAlignment w:val="bottom"/>
            </w:pPr>
            <w:r>
              <w:rPr>
                <w:rFonts w:ascii="Times New Roman" w:eastAsia="宋体" w:hAnsi="Times New Roman"/>
                <w:color w:val="000000"/>
                <w:sz w:val="20"/>
                <w:szCs w:val="20"/>
              </w:rPr>
              <w:t>2.30%</w:t>
            </w:r>
          </w:p>
        </w:tc>
      </w:tr>
      <w:tr w:rsidR="0040300B" w14:paraId="7B66FC1F" w14:textId="77777777">
        <w:trPr>
          <w:jc w:val="center"/>
        </w:trPr>
        <w:tc>
          <w:tcPr>
            <w:tcW w:w="0" w:type="auto"/>
            <w:gridSpan w:val="3"/>
            <w:shd w:val="clear" w:color="auto" w:fill="FFFFFF"/>
            <w:tcMar>
              <w:top w:w="40" w:type="dxa"/>
              <w:left w:w="380" w:type="dxa"/>
              <w:bottom w:w="40" w:type="dxa"/>
              <w:right w:w="20" w:type="dxa"/>
            </w:tcMar>
            <w:vAlign w:val="center"/>
          </w:tcPr>
          <w:p w14:paraId="7B66FC13" w14:textId="77777777" w:rsidR="0040300B" w:rsidRDefault="00BB2D44">
            <w:pPr>
              <w:textAlignment w:val="center"/>
            </w:pPr>
            <w:r>
              <w:rPr>
                <w:rFonts w:ascii="Times New Roman" w:eastAsia="宋体" w:hAnsi="Times New Roman"/>
                <w:color w:val="000000"/>
                <w:sz w:val="20"/>
                <w:szCs w:val="20"/>
              </w:rPr>
              <w:t>2.90%</w:t>
            </w:r>
          </w:p>
        </w:tc>
        <w:tc>
          <w:tcPr>
            <w:tcW w:w="0" w:type="auto"/>
            <w:gridSpan w:val="3"/>
            <w:shd w:val="clear" w:color="auto" w:fill="FFFFFF"/>
            <w:tcMar>
              <w:top w:w="40" w:type="dxa"/>
              <w:left w:w="20" w:type="dxa"/>
              <w:bottom w:w="40" w:type="dxa"/>
              <w:right w:w="20" w:type="dxa"/>
            </w:tcMar>
            <w:vAlign w:val="bottom"/>
          </w:tcPr>
          <w:p w14:paraId="7B66FC14" w14:textId="77777777" w:rsidR="0040300B" w:rsidRDefault="00BB2D44">
            <w:pPr>
              <w:textAlignment w:val="bottom"/>
            </w:pPr>
            <w:r>
              <w:rPr>
                <w:rFonts w:ascii="Times New Roman" w:eastAsia="宋体" w:hAnsi="Times New Roman"/>
                <w:color w:val="000000"/>
                <w:sz w:val="20"/>
                <w:szCs w:val="20"/>
              </w:rPr>
              <w:t>March 4, 2021</w:t>
            </w:r>
          </w:p>
        </w:tc>
        <w:tc>
          <w:tcPr>
            <w:tcW w:w="0" w:type="auto"/>
            <w:gridSpan w:val="3"/>
            <w:shd w:val="clear" w:color="auto" w:fill="FFFFFF"/>
            <w:tcMar>
              <w:top w:w="0" w:type="dxa"/>
              <w:left w:w="20" w:type="dxa"/>
              <w:bottom w:w="0" w:type="dxa"/>
              <w:right w:w="20" w:type="dxa"/>
            </w:tcMar>
          </w:tcPr>
          <w:p w14:paraId="7B66FC1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1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6FC1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18"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19" w14:textId="77777777" w:rsidR="0040300B" w:rsidRDefault="00BB2D44">
            <w:pPr>
              <w:jc w:val="center"/>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6FC1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1B"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6FC1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1D"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1E" w14:textId="77777777" w:rsidR="0040300B" w:rsidRDefault="00BB2D44">
            <w:pPr>
              <w:jc w:val="center"/>
              <w:textAlignment w:val="bottom"/>
            </w:pPr>
            <w:r>
              <w:rPr>
                <w:rFonts w:ascii="Times New Roman" w:eastAsia="宋体" w:hAnsi="Times New Roman"/>
                <w:color w:val="000000"/>
                <w:sz w:val="20"/>
                <w:szCs w:val="20"/>
              </w:rPr>
              <w:t>0.94%</w:t>
            </w:r>
          </w:p>
        </w:tc>
      </w:tr>
      <w:tr w:rsidR="0040300B" w14:paraId="7B66FC2C" w14:textId="77777777">
        <w:trPr>
          <w:jc w:val="center"/>
        </w:trPr>
        <w:tc>
          <w:tcPr>
            <w:tcW w:w="0" w:type="auto"/>
            <w:gridSpan w:val="3"/>
            <w:shd w:val="clear" w:color="auto" w:fill="CCEEFF"/>
            <w:tcMar>
              <w:top w:w="40" w:type="dxa"/>
              <w:left w:w="380" w:type="dxa"/>
              <w:bottom w:w="40" w:type="dxa"/>
              <w:right w:w="20" w:type="dxa"/>
            </w:tcMar>
            <w:vAlign w:val="center"/>
          </w:tcPr>
          <w:p w14:paraId="7B66FC20" w14:textId="77777777" w:rsidR="0040300B" w:rsidRDefault="00BB2D44">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7B66FC21" w14:textId="77777777" w:rsidR="0040300B" w:rsidRDefault="00BB2D44">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tcPr>
          <w:p w14:paraId="7B66FC2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23"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6FC2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2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26" w14:textId="77777777" w:rsidR="0040300B" w:rsidRDefault="00BB2D44">
            <w:pPr>
              <w:jc w:val="center"/>
              <w:textAlignment w:val="bottom"/>
            </w:pPr>
            <w:r>
              <w:rPr>
                <w:rFonts w:ascii="Times New Roman" w:eastAsia="宋体" w:hAnsi="Times New Roman"/>
                <w:color w:val="000000"/>
                <w:sz w:val="20"/>
                <w:szCs w:val="20"/>
              </w:rPr>
              <w:t>1.90%</w:t>
            </w:r>
          </w:p>
        </w:tc>
        <w:tc>
          <w:tcPr>
            <w:tcW w:w="0" w:type="auto"/>
            <w:gridSpan w:val="3"/>
            <w:shd w:val="clear" w:color="auto" w:fill="CCEEFF"/>
            <w:tcMar>
              <w:top w:w="0" w:type="dxa"/>
              <w:left w:w="20" w:type="dxa"/>
              <w:bottom w:w="0" w:type="dxa"/>
              <w:right w:w="20" w:type="dxa"/>
            </w:tcMar>
          </w:tcPr>
          <w:p w14:paraId="7B66FC2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28"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6FC2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2A"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2B" w14:textId="77777777" w:rsidR="0040300B" w:rsidRDefault="00BB2D44">
            <w:pPr>
              <w:jc w:val="center"/>
              <w:textAlignment w:val="bottom"/>
            </w:pPr>
            <w:r>
              <w:rPr>
                <w:rFonts w:ascii="Times New Roman" w:eastAsia="宋体" w:hAnsi="Times New Roman"/>
                <w:color w:val="000000"/>
                <w:sz w:val="20"/>
                <w:szCs w:val="20"/>
              </w:rPr>
              <w:t>1.90%</w:t>
            </w:r>
          </w:p>
        </w:tc>
      </w:tr>
      <w:tr w:rsidR="0040300B" w14:paraId="7B66FC39" w14:textId="77777777">
        <w:trPr>
          <w:jc w:val="center"/>
        </w:trPr>
        <w:tc>
          <w:tcPr>
            <w:tcW w:w="0" w:type="auto"/>
            <w:gridSpan w:val="3"/>
            <w:shd w:val="clear" w:color="auto" w:fill="FFFFFF"/>
            <w:tcMar>
              <w:top w:w="40" w:type="dxa"/>
              <w:left w:w="380" w:type="dxa"/>
              <w:bottom w:w="40" w:type="dxa"/>
              <w:right w:w="20" w:type="dxa"/>
            </w:tcMar>
            <w:vAlign w:val="center"/>
          </w:tcPr>
          <w:p w14:paraId="7B66FC2D" w14:textId="77777777" w:rsidR="0040300B" w:rsidRDefault="00BB2D44">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7B66FC2E" w14:textId="77777777" w:rsidR="0040300B" w:rsidRDefault="00BB2D44">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tcPr>
          <w:p w14:paraId="7B66FC2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30"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6FC3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32"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33" w14:textId="77777777" w:rsidR="0040300B" w:rsidRDefault="00BB2D44">
            <w:pPr>
              <w:jc w:val="center"/>
              <w:textAlignment w:val="bottom"/>
            </w:pPr>
            <w:r>
              <w:rPr>
                <w:rFonts w:ascii="Times New Roman" w:eastAsia="宋体" w:hAnsi="Times New Roman"/>
                <w:color w:val="000000"/>
                <w:sz w:val="20"/>
                <w:szCs w:val="20"/>
              </w:rPr>
              <w:t>1.15%</w:t>
            </w:r>
          </w:p>
        </w:tc>
        <w:tc>
          <w:tcPr>
            <w:tcW w:w="0" w:type="auto"/>
            <w:gridSpan w:val="3"/>
            <w:shd w:val="clear" w:color="auto" w:fill="FFFFFF"/>
            <w:tcMar>
              <w:top w:w="0" w:type="dxa"/>
              <w:left w:w="20" w:type="dxa"/>
              <w:bottom w:w="0" w:type="dxa"/>
              <w:right w:w="20" w:type="dxa"/>
            </w:tcMar>
          </w:tcPr>
          <w:p w14:paraId="7B66FC3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35"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6FC3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37"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38" w14:textId="77777777" w:rsidR="0040300B" w:rsidRDefault="00BB2D44">
            <w:pPr>
              <w:jc w:val="center"/>
              <w:textAlignment w:val="bottom"/>
            </w:pPr>
            <w:r>
              <w:rPr>
                <w:rFonts w:ascii="Times New Roman" w:eastAsia="宋体" w:hAnsi="Times New Roman"/>
                <w:color w:val="000000"/>
                <w:sz w:val="20"/>
                <w:szCs w:val="20"/>
              </w:rPr>
              <w:t>1.21%</w:t>
            </w:r>
          </w:p>
        </w:tc>
      </w:tr>
      <w:tr w:rsidR="0040300B" w14:paraId="7B66FC46" w14:textId="77777777">
        <w:trPr>
          <w:jc w:val="center"/>
        </w:trPr>
        <w:tc>
          <w:tcPr>
            <w:tcW w:w="0" w:type="auto"/>
            <w:gridSpan w:val="3"/>
            <w:shd w:val="clear" w:color="auto" w:fill="CCEEFF"/>
            <w:tcMar>
              <w:top w:w="40" w:type="dxa"/>
              <w:left w:w="380" w:type="dxa"/>
              <w:bottom w:w="40" w:type="dxa"/>
              <w:right w:w="20" w:type="dxa"/>
            </w:tcMar>
            <w:vAlign w:val="center"/>
          </w:tcPr>
          <w:p w14:paraId="7B66FC3A" w14:textId="77777777" w:rsidR="0040300B" w:rsidRDefault="00BB2D44">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7B66FC3B" w14:textId="77777777" w:rsidR="0040300B" w:rsidRDefault="00BB2D44">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tcPr>
          <w:p w14:paraId="7B66FC3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3D"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6FC3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3F"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40" w14:textId="77777777" w:rsidR="0040300B" w:rsidRDefault="00BB2D44">
            <w:pPr>
              <w:jc w:val="center"/>
              <w:textAlignment w:val="bottom"/>
            </w:pPr>
            <w:r>
              <w:rPr>
                <w:rFonts w:ascii="Times New Roman" w:eastAsia="宋体" w:hAnsi="Times New Roman"/>
                <w:color w:val="000000"/>
                <w:sz w:val="20"/>
                <w:szCs w:val="20"/>
              </w:rPr>
              <w:t>2.68%</w:t>
            </w:r>
          </w:p>
        </w:tc>
        <w:tc>
          <w:tcPr>
            <w:tcW w:w="0" w:type="auto"/>
            <w:gridSpan w:val="3"/>
            <w:shd w:val="clear" w:color="auto" w:fill="CCEEFF"/>
            <w:tcMar>
              <w:top w:w="0" w:type="dxa"/>
              <w:left w:w="20" w:type="dxa"/>
              <w:bottom w:w="0" w:type="dxa"/>
              <w:right w:w="20" w:type="dxa"/>
            </w:tcMar>
          </w:tcPr>
          <w:p w14:paraId="7B66FC4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42"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6FC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44"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45" w14:textId="77777777" w:rsidR="0040300B" w:rsidRDefault="00BB2D44">
            <w:pPr>
              <w:jc w:val="center"/>
              <w:textAlignment w:val="bottom"/>
            </w:pPr>
            <w:r>
              <w:rPr>
                <w:rFonts w:ascii="Times New Roman" w:eastAsia="宋体" w:hAnsi="Times New Roman"/>
                <w:color w:val="000000"/>
                <w:sz w:val="20"/>
                <w:szCs w:val="20"/>
              </w:rPr>
              <w:t>2.68%</w:t>
            </w:r>
          </w:p>
        </w:tc>
      </w:tr>
      <w:tr w:rsidR="0040300B" w14:paraId="7B66FC53" w14:textId="77777777">
        <w:trPr>
          <w:jc w:val="center"/>
        </w:trPr>
        <w:tc>
          <w:tcPr>
            <w:tcW w:w="0" w:type="auto"/>
            <w:gridSpan w:val="3"/>
            <w:shd w:val="clear" w:color="auto" w:fill="FFFFFF"/>
            <w:tcMar>
              <w:top w:w="40" w:type="dxa"/>
              <w:left w:w="380" w:type="dxa"/>
              <w:bottom w:w="40" w:type="dxa"/>
              <w:right w:w="20" w:type="dxa"/>
            </w:tcMar>
            <w:vAlign w:val="center"/>
          </w:tcPr>
          <w:p w14:paraId="7B66FC47" w14:textId="77777777" w:rsidR="0040300B" w:rsidRDefault="00BB2D44">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7B66FC48" w14:textId="77777777" w:rsidR="0040300B" w:rsidRDefault="00BB2D44">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tcPr>
          <w:p w14:paraId="7B66FC4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4A"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B66FC4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4C"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4D" w14:textId="77777777" w:rsidR="0040300B" w:rsidRDefault="00BB2D44">
            <w:pPr>
              <w:jc w:val="center"/>
              <w:textAlignment w:val="bottom"/>
            </w:pPr>
            <w:r>
              <w:rPr>
                <w:rFonts w:ascii="Times New Roman" w:eastAsia="宋体" w:hAnsi="Times New Roman"/>
                <w:color w:val="000000"/>
                <w:sz w:val="20"/>
                <w:szCs w:val="20"/>
              </w:rPr>
              <w:t>2.27%</w:t>
            </w:r>
          </w:p>
        </w:tc>
        <w:tc>
          <w:tcPr>
            <w:tcW w:w="0" w:type="auto"/>
            <w:gridSpan w:val="3"/>
            <w:shd w:val="clear" w:color="auto" w:fill="FFFFFF"/>
            <w:tcMar>
              <w:top w:w="0" w:type="dxa"/>
              <w:left w:w="20" w:type="dxa"/>
              <w:bottom w:w="0" w:type="dxa"/>
              <w:right w:w="20" w:type="dxa"/>
            </w:tcMar>
          </w:tcPr>
          <w:p w14:paraId="7B66FC4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4F"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B66FC5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51"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52" w14:textId="77777777" w:rsidR="0040300B" w:rsidRDefault="00BB2D44">
            <w:pPr>
              <w:jc w:val="center"/>
              <w:textAlignment w:val="bottom"/>
            </w:pPr>
            <w:r>
              <w:rPr>
                <w:rFonts w:ascii="Times New Roman" w:eastAsia="宋体" w:hAnsi="Times New Roman"/>
                <w:color w:val="000000"/>
                <w:sz w:val="20"/>
                <w:szCs w:val="20"/>
              </w:rPr>
              <w:t>2.27%</w:t>
            </w:r>
          </w:p>
        </w:tc>
      </w:tr>
      <w:tr w:rsidR="0040300B" w14:paraId="7B66FC60" w14:textId="77777777">
        <w:trPr>
          <w:jc w:val="center"/>
        </w:trPr>
        <w:tc>
          <w:tcPr>
            <w:tcW w:w="0" w:type="auto"/>
            <w:gridSpan w:val="3"/>
            <w:shd w:val="clear" w:color="auto" w:fill="CCEEFF"/>
            <w:tcMar>
              <w:top w:w="40" w:type="dxa"/>
              <w:left w:w="380" w:type="dxa"/>
              <w:bottom w:w="40" w:type="dxa"/>
              <w:right w:w="20" w:type="dxa"/>
            </w:tcMar>
            <w:vAlign w:val="center"/>
          </w:tcPr>
          <w:p w14:paraId="7B66FC54" w14:textId="77777777" w:rsidR="0040300B" w:rsidRDefault="00BB2D44">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7B66FC55" w14:textId="77777777" w:rsidR="0040300B" w:rsidRDefault="00BB2D44">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tcPr>
          <w:p w14:paraId="7B66FC5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57" w14:textId="77777777" w:rsidR="0040300B" w:rsidRDefault="00BB2D4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B66FC5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5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5A" w14:textId="77777777" w:rsidR="0040300B" w:rsidRDefault="00BB2D44">
            <w:pPr>
              <w:jc w:val="center"/>
              <w:textAlignment w:val="bottom"/>
            </w:pPr>
            <w:r>
              <w:rPr>
                <w:rFonts w:ascii="Times New Roman" w:eastAsia="宋体" w:hAnsi="Times New Roman"/>
                <w:color w:val="000000"/>
                <w:sz w:val="20"/>
                <w:szCs w:val="20"/>
              </w:rPr>
              <w:t>1.00%</w:t>
            </w:r>
          </w:p>
        </w:tc>
        <w:tc>
          <w:tcPr>
            <w:tcW w:w="0" w:type="auto"/>
            <w:gridSpan w:val="3"/>
            <w:shd w:val="clear" w:color="auto" w:fill="CCEEFF"/>
            <w:tcMar>
              <w:top w:w="0" w:type="dxa"/>
              <w:left w:w="20" w:type="dxa"/>
              <w:bottom w:w="0" w:type="dxa"/>
              <w:right w:w="20" w:type="dxa"/>
            </w:tcMar>
          </w:tcPr>
          <w:p w14:paraId="7B66FC5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5C" w14:textId="77777777" w:rsidR="0040300B" w:rsidRDefault="00BB2D4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B66FC5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5E"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5F" w14:textId="77777777" w:rsidR="0040300B" w:rsidRDefault="00BB2D44">
            <w:pPr>
              <w:jc w:val="center"/>
              <w:textAlignment w:val="bottom"/>
            </w:pPr>
            <w:r>
              <w:rPr>
                <w:rFonts w:ascii="Times New Roman" w:eastAsia="宋体" w:hAnsi="Times New Roman"/>
                <w:color w:val="000000"/>
                <w:sz w:val="20"/>
                <w:szCs w:val="20"/>
              </w:rPr>
              <w:t>1.06%</w:t>
            </w:r>
          </w:p>
        </w:tc>
      </w:tr>
      <w:tr w:rsidR="0040300B" w14:paraId="7B66FC6D" w14:textId="77777777">
        <w:trPr>
          <w:jc w:val="center"/>
        </w:trPr>
        <w:tc>
          <w:tcPr>
            <w:tcW w:w="0" w:type="auto"/>
            <w:gridSpan w:val="3"/>
            <w:shd w:val="clear" w:color="auto" w:fill="FFFFFF"/>
            <w:tcMar>
              <w:top w:w="40" w:type="dxa"/>
              <w:left w:w="380" w:type="dxa"/>
              <w:bottom w:w="40" w:type="dxa"/>
              <w:right w:w="20" w:type="dxa"/>
            </w:tcMar>
            <w:vAlign w:val="center"/>
          </w:tcPr>
          <w:p w14:paraId="7B66FC61" w14:textId="77777777" w:rsidR="0040300B" w:rsidRDefault="00BB2D44">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7B66FC62" w14:textId="77777777" w:rsidR="0040300B" w:rsidRDefault="00BB2D44">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tcPr>
          <w:p w14:paraId="7B66FC6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64"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6FC6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66"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67" w14:textId="77777777" w:rsidR="0040300B" w:rsidRDefault="00BB2D44">
            <w:pPr>
              <w:jc w:val="center"/>
              <w:textAlignment w:val="bottom"/>
            </w:pPr>
            <w:r>
              <w:rPr>
                <w:rFonts w:ascii="Times New Roman" w:eastAsia="宋体" w:hAnsi="Times New Roman"/>
                <w:color w:val="000000"/>
                <w:sz w:val="20"/>
                <w:szCs w:val="20"/>
              </w:rPr>
              <w:t>1.31%</w:t>
            </w:r>
          </w:p>
        </w:tc>
        <w:tc>
          <w:tcPr>
            <w:tcW w:w="0" w:type="auto"/>
            <w:gridSpan w:val="3"/>
            <w:shd w:val="clear" w:color="auto" w:fill="FFFFFF"/>
            <w:tcMar>
              <w:top w:w="0" w:type="dxa"/>
              <w:left w:w="20" w:type="dxa"/>
              <w:bottom w:w="0" w:type="dxa"/>
              <w:right w:w="20" w:type="dxa"/>
            </w:tcMar>
          </w:tcPr>
          <w:p w14:paraId="7B66FC6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69"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6FC6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6B"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6C" w14:textId="77777777" w:rsidR="0040300B" w:rsidRDefault="00BB2D44">
            <w:pPr>
              <w:jc w:val="center"/>
              <w:textAlignment w:val="bottom"/>
            </w:pPr>
            <w:r>
              <w:rPr>
                <w:rFonts w:ascii="Times New Roman" w:eastAsia="宋体" w:hAnsi="Times New Roman"/>
                <w:color w:val="000000"/>
                <w:sz w:val="20"/>
                <w:szCs w:val="20"/>
              </w:rPr>
              <w:t>1.37%</w:t>
            </w:r>
          </w:p>
        </w:tc>
      </w:tr>
      <w:tr w:rsidR="0040300B" w14:paraId="7B66FC7A" w14:textId="77777777">
        <w:trPr>
          <w:jc w:val="center"/>
        </w:trPr>
        <w:tc>
          <w:tcPr>
            <w:tcW w:w="0" w:type="auto"/>
            <w:gridSpan w:val="3"/>
            <w:shd w:val="clear" w:color="auto" w:fill="CCEEFF"/>
            <w:tcMar>
              <w:top w:w="40" w:type="dxa"/>
              <w:left w:w="380" w:type="dxa"/>
              <w:bottom w:w="40" w:type="dxa"/>
              <w:right w:w="20" w:type="dxa"/>
            </w:tcMar>
            <w:vAlign w:val="center"/>
          </w:tcPr>
          <w:p w14:paraId="7B66FC6E" w14:textId="77777777" w:rsidR="0040300B" w:rsidRDefault="00BB2D44">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7B66FC6F" w14:textId="77777777" w:rsidR="0040300B" w:rsidRDefault="00BB2D44">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tcPr>
          <w:p w14:paraId="7B66FC7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71"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B66FC7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73"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74" w14:textId="77777777" w:rsidR="0040300B" w:rsidRDefault="00BB2D44">
            <w:pPr>
              <w:jc w:val="center"/>
              <w:textAlignment w:val="bottom"/>
            </w:pPr>
            <w:r>
              <w:rPr>
                <w:rFonts w:ascii="Times New Roman" w:eastAsia="宋体" w:hAnsi="Times New Roman"/>
                <w:color w:val="000000"/>
                <w:sz w:val="20"/>
                <w:szCs w:val="20"/>
              </w:rPr>
              <w:t>3.01%</w:t>
            </w:r>
          </w:p>
        </w:tc>
        <w:tc>
          <w:tcPr>
            <w:tcW w:w="0" w:type="auto"/>
            <w:gridSpan w:val="3"/>
            <w:shd w:val="clear" w:color="auto" w:fill="CCEEFF"/>
            <w:tcMar>
              <w:top w:w="0" w:type="dxa"/>
              <w:left w:w="20" w:type="dxa"/>
              <w:bottom w:w="0" w:type="dxa"/>
              <w:right w:w="20" w:type="dxa"/>
            </w:tcMar>
          </w:tcPr>
          <w:p w14:paraId="7B66FC7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76"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B66FC7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78"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79" w14:textId="77777777" w:rsidR="0040300B" w:rsidRDefault="00BB2D44">
            <w:pPr>
              <w:jc w:val="center"/>
              <w:textAlignment w:val="bottom"/>
            </w:pPr>
            <w:r>
              <w:rPr>
                <w:rFonts w:ascii="Times New Roman" w:eastAsia="宋体" w:hAnsi="Times New Roman"/>
                <w:color w:val="000000"/>
                <w:sz w:val="20"/>
                <w:szCs w:val="20"/>
              </w:rPr>
              <w:t>3.01%</w:t>
            </w:r>
          </w:p>
        </w:tc>
      </w:tr>
      <w:tr w:rsidR="0040300B" w14:paraId="7B66FC87" w14:textId="77777777">
        <w:trPr>
          <w:jc w:val="center"/>
        </w:trPr>
        <w:tc>
          <w:tcPr>
            <w:tcW w:w="0" w:type="auto"/>
            <w:gridSpan w:val="3"/>
            <w:shd w:val="clear" w:color="auto" w:fill="FFFFFF"/>
            <w:tcMar>
              <w:top w:w="40" w:type="dxa"/>
              <w:left w:w="380" w:type="dxa"/>
              <w:bottom w:w="40" w:type="dxa"/>
              <w:right w:w="20" w:type="dxa"/>
            </w:tcMar>
            <w:vAlign w:val="center"/>
          </w:tcPr>
          <w:p w14:paraId="7B66FC7B" w14:textId="77777777" w:rsidR="0040300B" w:rsidRDefault="00BB2D44">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7B66FC7C" w14:textId="77777777" w:rsidR="0040300B" w:rsidRDefault="00BB2D44">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tcPr>
          <w:p w14:paraId="7B66FC7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7E" w14:textId="77777777" w:rsidR="0040300B" w:rsidRDefault="00BB2D4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B66FC7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80"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81" w14:textId="77777777" w:rsidR="0040300B" w:rsidRDefault="00BB2D44">
            <w:pPr>
              <w:jc w:val="center"/>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tcPr>
          <w:p w14:paraId="7B66FC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83" w14:textId="77777777" w:rsidR="0040300B" w:rsidRDefault="00BB2D4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B66FC8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85"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86" w14:textId="77777777" w:rsidR="0040300B" w:rsidRDefault="00BB2D44">
            <w:pPr>
              <w:jc w:val="center"/>
              <w:textAlignment w:val="bottom"/>
            </w:pPr>
            <w:r>
              <w:rPr>
                <w:rFonts w:ascii="Times New Roman" w:eastAsia="宋体" w:hAnsi="Times New Roman"/>
                <w:color w:val="000000"/>
                <w:sz w:val="20"/>
                <w:szCs w:val="20"/>
              </w:rPr>
              <w:t>2.55%</w:t>
            </w:r>
          </w:p>
        </w:tc>
      </w:tr>
      <w:tr w:rsidR="0040300B" w14:paraId="7B66FC94" w14:textId="77777777">
        <w:trPr>
          <w:jc w:val="center"/>
        </w:trPr>
        <w:tc>
          <w:tcPr>
            <w:tcW w:w="0" w:type="auto"/>
            <w:gridSpan w:val="3"/>
            <w:shd w:val="clear" w:color="auto" w:fill="CCEEFF"/>
            <w:tcMar>
              <w:top w:w="40" w:type="dxa"/>
              <w:left w:w="380" w:type="dxa"/>
              <w:bottom w:w="40" w:type="dxa"/>
              <w:right w:w="20" w:type="dxa"/>
            </w:tcMar>
            <w:vAlign w:val="center"/>
          </w:tcPr>
          <w:p w14:paraId="7B66FC88" w14:textId="77777777" w:rsidR="0040300B" w:rsidRDefault="00BB2D44">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7B66FC89" w14:textId="77777777" w:rsidR="0040300B" w:rsidRDefault="00BB2D44">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tcPr>
          <w:p w14:paraId="7B66FC8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8B"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6FC8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8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8E" w14:textId="77777777" w:rsidR="0040300B" w:rsidRDefault="00BB2D44">
            <w:pPr>
              <w:jc w:val="center"/>
              <w:textAlignment w:val="bottom"/>
            </w:pPr>
            <w:r>
              <w:rPr>
                <w:rFonts w:ascii="Times New Roman" w:eastAsia="宋体" w:hAnsi="Times New Roman"/>
                <w:color w:val="000000"/>
                <w:sz w:val="20"/>
                <w:szCs w:val="20"/>
              </w:rPr>
              <w:t>6.11%</w:t>
            </w:r>
          </w:p>
        </w:tc>
        <w:tc>
          <w:tcPr>
            <w:tcW w:w="0" w:type="auto"/>
            <w:gridSpan w:val="3"/>
            <w:shd w:val="clear" w:color="auto" w:fill="CCEEFF"/>
            <w:tcMar>
              <w:top w:w="0" w:type="dxa"/>
              <w:left w:w="20" w:type="dxa"/>
              <w:bottom w:w="0" w:type="dxa"/>
              <w:right w:w="20" w:type="dxa"/>
            </w:tcMar>
          </w:tcPr>
          <w:p w14:paraId="7B66FC8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90"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6FC9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92"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C93" w14:textId="77777777" w:rsidR="0040300B" w:rsidRDefault="00BB2D44">
            <w:pPr>
              <w:jc w:val="center"/>
              <w:textAlignment w:val="bottom"/>
            </w:pPr>
            <w:r>
              <w:rPr>
                <w:rFonts w:ascii="Times New Roman" w:eastAsia="宋体" w:hAnsi="Times New Roman"/>
                <w:color w:val="000000"/>
                <w:sz w:val="20"/>
                <w:szCs w:val="20"/>
              </w:rPr>
              <w:t>6.11%</w:t>
            </w:r>
          </w:p>
        </w:tc>
      </w:tr>
      <w:tr w:rsidR="0040300B" w14:paraId="7B66FCA1" w14:textId="77777777">
        <w:trPr>
          <w:jc w:val="center"/>
        </w:trPr>
        <w:tc>
          <w:tcPr>
            <w:tcW w:w="0" w:type="auto"/>
            <w:gridSpan w:val="3"/>
            <w:shd w:val="clear" w:color="auto" w:fill="FFFFFF"/>
            <w:tcMar>
              <w:top w:w="40" w:type="dxa"/>
              <w:left w:w="380" w:type="dxa"/>
              <w:bottom w:w="40" w:type="dxa"/>
              <w:right w:w="20" w:type="dxa"/>
            </w:tcMar>
            <w:vAlign w:val="center"/>
          </w:tcPr>
          <w:p w14:paraId="7B66FC95" w14:textId="77777777" w:rsidR="0040300B" w:rsidRDefault="00BB2D44">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7B66FC96" w14:textId="77777777" w:rsidR="0040300B" w:rsidRDefault="00BB2D44">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tcPr>
          <w:p w14:paraId="7B66FC9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98"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7B66FC9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9A"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9B" w14:textId="77777777" w:rsidR="0040300B" w:rsidRDefault="00BB2D44">
            <w:pPr>
              <w:jc w:val="center"/>
              <w:textAlignment w:val="bottom"/>
            </w:pPr>
            <w:r>
              <w:rPr>
                <w:rFonts w:ascii="Times New Roman" w:eastAsia="宋体" w:hAnsi="Times New Roman"/>
                <w:color w:val="000000"/>
                <w:sz w:val="20"/>
                <w:szCs w:val="20"/>
              </w:rPr>
              <w:t>5.67%</w:t>
            </w:r>
          </w:p>
        </w:tc>
        <w:tc>
          <w:tcPr>
            <w:tcW w:w="0" w:type="auto"/>
            <w:gridSpan w:val="3"/>
            <w:shd w:val="clear" w:color="auto" w:fill="FFFFFF"/>
            <w:tcMar>
              <w:top w:w="0" w:type="dxa"/>
              <w:left w:w="20" w:type="dxa"/>
              <w:bottom w:w="0" w:type="dxa"/>
              <w:right w:w="20" w:type="dxa"/>
            </w:tcMar>
          </w:tcPr>
          <w:p w14:paraId="7B66FC9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9D"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7B66FC9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9F"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CA0" w14:textId="77777777" w:rsidR="0040300B" w:rsidRDefault="00BB2D44">
            <w:pPr>
              <w:jc w:val="center"/>
              <w:textAlignment w:val="bottom"/>
            </w:pPr>
            <w:r>
              <w:rPr>
                <w:rFonts w:ascii="Times New Roman" w:eastAsia="宋体" w:hAnsi="Times New Roman"/>
                <w:color w:val="000000"/>
                <w:sz w:val="20"/>
                <w:szCs w:val="20"/>
              </w:rPr>
              <w:t>5.67%</w:t>
            </w:r>
          </w:p>
        </w:tc>
      </w:tr>
      <w:tr w:rsidR="0040300B" w14:paraId="7B66FCAE" w14:textId="77777777">
        <w:trPr>
          <w:jc w:val="center"/>
        </w:trPr>
        <w:tc>
          <w:tcPr>
            <w:tcW w:w="0" w:type="auto"/>
            <w:gridSpan w:val="3"/>
            <w:shd w:val="clear" w:color="auto" w:fill="CCEEFF"/>
            <w:tcMar>
              <w:top w:w="40" w:type="dxa"/>
              <w:left w:w="740" w:type="dxa"/>
              <w:bottom w:w="40" w:type="dxa"/>
              <w:right w:w="20" w:type="dxa"/>
            </w:tcMar>
          </w:tcPr>
          <w:p w14:paraId="7B66FCA2"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B66FCA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A4"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CA5" w14:textId="77777777" w:rsidR="0040300B" w:rsidRDefault="00BB2D44">
            <w:pPr>
              <w:jc w:val="right"/>
              <w:textAlignment w:val="bottom"/>
            </w:pPr>
            <w:r>
              <w:rPr>
                <w:rFonts w:ascii="Times New Roman" w:eastAsia="宋体" w:hAnsi="Times New Roman"/>
                <w:color w:val="000000"/>
                <w:sz w:val="20"/>
                <w:szCs w:val="20"/>
              </w:rPr>
              <w:t>11,500 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CA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A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A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A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CAA" w14:textId="77777777" w:rsidR="0040300B" w:rsidRDefault="00BB2D44">
            <w:pPr>
              <w:jc w:val="right"/>
              <w:textAlignment w:val="bottom"/>
            </w:pPr>
            <w:r>
              <w:rPr>
                <w:rFonts w:ascii="Times New Roman" w:eastAsia="宋体" w:hAnsi="Times New Roman"/>
                <w:color w:val="000000"/>
                <w:sz w:val="20"/>
                <w:szCs w:val="20"/>
              </w:rPr>
              <w:t>14,500 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CA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A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AD" w14:textId="77777777" w:rsidR="0040300B" w:rsidRDefault="0040300B">
            <w:pPr>
              <w:rPr>
                <w:rFonts w:ascii="宋体"/>
              </w:rPr>
            </w:pPr>
          </w:p>
        </w:tc>
      </w:tr>
      <w:tr w:rsidR="0040300B" w14:paraId="7B66FCBB" w14:textId="77777777">
        <w:trPr>
          <w:jc w:val="center"/>
        </w:trPr>
        <w:tc>
          <w:tcPr>
            <w:tcW w:w="0" w:type="auto"/>
            <w:gridSpan w:val="3"/>
            <w:shd w:val="clear" w:color="auto" w:fill="FFFFFF"/>
            <w:tcMar>
              <w:top w:w="40" w:type="dxa"/>
              <w:left w:w="20" w:type="dxa"/>
              <w:bottom w:w="40" w:type="dxa"/>
              <w:right w:w="20" w:type="dxa"/>
            </w:tcMar>
          </w:tcPr>
          <w:p w14:paraId="7B66FCAF" w14:textId="77777777" w:rsidR="0040300B" w:rsidRDefault="00BB2D44">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tcPr>
          <w:p w14:paraId="7B66FCB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B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B2" w14:textId="77777777" w:rsidR="0040300B" w:rsidRDefault="00BB2D44">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7B66FCB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B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B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B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CB7" w14:textId="77777777" w:rsidR="0040300B" w:rsidRDefault="00BB2D44">
            <w:pPr>
              <w:jc w:val="right"/>
              <w:textAlignment w:val="bottom"/>
            </w:pPr>
            <w:r>
              <w:rPr>
                <w:rFonts w:ascii="Times New Roman" w:eastAsia="宋体" w:hAnsi="Times New Roman"/>
                <w:color w:val="000000"/>
                <w:sz w:val="20"/>
                <w:szCs w:val="20"/>
              </w:rPr>
              <w:t>(88)</w:t>
            </w:r>
          </w:p>
        </w:tc>
        <w:tc>
          <w:tcPr>
            <w:tcW w:w="0" w:type="auto"/>
            <w:shd w:val="clear" w:color="auto" w:fill="FFFFFF"/>
            <w:tcMar>
              <w:top w:w="40" w:type="dxa"/>
              <w:left w:w="0" w:type="dxa"/>
              <w:bottom w:w="40" w:type="dxa"/>
              <w:right w:w="20" w:type="dxa"/>
            </w:tcMar>
            <w:vAlign w:val="bottom"/>
          </w:tcPr>
          <w:p w14:paraId="7B66FCB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B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BA" w14:textId="77777777" w:rsidR="0040300B" w:rsidRDefault="0040300B">
            <w:pPr>
              <w:rPr>
                <w:rFonts w:ascii="宋体"/>
              </w:rPr>
            </w:pPr>
          </w:p>
        </w:tc>
      </w:tr>
      <w:tr w:rsidR="0040300B" w14:paraId="7B66FCC8" w14:textId="77777777">
        <w:trPr>
          <w:jc w:val="center"/>
        </w:trPr>
        <w:tc>
          <w:tcPr>
            <w:tcW w:w="0" w:type="auto"/>
            <w:gridSpan w:val="3"/>
            <w:shd w:val="clear" w:color="auto" w:fill="CCEEFF"/>
            <w:tcMar>
              <w:top w:w="40" w:type="dxa"/>
              <w:left w:w="20" w:type="dxa"/>
              <w:bottom w:w="40" w:type="dxa"/>
              <w:right w:w="20" w:type="dxa"/>
            </w:tcMar>
          </w:tcPr>
          <w:p w14:paraId="7B66FCBC" w14:textId="77777777" w:rsidR="0040300B" w:rsidRDefault="00BB2D44">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tcPr>
          <w:p w14:paraId="7B66FCB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B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BF" w14:textId="77777777" w:rsidR="0040300B" w:rsidRDefault="00BB2D44">
            <w:pPr>
              <w:jc w:val="right"/>
              <w:textAlignment w:val="bottom"/>
            </w:pPr>
            <w:r>
              <w:rPr>
                <w:rFonts w:ascii="Times New Roman" w:eastAsia="宋体" w:hAnsi="Times New Roman"/>
                <w:color w:val="000000"/>
                <w:sz w:val="20"/>
                <w:szCs w:val="20"/>
              </w:rPr>
              <w:t>113 </w:t>
            </w:r>
          </w:p>
        </w:tc>
        <w:tc>
          <w:tcPr>
            <w:tcW w:w="0" w:type="auto"/>
            <w:shd w:val="clear" w:color="auto" w:fill="CCEEFF"/>
            <w:tcMar>
              <w:top w:w="40" w:type="dxa"/>
              <w:left w:w="0" w:type="dxa"/>
              <w:bottom w:w="40" w:type="dxa"/>
              <w:right w:w="20" w:type="dxa"/>
            </w:tcMar>
            <w:vAlign w:val="bottom"/>
          </w:tcPr>
          <w:p w14:paraId="7B66FCC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C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C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CC4" w14:textId="77777777" w:rsidR="0040300B" w:rsidRDefault="00BB2D44">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7B66FCC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C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C7" w14:textId="77777777" w:rsidR="0040300B" w:rsidRDefault="0040300B">
            <w:pPr>
              <w:rPr>
                <w:rFonts w:ascii="宋体"/>
              </w:rPr>
            </w:pPr>
          </w:p>
        </w:tc>
      </w:tr>
      <w:tr w:rsidR="0040300B" w14:paraId="7B66FCD7" w14:textId="77777777">
        <w:trPr>
          <w:jc w:val="center"/>
        </w:trPr>
        <w:tc>
          <w:tcPr>
            <w:tcW w:w="0" w:type="auto"/>
            <w:gridSpan w:val="3"/>
            <w:shd w:val="clear" w:color="auto" w:fill="FFFFFF"/>
            <w:tcMar>
              <w:top w:w="40" w:type="dxa"/>
              <w:left w:w="740" w:type="dxa"/>
              <w:bottom w:w="40" w:type="dxa"/>
              <w:right w:w="20" w:type="dxa"/>
            </w:tcMar>
          </w:tcPr>
          <w:p w14:paraId="7B66FCC9"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FCC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CB"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CC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CCD" w14:textId="77777777" w:rsidR="0040300B" w:rsidRDefault="00BB2D44">
            <w:pPr>
              <w:jc w:val="right"/>
              <w:textAlignment w:val="bottom"/>
            </w:pPr>
            <w:r>
              <w:rPr>
                <w:rFonts w:ascii="Times New Roman" w:eastAsia="宋体" w:hAnsi="Times New Roman"/>
                <w:color w:val="000000"/>
                <w:sz w:val="20"/>
                <w:szCs w:val="20"/>
              </w:rPr>
              <w:t>11,532 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CC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C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D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D1" w14:textId="77777777" w:rsidR="0040300B" w:rsidRDefault="0040300B">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B66FCD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B66FCD3" w14:textId="77777777" w:rsidR="0040300B" w:rsidRDefault="00BB2D44">
            <w:pPr>
              <w:jc w:val="right"/>
              <w:textAlignment w:val="bottom"/>
            </w:pPr>
            <w:r>
              <w:rPr>
                <w:rFonts w:ascii="Times New Roman" w:eastAsia="宋体" w:hAnsi="Times New Roman"/>
                <w:color w:val="000000"/>
                <w:sz w:val="20"/>
                <w:szCs w:val="20"/>
              </w:rPr>
              <w:t>14,583 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CD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CD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D6" w14:textId="77777777" w:rsidR="0040300B" w:rsidRDefault="0040300B">
            <w:pPr>
              <w:rPr>
                <w:rFonts w:ascii="宋体"/>
              </w:rPr>
            </w:pPr>
          </w:p>
        </w:tc>
      </w:tr>
      <w:tr w:rsidR="0040300B" w14:paraId="7B66FCE2" w14:textId="77777777">
        <w:trPr>
          <w:trHeight w:val="120"/>
          <w:jc w:val="center"/>
        </w:trPr>
        <w:tc>
          <w:tcPr>
            <w:tcW w:w="0" w:type="auto"/>
            <w:gridSpan w:val="3"/>
            <w:shd w:val="clear" w:color="auto" w:fill="CCEEFF"/>
            <w:tcMar>
              <w:top w:w="0" w:type="dxa"/>
              <w:left w:w="20" w:type="dxa"/>
              <w:bottom w:w="0" w:type="dxa"/>
              <w:right w:w="20" w:type="dxa"/>
            </w:tcMar>
          </w:tcPr>
          <w:p w14:paraId="7B66FCD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D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DA"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FCD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D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D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DE" w14:textId="77777777" w:rsidR="0040300B" w:rsidRDefault="0040300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7B66FCD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E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E1" w14:textId="77777777" w:rsidR="0040300B" w:rsidRDefault="0040300B">
            <w:pPr>
              <w:rPr>
                <w:rFonts w:ascii="宋体"/>
              </w:rPr>
            </w:pPr>
          </w:p>
        </w:tc>
      </w:tr>
      <w:tr w:rsidR="0040300B" w14:paraId="7B66FCED" w14:textId="77777777">
        <w:trPr>
          <w:jc w:val="center"/>
        </w:trPr>
        <w:tc>
          <w:tcPr>
            <w:tcW w:w="0" w:type="auto"/>
            <w:gridSpan w:val="3"/>
            <w:shd w:val="clear" w:color="auto" w:fill="FFFFFF"/>
            <w:tcMar>
              <w:top w:w="40" w:type="dxa"/>
              <w:left w:w="20" w:type="dxa"/>
              <w:bottom w:w="40" w:type="dxa"/>
              <w:right w:w="20" w:type="dxa"/>
            </w:tcMar>
          </w:tcPr>
          <w:p w14:paraId="7B66FCE3" w14:textId="77777777" w:rsidR="0040300B" w:rsidRDefault="00BB2D44">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tcPr>
          <w:p w14:paraId="7B66FCE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EC" w14:textId="77777777" w:rsidR="0040300B" w:rsidRDefault="0040300B">
            <w:pPr>
              <w:rPr>
                <w:rFonts w:ascii="宋体"/>
              </w:rPr>
            </w:pPr>
          </w:p>
        </w:tc>
      </w:tr>
      <w:tr w:rsidR="0040300B" w14:paraId="7B66FCFC" w14:textId="77777777">
        <w:trPr>
          <w:jc w:val="center"/>
        </w:trPr>
        <w:tc>
          <w:tcPr>
            <w:tcW w:w="0" w:type="auto"/>
            <w:gridSpan w:val="3"/>
            <w:shd w:val="clear" w:color="auto" w:fill="CCEEFF"/>
            <w:tcMar>
              <w:top w:w="40" w:type="dxa"/>
              <w:left w:w="20" w:type="dxa"/>
              <w:bottom w:w="40" w:type="dxa"/>
              <w:right w:w="20" w:type="dxa"/>
            </w:tcMar>
          </w:tcPr>
          <w:p w14:paraId="7B66FCEE" w14:textId="77777777" w:rsidR="0040300B" w:rsidRDefault="00BB2D44">
            <w:pPr>
              <w:textAlignment w:val="top"/>
            </w:pPr>
            <w:r>
              <w:rPr>
                <w:rFonts w:ascii="Times New Roman" w:eastAsia="宋体" w:hAnsi="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tcPr>
          <w:p w14:paraId="7B66FCE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F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CF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CF2"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6FCF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F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F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F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6FCF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6FCF8" w14:textId="77777777" w:rsidR="0040300B" w:rsidRDefault="00BB2D44">
            <w:pPr>
              <w:jc w:val="right"/>
              <w:textAlignment w:val="bottom"/>
            </w:pPr>
            <w:r>
              <w:rPr>
                <w:rFonts w:ascii="Times New Roman" w:eastAsia="宋体" w:hAnsi="Times New Roman"/>
                <w:color w:val="000000"/>
                <w:sz w:val="20"/>
                <w:szCs w:val="20"/>
              </w:rPr>
              <w:t>3,005 </w:t>
            </w:r>
          </w:p>
        </w:tc>
        <w:tc>
          <w:tcPr>
            <w:tcW w:w="0" w:type="auto"/>
            <w:shd w:val="clear" w:color="auto" w:fill="CCEEFF"/>
            <w:tcMar>
              <w:top w:w="40" w:type="dxa"/>
              <w:left w:w="0" w:type="dxa"/>
              <w:bottom w:w="40" w:type="dxa"/>
              <w:right w:w="20" w:type="dxa"/>
            </w:tcMar>
            <w:vAlign w:val="bottom"/>
          </w:tcPr>
          <w:p w14:paraId="7B66FCF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C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CFB" w14:textId="77777777" w:rsidR="0040300B" w:rsidRDefault="0040300B">
            <w:pPr>
              <w:rPr>
                <w:rFonts w:ascii="宋体"/>
              </w:rPr>
            </w:pPr>
          </w:p>
        </w:tc>
      </w:tr>
      <w:tr w:rsidR="0040300B" w14:paraId="7B66FD09" w14:textId="77777777">
        <w:trPr>
          <w:jc w:val="center"/>
        </w:trPr>
        <w:tc>
          <w:tcPr>
            <w:tcW w:w="0" w:type="auto"/>
            <w:gridSpan w:val="3"/>
            <w:shd w:val="clear" w:color="auto" w:fill="FFFFFF"/>
            <w:tcMar>
              <w:top w:w="40" w:type="dxa"/>
              <w:left w:w="20" w:type="dxa"/>
              <w:bottom w:w="40" w:type="dxa"/>
              <w:right w:w="20" w:type="dxa"/>
            </w:tcMar>
          </w:tcPr>
          <w:p w14:paraId="7B66FCFD" w14:textId="77777777" w:rsidR="0040300B" w:rsidRDefault="00BB2D44">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tcPr>
          <w:p w14:paraId="7B66FCF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CF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00" w14:textId="77777777" w:rsidR="0040300B" w:rsidRDefault="00BB2D44">
            <w:pPr>
              <w:jc w:val="right"/>
              <w:textAlignment w:val="bottom"/>
            </w:pPr>
            <w:r>
              <w:rPr>
                <w:rFonts w:ascii="Times New Roman" w:eastAsia="宋体" w:hAnsi="Times New Roman"/>
                <w:color w:val="000000"/>
                <w:sz w:val="20"/>
                <w:szCs w:val="20"/>
              </w:rPr>
              <w:t>9,532 </w:t>
            </w:r>
          </w:p>
        </w:tc>
        <w:tc>
          <w:tcPr>
            <w:tcW w:w="0" w:type="auto"/>
            <w:shd w:val="clear" w:color="auto" w:fill="FFFFFF"/>
            <w:tcMar>
              <w:top w:w="40" w:type="dxa"/>
              <w:left w:w="0" w:type="dxa"/>
              <w:bottom w:w="40" w:type="dxa"/>
              <w:right w:w="20" w:type="dxa"/>
            </w:tcMar>
            <w:vAlign w:val="bottom"/>
          </w:tcPr>
          <w:p w14:paraId="7B66FD0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0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0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0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05" w14:textId="77777777" w:rsidR="0040300B" w:rsidRDefault="00BB2D44">
            <w:pPr>
              <w:jc w:val="right"/>
              <w:textAlignment w:val="bottom"/>
            </w:pPr>
            <w:r>
              <w:rPr>
                <w:rFonts w:ascii="Times New Roman" w:eastAsia="宋体" w:hAnsi="Times New Roman"/>
                <w:color w:val="000000"/>
                <w:sz w:val="20"/>
                <w:szCs w:val="20"/>
              </w:rPr>
              <w:t>11,578 </w:t>
            </w:r>
          </w:p>
        </w:tc>
        <w:tc>
          <w:tcPr>
            <w:tcW w:w="0" w:type="auto"/>
            <w:shd w:val="clear" w:color="auto" w:fill="FFFFFF"/>
            <w:tcMar>
              <w:top w:w="40" w:type="dxa"/>
              <w:left w:w="0" w:type="dxa"/>
              <w:bottom w:w="40" w:type="dxa"/>
              <w:right w:w="20" w:type="dxa"/>
            </w:tcMar>
            <w:vAlign w:val="bottom"/>
          </w:tcPr>
          <w:p w14:paraId="7B66FD0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0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08" w14:textId="77777777" w:rsidR="0040300B" w:rsidRDefault="0040300B">
            <w:pPr>
              <w:rPr>
                <w:rFonts w:ascii="宋体"/>
              </w:rPr>
            </w:pPr>
          </w:p>
        </w:tc>
      </w:tr>
      <w:tr w:rsidR="0040300B" w14:paraId="7B66FD18" w14:textId="77777777">
        <w:trPr>
          <w:jc w:val="center"/>
        </w:trPr>
        <w:tc>
          <w:tcPr>
            <w:tcW w:w="0" w:type="auto"/>
            <w:gridSpan w:val="3"/>
            <w:shd w:val="clear" w:color="auto" w:fill="CCEEFF"/>
            <w:tcMar>
              <w:top w:w="40" w:type="dxa"/>
              <w:left w:w="740" w:type="dxa"/>
              <w:bottom w:w="40" w:type="dxa"/>
              <w:right w:w="20" w:type="dxa"/>
            </w:tcMar>
          </w:tcPr>
          <w:p w14:paraId="7B66FD0A"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B66FD0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0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D0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D0E" w14:textId="77777777" w:rsidR="0040300B" w:rsidRDefault="00BB2D44">
            <w:pPr>
              <w:jc w:val="right"/>
              <w:textAlignment w:val="bottom"/>
            </w:pPr>
            <w:r>
              <w:rPr>
                <w:rFonts w:ascii="Times New Roman" w:eastAsia="宋体" w:hAnsi="Times New Roman"/>
                <w:color w:val="000000"/>
                <w:sz w:val="20"/>
                <w:szCs w:val="20"/>
              </w:rPr>
              <w:t>11,532 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D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1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1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12"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D1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D14" w14:textId="77777777" w:rsidR="0040300B" w:rsidRDefault="00BB2D44">
            <w:pPr>
              <w:jc w:val="right"/>
              <w:textAlignment w:val="bottom"/>
            </w:pPr>
            <w:r>
              <w:rPr>
                <w:rFonts w:ascii="Times New Roman" w:eastAsia="宋体" w:hAnsi="Times New Roman"/>
                <w:color w:val="000000"/>
                <w:sz w:val="20"/>
                <w:szCs w:val="20"/>
              </w:rPr>
              <w:t>14,583 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D1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1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17" w14:textId="77777777" w:rsidR="0040300B" w:rsidRDefault="0040300B">
            <w:pPr>
              <w:rPr>
                <w:rFonts w:ascii="宋体"/>
              </w:rPr>
            </w:pPr>
          </w:p>
        </w:tc>
      </w:tr>
    </w:tbl>
    <w:p w14:paraId="7B66FD19" w14:textId="77777777" w:rsidR="0040300B" w:rsidRDefault="00BB2D44">
      <w:pPr>
        <w:spacing w:before="120"/>
        <w:jc w:val="both"/>
      </w:pPr>
      <w:r>
        <w:rPr>
          <w:rFonts w:ascii="Times New Roman" w:eastAsia="宋体" w:hAnsi="Times New Roman"/>
          <w:color w:val="000000"/>
          <w:sz w:val="20"/>
          <w:szCs w:val="20"/>
        </w:rPr>
        <w:t>We have entered into interest rate swaps in prior periods with an aggregate notional amount of $2.0 billion designated as fair value hedges of certain of our fixed-rate senior notes. These swaps convert the fixed inte</w:t>
      </w:r>
      <w:r>
        <w:rPr>
          <w:rFonts w:ascii="Times New Roman" w:eastAsia="宋体" w:hAnsi="Times New Roman"/>
          <w:color w:val="000000"/>
          <w:sz w:val="20"/>
          <w:szCs w:val="20"/>
        </w:rPr>
        <w:t>rest rates of the fixed-rate notes to floating interest rates based on the London InterBank Offered Rate (“LIBOR”). The gains and losses related to changes in the fair value of the interest rate swaps substantially offset changes in the fair value of the h</w:t>
      </w:r>
      <w:r>
        <w:rPr>
          <w:rFonts w:ascii="Times New Roman" w:eastAsia="宋体" w:hAnsi="Times New Roman"/>
          <w:color w:val="000000"/>
          <w:sz w:val="20"/>
          <w:szCs w:val="20"/>
        </w:rPr>
        <w:t>edged portion of the underlying debt that are attributable to the changes in market interest rates. For additional information, see Note 13.</w:t>
      </w:r>
    </w:p>
    <w:p w14:paraId="7B66FD1A" w14:textId="77777777" w:rsidR="0040300B" w:rsidRDefault="00BB2D44">
      <w:pPr>
        <w:spacing w:before="120"/>
        <w:jc w:val="both"/>
      </w:pPr>
      <w:r>
        <w:rPr>
          <w:rFonts w:ascii="Times New Roman" w:eastAsia="宋体" w:hAnsi="Times New Roman"/>
          <w:color w:val="000000"/>
          <w:sz w:val="20"/>
          <w:szCs w:val="20"/>
        </w:rPr>
        <w:t xml:space="preserve">Interest is payable semiannually on each class of the senior fixed-rate notes. Each of the senior fixed-rate notes </w:t>
      </w:r>
      <w:r>
        <w:rPr>
          <w:rFonts w:ascii="Times New Roman" w:eastAsia="宋体" w:hAnsi="Times New Roman"/>
          <w:color w:val="000000"/>
          <w:sz w:val="20"/>
          <w:szCs w:val="20"/>
        </w:rPr>
        <w:t>is redeemable by us at any time, subject to a make-whole premium. The senior notes rank at par with the commercial paper notes that may be issued in the future pursuant to our short-term debt financing program, as discussed above under “(a) Short-Term Debt</w:t>
      </w:r>
      <w:r>
        <w:rPr>
          <w:rFonts w:ascii="Times New Roman" w:eastAsia="宋体" w:hAnsi="Times New Roman"/>
          <w:color w:val="000000"/>
          <w:sz w:val="20"/>
          <w:szCs w:val="20"/>
        </w:rPr>
        <w:t>.” As of May 1, 2021, we were in compliance with all debt covenants.</w:t>
      </w:r>
    </w:p>
    <w:p w14:paraId="7B66FD1B" w14:textId="77777777" w:rsidR="0040300B" w:rsidRDefault="00BB2D44">
      <w:pPr>
        <w:spacing w:before="120"/>
        <w:jc w:val="both"/>
      </w:pPr>
      <w:r>
        <w:rPr>
          <w:rFonts w:ascii="Times New Roman" w:eastAsia="宋体" w:hAnsi="Times New Roman"/>
          <w:color w:val="000000"/>
          <w:sz w:val="20"/>
          <w:szCs w:val="20"/>
        </w:rPr>
        <w:t>As of May 1, 2021, future principal payments for long-term debt, including the current portion,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40300B" w14:paraId="7B66FD22" w14:textId="77777777">
        <w:tc>
          <w:tcPr>
            <w:tcW w:w="50" w:type="pct"/>
            <w:shd w:val="clear" w:color="auto" w:fill="auto"/>
          </w:tcPr>
          <w:p w14:paraId="7B66FD1C" w14:textId="77777777" w:rsidR="0040300B" w:rsidRDefault="0040300B">
            <w:pPr>
              <w:rPr>
                <w:rFonts w:ascii="宋体"/>
              </w:rPr>
            </w:pPr>
          </w:p>
        </w:tc>
        <w:tc>
          <w:tcPr>
            <w:tcW w:w="4214" w:type="pct"/>
            <w:shd w:val="clear" w:color="auto" w:fill="auto"/>
          </w:tcPr>
          <w:p w14:paraId="7B66FD1D" w14:textId="77777777" w:rsidR="0040300B" w:rsidRDefault="0040300B">
            <w:pPr>
              <w:rPr>
                <w:rFonts w:ascii="宋体"/>
              </w:rPr>
            </w:pPr>
          </w:p>
        </w:tc>
        <w:tc>
          <w:tcPr>
            <w:tcW w:w="5" w:type="pct"/>
            <w:shd w:val="clear" w:color="auto" w:fill="auto"/>
          </w:tcPr>
          <w:p w14:paraId="7B66FD1E" w14:textId="77777777" w:rsidR="0040300B" w:rsidRDefault="0040300B">
            <w:pPr>
              <w:rPr>
                <w:rFonts w:ascii="宋体"/>
              </w:rPr>
            </w:pPr>
          </w:p>
        </w:tc>
        <w:tc>
          <w:tcPr>
            <w:tcW w:w="50" w:type="pct"/>
            <w:shd w:val="clear" w:color="auto" w:fill="auto"/>
          </w:tcPr>
          <w:p w14:paraId="7B66FD1F" w14:textId="77777777" w:rsidR="0040300B" w:rsidRDefault="0040300B">
            <w:pPr>
              <w:rPr>
                <w:rFonts w:ascii="宋体"/>
              </w:rPr>
            </w:pPr>
          </w:p>
        </w:tc>
        <w:tc>
          <w:tcPr>
            <w:tcW w:w="675" w:type="pct"/>
            <w:shd w:val="clear" w:color="auto" w:fill="auto"/>
          </w:tcPr>
          <w:p w14:paraId="7B66FD20" w14:textId="77777777" w:rsidR="0040300B" w:rsidRDefault="0040300B">
            <w:pPr>
              <w:rPr>
                <w:rFonts w:ascii="宋体"/>
              </w:rPr>
            </w:pPr>
          </w:p>
        </w:tc>
        <w:tc>
          <w:tcPr>
            <w:tcW w:w="5" w:type="pct"/>
            <w:shd w:val="clear" w:color="auto" w:fill="auto"/>
          </w:tcPr>
          <w:p w14:paraId="7B66FD21" w14:textId="77777777" w:rsidR="0040300B" w:rsidRDefault="0040300B">
            <w:pPr>
              <w:rPr>
                <w:rFonts w:ascii="宋体"/>
              </w:rPr>
            </w:pPr>
          </w:p>
        </w:tc>
      </w:tr>
      <w:tr w:rsidR="0040300B" w14:paraId="7B66FD25" w14:textId="77777777">
        <w:tc>
          <w:tcPr>
            <w:tcW w:w="0" w:type="auto"/>
            <w:gridSpan w:val="3"/>
            <w:shd w:val="clear" w:color="auto" w:fill="auto"/>
            <w:tcMar>
              <w:top w:w="40" w:type="dxa"/>
              <w:left w:w="20" w:type="dxa"/>
              <w:bottom w:w="40" w:type="dxa"/>
              <w:right w:w="20" w:type="dxa"/>
            </w:tcMar>
            <w:vAlign w:val="bottom"/>
          </w:tcPr>
          <w:p w14:paraId="7B66FD23" w14:textId="77777777" w:rsidR="0040300B" w:rsidRDefault="00BB2D44">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7B66FD24"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6FD2A" w14:textId="77777777">
        <w:tc>
          <w:tcPr>
            <w:tcW w:w="0" w:type="auto"/>
            <w:gridSpan w:val="3"/>
            <w:shd w:val="clear" w:color="auto" w:fill="CCEEFF"/>
            <w:tcMar>
              <w:top w:w="40" w:type="dxa"/>
              <w:left w:w="20" w:type="dxa"/>
              <w:bottom w:w="40" w:type="dxa"/>
              <w:right w:w="20" w:type="dxa"/>
            </w:tcMar>
          </w:tcPr>
          <w:p w14:paraId="7B66FD26" w14:textId="77777777" w:rsidR="0040300B" w:rsidRDefault="00BB2D44">
            <w:pPr>
              <w:textAlignment w:val="top"/>
            </w:pPr>
            <w:r>
              <w:rPr>
                <w:rFonts w:ascii="Times New Roman" w:eastAsia="宋体" w:hAnsi="Times New Roman"/>
                <w:color w:val="000000"/>
                <w:sz w:val="20"/>
                <w:szCs w:val="20"/>
              </w:rPr>
              <w:t xml:space="preserve">2021 </w:t>
            </w:r>
            <w:r>
              <w:rPr>
                <w:rFonts w:ascii="Times New Roman" w:eastAsia="宋体" w:hAnsi="Times New Roman"/>
                <w:color w:val="000000"/>
                <w:sz w:val="20"/>
                <w:szCs w:val="20"/>
              </w:rPr>
              <w:t>(remaining three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D2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D28"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D29" w14:textId="77777777" w:rsidR="0040300B" w:rsidRDefault="0040300B">
            <w:pPr>
              <w:jc w:val="right"/>
              <w:rPr>
                <w:rFonts w:ascii="宋体"/>
              </w:rPr>
            </w:pPr>
          </w:p>
        </w:tc>
      </w:tr>
      <w:tr w:rsidR="0040300B" w14:paraId="7B66FD2E" w14:textId="77777777">
        <w:tc>
          <w:tcPr>
            <w:tcW w:w="0" w:type="auto"/>
            <w:gridSpan w:val="3"/>
            <w:shd w:val="clear" w:color="auto" w:fill="FFFFFF"/>
            <w:tcMar>
              <w:top w:w="40" w:type="dxa"/>
              <w:left w:w="20" w:type="dxa"/>
              <w:bottom w:w="40" w:type="dxa"/>
              <w:right w:w="20" w:type="dxa"/>
            </w:tcMar>
          </w:tcPr>
          <w:p w14:paraId="7B66FD2B" w14:textId="77777777" w:rsidR="0040300B" w:rsidRDefault="00BB2D44">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B66FD2C" w14:textId="77777777" w:rsidR="0040300B" w:rsidRDefault="00BB2D44">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B66FD2D" w14:textId="77777777" w:rsidR="0040300B" w:rsidRDefault="0040300B">
            <w:pPr>
              <w:jc w:val="right"/>
              <w:rPr>
                <w:rFonts w:ascii="宋体"/>
              </w:rPr>
            </w:pPr>
          </w:p>
        </w:tc>
      </w:tr>
      <w:tr w:rsidR="0040300B" w14:paraId="7B66FD32" w14:textId="77777777">
        <w:tc>
          <w:tcPr>
            <w:tcW w:w="0" w:type="auto"/>
            <w:gridSpan w:val="3"/>
            <w:shd w:val="clear" w:color="auto" w:fill="CCEEFF"/>
            <w:tcMar>
              <w:top w:w="40" w:type="dxa"/>
              <w:left w:w="20" w:type="dxa"/>
              <w:bottom w:w="40" w:type="dxa"/>
              <w:right w:w="20" w:type="dxa"/>
            </w:tcMar>
          </w:tcPr>
          <w:p w14:paraId="7B66FD2F" w14:textId="77777777" w:rsidR="0040300B" w:rsidRDefault="00BB2D44">
            <w:pPr>
              <w:textAlignment w:val="top"/>
            </w:pPr>
            <w:r>
              <w:rPr>
                <w:rFonts w:ascii="Times New Roman" w:eastAsia="宋体" w:hAnsi="Times New Roman"/>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7B66FD30"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6FD31" w14:textId="77777777" w:rsidR="0040300B" w:rsidRDefault="0040300B">
            <w:pPr>
              <w:jc w:val="right"/>
              <w:rPr>
                <w:rFonts w:ascii="宋体"/>
              </w:rPr>
            </w:pPr>
          </w:p>
        </w:tc>
      </w:tr>
      <w:tr w:rsidR="0040300B" w14:paraId="7B66FD36" w14:textId="77777777">
        <w:tc>
          <w:tcPr>
            <w:tcW w:w="0" w:type="auto"/>
            <w:gridSpan w:val="3"/>
            <w:shd w:val="clear" w:color="auto" w:fill="FFFFFF"/>
            <w:tcMar>
              <w:top w:w="40" w:type="dxa"/>
              <w:left w:w="20" w:type="dxa"/>
              <w:bottom w:w="40" w:type="dxa"/>
              <w:right w:w="20" w:type="dxa"/>
            </w:tcMar>
          </w:tcPr>
          <w:p w14:paraId="7B66FD33" w14:textId="77777777" w:rsidR="0040300B" w:rsidRDefault="00BB2D44">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B66FD34" w14:textId="77777777" w:rsidR="0040300B" w:rsidRDefault="00BB2D44">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B66FD35" w14:textId="77777777" w:rsidR="0040300B" w:rsidRDefault="0040300B">
            <w:pPr>
              <w:jc w:val="right"/>
              <w:rPr>
                <w:rFonts w:ascii="宋体"/>
              </w:rPr>
            </w:pPr>
          </w:p>
        </w:tc>
      </w:tr>
      <w:tr w:rsidR="0040300B" w14:paraId="7B66FD3A" w14:textId="77777777">
        <w:tc>
          <w:tcPr>
            <w:tcW w:w="0" w:type="auto"/>
            <w:gridSpan w:val="3"/>
            <w:shd w:val="clear" w:color="auto" w:fill="CCEEFF"/>
            <w:tcMar>
              <w:top w:w="40" w:type="dxa"/>
              <w:left w:w="20" w:type="dxa"/>
              <w:bottom w:w="40" w:type="dxa"/>
              <w:right w:w="20" w:type="dxa"/>
            </w:tcMar>
          </w:tcPr>
          <w:p w14:paraId="7B66FD37" w14:textId="77777777" w:rsidR="0040300B" w:rsidRDefault="00BB2D44">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7B66FD38"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6FD39" w14:textId="77777777" w:rsidR="0040300B" w:rsidRDefault="0040300B">
            <w:pPr>
              <w:jc w:val="right"/>
              <w:rPr>
                <w:rFonts w:ascii="宋体"/>
              </w:rPr>
            </w:pPr>
          </w:p>
        </w:tc>
      </w:tr>
      <w:tr w:rsidR="0040300B" w14:paraId="7B66FD3E" w14:textId="77777777">
        <w:tc>
          <w:tcPr>
            <w:tcW w:w="0" w:type="auto"/>
            <w:gridSpan w:val="3"/>
            <w:shd w:val="clear" w:color="auto" w:fill="FFFFFF"/>
            <w:tcMar>
              <w:top w:w="40" w:type="dxa"/>
              <w:left w:w="20" w:type="dxa"/>
              <w:bottom w:w="40" w:type="dxa"/>
              <w:right w:w="20" w:type="dxa"/>
            </w:tcMar>
          </w:tcPr>
          <w:p w14:paraId="7B66FD3B" w14:textId="77777777" w:rsidR="0040300B" w:rsidRDefault="00BB2D4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B66FD3C" w14:textId="77777777" w:rsidR="0040300B" w:rsidRDefault="00BB2D44">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left w:w="0" w:type="dxa"/>
              <w:bottom w:w="40" w:type="dxa"/>
              <w:right w:w="20" w:type="dxa"/>
            </w:tcMar>
            <w:vAlign w:val="bottom"/>
          </w:tcPr>
          <w:p w14:paraId="7B66FD3D" w14:textId="77777777" w:rsidR="0040300B" w:rsidRDefault="0040300B">
            <w:pPr>
              <w:jc w:val="right"/>
              <w:rPr>
                <w:rFonts w:ascii="宋体"/>
              </w:rPr>
            </w:pPr>
          </w:p>
        </w:tc>
      </w:tr>
      <w:tr w:rsidR="0040300B" w14:paraId="7B66FD43" w14:textId="77777777">
        <w:tc>
          <w:tcPr>
            <w:tcW w:w="0" w:type="auto"/>
            <w:gridSpan w:val="3"/>
            <w:shd w:val="clear" w:color="auto" w:fill="CCEEFF"/>
            <w:tcMar>
              <w:top w:w="40" w:type="dxa"/>
              <w:left w:w="380" w:type="dxa"/>
              <w:bottom w:w="40" w:type="dxa"/>
              <w:right w:w="20" w:type="dxa"/>
            </w:tcMar>
          </w:tcPr>
          <w:p w14:paraId="7B66FD3F"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6FD4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6FD41" w14:textId="77777777" w:rsidR="0040300B" w:rsidRDefault="00BB2D44">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6FD42" w14:textId="77777777" w:rsidR="0040300B" w:rsidRDefault="0040300B">
            <w:pPr>
              <w:jc w:val="right"/>
              <w:rPr>
                <w:rFonts w:ascii="宋体"/>
              </w:rPr>
            </w:pPr>
          </w:p>
        </w:tc>
      </w:tr>
    </w:tbl>
    <w:p w14:paraId="7B66FD44" w14:textId="77777777" w:rsidR="0040300B" w:rsidRDefault="00BB2D44">
      <w:pPr>
        <w:jc w:val="center"/>
      </w:pPr>
      <w:r>
        <w:rPr>
          <w:rFonts w:ascii="Times New Roman" w:eastAsia="宋体" w:hAnsi="Times New Roman"/>
          <w:color w:val="000000"/>
          <w:sz w:val="20"/>
          <w:szCs w:val="20"/>
        </w:rPr>
        <w:t>27</w:t>
      </w:r>
    </w:p>
    <w:p w14:paraId="7B66FD45" w14:textId="77777777" w:rsidR="0040300B" w:rsidRDefault="00BB2D44">
      <w:r>
        <w:pict w14:anchorId="7B671C2B">
          <v:rect id="_x0000_i1051" style="width:415.3pt;height:1.5pt" o:hralign="center" o:hrstd="t" o:hr="t" fillcolor="#a0a0a0" stroked="f"/>
        </w:pict>
      </w:r>
    </w:p>
    <w:p w14:paraId="7B66FD46" w14:textId="77777777" w:rsidR="0040300B" w:rsidRDefault="00BB2D44">
      <w:hyperlink r:id="rId73" w:anchor="i52d5b40dbad7426a9806a2fd5167029f_7" w:history="1">
        <w:r>
          <w:rPr>
            <w:rStyle w:val="a5"/>
            <w:rFonts w:ascii="Times New Roman" w:eastAsia="宋体" w:hAnsi="Times New Roman"/>
            <w:sz w:val="18"/>
            <w:szCs w:val="18"/>
          </w:rPr>
          <w:t>Table of Contents</w:t>
        </w:r>
      </w:hyperlink>
    </w:p>
    <w:p w14:paraId="7B66FD47" w14:textId="77777777" w:rsidR="0040300B" w:rsidRDefault="00BB2D44">
      <w:pPr>
        <w:jc w:val="center"/>
      </w:pPr>
      <w:r>
        <w:rPr>
          <w:rFonts w:ascii="Times New Roman" w:eastAsia="宋体" w:hAnsi="Times New Roman"/>
          <w:b/>
          <w:bCs/>
          <w:color w:val="000000"/>
          <w:sz w:val="18"/>
          <w:szCs w:val="18"/>
        </w:rPr>
        <w:t>CISCO SYSTEMS, INC.</w:t>
      </w:r>
    </w:p>
    <w:p w14:paraId="7B66FD48"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D49" w14:textId="77777777" w:rsidR="0040300B" w:rsidRDefault="00BB2D44">
      <w:pPr>
        <w:jc w:val="center"/>
      </w:pPr>
      <w:r>
        <w:rPr>
          <w:rFonts w:ascii="Times New Roman" w:eastAsia="宋体" w:hAnsi="Times New Roman"/>
          <w:b/>
          <w:bCs/>
          <w:color w:val="000000"/>
          <w:sz w:val="18"/>
          <w:szCs w:val="18"/>
        </w:rPr>
        <w:t xml:space="preserve">(Unaudited) </w:t>
      </w:r>
    </w:p>
    <w:p w14:paraId="7B66FD4A" w14:textId="77777777" w:rsidR="0040300B" w:rsidRDefault="0040300B">
      <w:pPr>
        <w:jc w:val="center"/>
      </w:pPr>
    </w:p>
    <w:p w14:paraId="7B66FD4B" w14:textId="77777777" w:rsidR="0040300B" w:rsidRDefault="00BB2D44">
      <w:pPr>
        <w:spacing w:before="120"/>
        <w:ind w:hanging="360"/>
        <w:jc w:val="both"/>
      </w:pPr>
      <w:r>
        <w:rPr>
          <w:rFonts w:ascii="Times New Roman" w:eastAsia="宋体" w:hAnsi="Times New Roman"/>
          <w:b/>
          <w:bCs/>
          <w:color w:val="000000"/>
          <w:sz w:val="20"/>
          <w:szCs w:val="20"/>
        </w:rPr>
        <w:t>(c)Credit Facility</w:t>
      </w:r>
    </w:p>
    <w:p w14:paraId="7B66FD4C" w14:textId="77777777" w:rsidR="0040300B" w:rsidRDefault="00BB2D44">
      <w:pPr>
        <w:spacing w:before="120"/>
        <w:jc w:val="both"/>
      </w:pPr>
      <w:r>
        <w:rPr>
          <w:rFonts w:ascii="Times New Roman" w:eastAsia="宋体" w:hAnsi="Times New Roman"/>
          <w:color w:val="000000"/>
          <w:sz w:val="20"/>
          <w:szCs w:val="20"/>
        </w:rPr>
        <w:t>On May 13, 2021, we entered into a 5-year credit agreement with certain institutional lenders that provides for a $3.0 billion unsecured revolving credit facility that is scheduled to expire on May 13, 2026. The credit agreement is struc</w:t>
      </w:r>
      <w:r>
        <w:rPr>
          <w:rFonts w:ascii="Times New Roman" w:eastAsia="宋体" w:hAnsi="Times New Roman"/>
          <w:color w:val="000000"/>
          <w:sz w:val="20"/>
          <w:szCs w:val="20"/>
        </w:rPr>
        <w:t>tured as an amendment and restatement of our 364-day credit agreement, which would have terminated on May 14, 2021. As of May 1, 2021, we were in compliance with the required interest coverage ratio and the other covenants, and we had not borrowed any fund</w:t>
      </w:r>
      <w:r>
        <w:rPr>
          <w:rFonts w:ascii="Times New Roman" w:eastAsia="宋体" w:hAnsi="Times New Roman"/>
          <w:color w:val="000000"/>
          <w:sz w:val="20"/>
          <w:szCs w:val="20"/>
        </w:rPr>
        <w:t>s under the 364-day credit facility.</w:t>
      </w:r>
    </w:p>
    <w:p w14:paraId="7B66FD4D" w14:textId="77777777" w:rsidR="0040300B" w:rsidRDefault="00BB2D44">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 either (a) with respect to loans in U.S. dollars, (i) LIBOR or (ii) the Base Rate (to be defin</w:t>
      </w:r>
      <w:r>
        <w:rPr>
          <w:rFonts w:ascii="Times New Roman" w:eastAsia="宋体" w:hAnsi="Times New Roman"/>
          <w:color w:val="000000"/>
          <w:sz w:val="20"/>
          <w:szCs w:val="20"/>
        </w:rPr>
        <w:t>ed as the highest of (x) the Bank of America prime rate, (y) the Federal Funds rate plus 0.50% and (z) a daily rate equal to one-month LIBOR plus 1.0%), (b) with respect to loans in Euros, EURIBOR, (c) with respect to loans in Yen, TIBOR and (d) with respe</w:t>
      </w:r>
      <w:r>
        <w:rPr>
          <w:rFonts w:ascii="Times New Roman" w:eastAsia="宋体" w:hAnsi="Times New Roman"/>
          <w:color w:val="000000"/>
          <w:sz w:val="20"/>
          <w:szCs w:val="20"/>
        </w:rPr>
        <w:t>ct to loans in Pounds Sterling, SONIA plus a credit spread adjustment, plus a margin that is based on our senior debt credit ratings as published by Standard &amp; Poor’s Financial Services, LLC and Moody’s Investors Service, Inc., provided that in no event wi</w:t>
      </w:r>
      <w:r>
        <w:rPr>
          <w:rFonts w:ascii="Times New Roman" w:eastAsia="宋体" w:hAnsi="Times New Roman"/>
          <w:color w:val="000000"/>
          <w:sz w:val="20"/>
          <w:szCs w:val="20"/>
        </w:rPr>
        <w:t>ll the interest rate be less than 0.0%. We will pay a quarterly commitment fee during the term of the 5-year credit agreement which may vary depending on our senior debt credit ratings. In addition, the 5-year credit agreement incorporates certain sustaina</w:t>
      </w:r>
      <w:r>
        <w:rPr>
          <w:rFonts w:ascii="Times New Roman" w:eastAsia="宋体" w:hAnsi="Times New Roman"/>
          <w:color w:val="000000"/>
          <w:sz w:val="20"/>
          <w:szCs w:val="20"/>
        </w:rPr>
        <w:t>bility-linked metrics. Specifically, our applicable interest rate and commitment fee are subject to upward or downward adjustments if we achieve, or fail to achieve, certain specified targets based on two key performance indicator metrics: (i) social impac</w:t>
      </w:r>
      <w:r>
        <w:rPr>
          <w:rFonts w:ascii="Times New Roman" w:eastAsia="宋体" w:hAnsi="Times New Roman"/>
          <w:color w:val="000000"/>
          <w:sz w:val="20"/>
          <w:szCs w:val="20"/>
        </w:rPr>
        <w:t xml:space="preserve">t and (ii) foam reduction. We may also, upon the agreement of either the then-existing lenders or additional lenders not currently parties to the agreement, increase the commitments under the credit facility by up to an additional $2.0 billion and, at our </w:t>
      </w:r>
      <w:r>
        <w:rPr>
          <w:rFonts w:ascii="Times New Roman" w:eastAsia="宋体" w:hAnsi="Times New Roman"/>
          <w:color w:val="000000"/>
          <w:sz w:val="20"/>
          <w:szCs w:val="20"/>
        </w:rPr>
        <w:t>option, extend the maturity of the facility for an additional year up to two times. The credit agreement requires that we comply with certain covenants, including that we maintain an interest coverage ratio as defined in the agreement.</w:t>
      </w:r>
    </w:p>
    <w:p w14:paraId="7B66FD4E" w14:textId="77777777" w:rsidR="0040300B" w:rsidRDefault="0040300B">
      <w:pPr>
        <w:spacing w:before="120"/>
        <w:jc w:val="both"/>
      </w:pPr>
    </w:p>
    <w:p w14:paraId="7B66FD4F" w14:textId="77777777" w:rsidR="0040300B" w:rsidRDefault="00BB2D44">
      <w:pPr>
        <w:jc w:val="center"/>
      </w:pPr>
      <w:r>
        <w:rPr>
          <w:rFonts w:ascii="Times New Roman" w:eastAsia="宋体" w:hAnsi="Times New Roman"/>
          <w:color w:val="000000"/>
          <w:sz w:val="20"/>
          <w:szCs w:val="20"/>
        </w:rPr>
        <w:t>28</w:t>
      </w:r>
    </w:p>
    <w:p w14:paraId="7B66FD50" w14:textId="77777777" w:rsidR="0040300B" w:rsidRDefault="00BB2D44">
      <w:r>
        <w:pict w14:anchorId="7B671C2C">
          <v:rect id="_x0000_i1052" style="width:415.3pt;height:1.5pt" o:hralign="center" o:hrstd="t" o:hr="t" fillcolor="#a0a0a0" stroked="f"/>
        </w:pict>
      </w:r>
    </w:p>
    <w:p w14:paraId="7B66FD51" w14:textId="77777777" w:rsidR="0040300B" w:rsidRDefault="00BB2D44">
      <w:hyperlink r:id="rId74" w:anchor="i52d5b40dbad7426a9806a2fd5167029f_7" w:history="1">
        <w:r>
          <w:rPr>
            <w:rStyle w:val="a5"/>
            <w:rFonts w:ascii="Times New Roman" w:eastAsia="宋体" w:hAnsi="Times New Roman"/>
            <w:sz w:val="18"/>
            <w:szCs w:val="18"/>
          </w:rPr>
          <w:t>Table of Contents</w:t>
        </w:r>
      </w:hyperlink>
    </w:p>
    <w:p w14:paraId="7B66FD52" w14:textId="77777777" w:rsidR="0040300B" w:rsidRDefault="00BB2D44">
      <w:pPr>
        <w:jc w:val="center"/>
      </w:pPr>
      <w:r>
        <w:rPr>
          <w:rFonts w:ascii="Times New Roman" w:eastAsia="宋体" w:hAnsi="Times New Roman"/>
          <w:b/>
          <w:bCs/>
          <w:color w:val="000000"/>
          <w:sz w:val="18"/>
          <w:szCs w:val="18"/>
        </w:rPr>
        <w:t>CISCO SYSTEMS, INC.</w:t>
      </w:r>
    </w:p>
    <w:p w14:paraId="7B66FD53"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D54" w14:textId="77777777" w:rsidR="0040300B" w:rsidRDefault="00BB2D44">
      <w:pPr>
        <w:jc w:val="center"/>
      </w:pPr>
      <w:r>
        <w:rPr>
          <w:rFonts w:ascii="Times New Roman" w:eastAsia="宋体" w:hAnsi="Times New Roman"/>
          <w:b/>
          <w:bCs/>
          <w:color w:val="000000"/>
          <w:sz w:val="18"/>
          <w:szCs w:val="18"/>
        </w:rPr>
        <w:t xml:space="preserve">(Unaudited) </w:t>
      </w:r>
    </w:p>
    <w:p w14:paraId="7B66FD55" w14:textId="77777777" w:rsidR="0040300B" w:rsidRDefault="0040300B">
      <w:pPr>
        <w:jc w:val="center"/>
      </w:pPr>
    </w:p>
    <w:p w14:paraId="7B66FD56" w14:textId="77777777" w:rsidR="0040300B" w:rsidRDefault="00BB2D44">
      <w:pPr>
        <w:ind w:hanging="360"/>
      </w:pPr>
      <w:r>
        <w:rPr>
          <w:rFonts w:ascii="Times New Roman" w:eastAsia="宋体" w:hAnsi="Times New Roman"/>
          <w:b/>
          <w:bCs/>
          <w:color w:val="000000"/>
          <w:sz w:val="20"/>
          <w:szCs w:val="20"/>
        </w:rPr>
        <w:t xml:space="preserve">13.Derivative Instruments </w:t>
      </w:r>
    </w:p>
    <w:p w14:paraId="7B66FD57" w14:textId="77777777" w:rsidR="0040300B" w:rsidRDefault="00BB2D44">
      <w:pPr>
        <w:spacing w:before="120"/>
        <w:ind w:hanging="360"/>
      </w:pPr>
      <w:r>
        <w:rPr>
          <w:rFonts w:ascii="Times New Roman" w:eastAsia="宋体" w:hAnsi="Times New Roman"/>
          <w:b/>
          <w:bCs/>
          <w:color w:val="000000"/>
          <w:sz w:val="20"/>
          <w:szCs w:val="20"/>
        </w:rPr>
        <w:t>(a)Summary of Derivative Instruments</w:t>
      </w:r>
    </w:p>
    <w:p w14:paraId="7B66FD58" w14:textId="77777777" w:rsidR="0040300B" w:rsidRDefault="00BB2D44">
      <w:pPr>
        <w:spacing w:before="120"/>
        <w:jc w:val="both"/>
      </w:pPr>
      <w:r>
        <w:rPr>
          <w:rFonts w:ascii="Times New Roman" w:eastAsia="宋体" w:hAnsi="Times New Roman"/>
          <w:color w:val="000000"/>
          <w:sz w:val="20"/>
          <w:szCs w:val="20"/>
        </w:rPr>
        <w:t xml:space="preserve">We use derivative instruments primarily to manage exposures to foreign currency exchange rate, interest rate, and equity price risks. Our primary objective in holding derivatives is to reduce </w:t>
      </w:r>
      <w:r>
        <w:rPr>
          <w:rFonts w:ascii="Times New Roman" w:eastAsia="宋体" w:hAnsi="Times New Roman"/>
          <w:color w:val="000000"/>
          <w:sz w:val="20"/>
          <w:szCs w:val="20"/>
        </w:rPr>
        <w:t>the volatility of earnings and cash flows associated with changes in foreign currency exchange rates, interest rates, and equity prices. Our derivatives expose us to credit risk to the extent that the counterparties may be unable to meet the terms of the a</w:t>
      </w:r>
      <w:r>
        <w:rPr>
          <w:rFonts w:ascii="Times New Roman" w:eastAsia="宋体" w:hAnsi="Times New Roman"/>
          <w:color w:val="000000"/>
          <w:sz w:val="20"/>
          <w:szCs w:val="20"/>
        </w:rPr>
        <w:t>greement. We do, however, seek to mitigate such risks by limiting our counterparties to major financial institutions and requiring collateral in certain cases. In addition, the potential risk of loss with any one counterparty resulting from this type of cr</w:t>
      </w:r>
      <w:r>
        <w:rPr>
          <w:rFonts w:ascii="Times New Roman" w:eastAsia="宋体" w:hAnsi="Times New Roman"/>
          <w:color w:val="000000"/>
          <w:sz w:val="20"/>
          <w:szCs w:val="20"/>
        </w:rPr>
        <w:t>edit risk is monitored. Management does not expect material losses as a result of defaults by counterparties.</w:t>
      </w:r>
    </w:p>
    <w:p w14:paraId="7B66FD59" w14:textId="77777777" w:rsidR="0040300B" w:rsidRDefault="00BB2D44">
      <w:pPr>
        <w:spacing w:before="120"/>
        <w:jc w:val="both"/>
      </w:pPr>
      <w:r>
        <w:rPr>
          <w:rFonts w:ascii="Times New Roman" w:eastAsia="宋体" w:hAnsi="Times New Roman"/>
          <w:color w:val="000000"/>
          <w:sz w:val="20"/>
          <w:szCs w:val="20"/>
        </w:rPr>
        <w:t xml:space="preserve">The fair values of our derivative instruments and the line items on the Consolidated Balance Sheets to which they were recorded are summarized as </w:t>
      </w:r>
      <w:r>
        <w:rPr>
          <w:rFonts w:ascii="Times New Roman" w:eastAsia="宋体" w:hAnsi="Times New Roman"/>
          <w:color w:val="000000"/>
          <w:sz w:val="20"/>
          <w:szCs w:val="20"/>
        </w:rPr>
        <w:t>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117"/>
        <w:gridCol w:w="2292"/>
        <w:gridCol w:w="36"/>
        <w:gridCol w:w="96"/>
        <w:gridCol w:w="1656"/>
        <w:gridCol w:w="36"/>
        <w:gridCol w:w="36"/>
        <w:gridCol w:w="36"/>
        <w:gridCol w:w="36"/>
        <w:gridCol w:w="108"/>
        <w:gridCol w:w="306"/>
        <w:gridCol w:w="36"/>
        <w:gridCol w:w="36"/>
        <w:gridCol w:w="36"/>
        <w:gridCol w:w="36"/>
        <w:gridCol w:w="108"/>
        <w:gridCol w:w="306"/>
        <w:gridCol w:w="36"/>
        <w:gridCol w:w="36"/>
        <w:gridCol w:w="36"/>
        <w:gridCol w:w="36"/>
        <w:gridCol w:w="96"/>
        <w:gridCol w:w="1656"/>
        <w:gridCol w:w="37"/>
        <w:gridCol w:w="37"/>
        <w:gridCol w:w="37"/>
        <w:gridCol w:w="37"/>
        <w:gridCol w:w="109"/>
        <w:gridCol w:w="251"/>
        <w:gridCol w:w="36"/>
        <w:gridCol w:w="36"/>
        <w:gridCol w:w="36"/>
        <w:gridCol w:w="36"/>
        <w:gridCol w:w="109"/>
        <w:gridCol w:w="329"/>
        <w:gridCol w:w="37"/>
      </w:tblGrid>
      <w:tr w:rsidR="0040300B" w14:paraId="7B66FD7E" w14:textId="77777777">
        <w:tc>
          <w:tcPr>
            <w:tcW w:w="50" w:type="pct"/>
            <w:shd w:val="clear" w:color="auto" w:fill="auto"/>
          </w:tcPr>
          <w:p w14:paraId="7B66FD5A" w14:textId="77777777" w:rsidR="0040300B" w:rsidRDefault="0040300B">
            <w:pPr>
              <w:rPr>
                <w:rFonts w:ascii="宋体"/>
              </w:rPr>
            </w:pPr>
          </w:p>
        </w:tc>
        <w:tc>
          <w:tcPr>
            <w:tcW w:w="1227" w:type="pct"/>
            <w:shd w:val="clear" w:color="auto" w:fill="auto"/>
          </w:tcPr>
          <w:p w14:paraId="7B66FD5B" w14:textId="77777777" w:rsidR="0040300B" w:rsidRDefault="0040300B">
            <w:pPr>
              <w:rPr>
                <w:rFonts w:ascii="宋体"/>
              </w:rPr>
            </w:pPr>
          </w:p>
        </w:tc>
        <w:tc>
          <w:tcPr>
            <w:tcW w:w="5" w:type="pct"/>
            <w:shd w:val="clear" w:color="auto" w:fill="auto"/>
          </w:tcPr>
          <w:p w14:paraId="7B66FD5C" w14:textId="77777777" w:rsidR="0040300B" w:rsidRDefault="0040300B">
            <w:pPr>
              <w:rPr>
                <w:rFonts w:ascii="宋体"/>
              </w:rPr>
            </w:pPr>
          </w:p>
        </w:tc>
        <w:tc>
          <w:tcPr>
            <w:tcW w:w="50" w:type="pct"/>
            <w:shd w:val="clear" w:color="auto" w:fill="auto"/>
          </w:tcPr>
          <w:p w14:paraId="7B66FD5D" w14:textId="77777777" w:rsidR="0040300B" w:rsidRDefault="0040300B">
            <w:pPr>
              <w:rPr>
                <w:rFonts w:ascii="宋体"/>
              </w:rPr>
            </w:pPr>
          </w:p>
        </w:tc>
        <w:tc>
          <w:tcPr>
            <w:tcW w:w="876" w:type="pct"/>
            <w:shd w:val="clear" w:color="auto" w:fill="auto"/>
          </w:tcPr>
          <w:p w14:paraId="7B66FD5E" w14:textId="77777777" w:rsidR="0040300B" w:rsidRDefault="0040300B">
            <w:pPr>
              <w:rPr>
                <w:rFonts w:ascii="宋体"/>
              </w:rPr>
            </w:pPr>
          </w:p>
        </w:tc>
        <w:tc>
          <w:tcPr>
            <w:tcW w:w="5" w:type="pct"/>
            <w:shd w:val="clear" w:color="auto" w:fill="auto"/>
          </w:tcPr>
          <w:p w14:paraId="7B66FD5F" w14:textId="77777777" w:rsidR="0040300B" w:rsidRDefault="0040300B">
            <w:pPr>
              <w:rPr>
                <w:rFonts w:ascii="宋体"/>
              </w:rPr>
            </w:pPr>
          </w:p>
        </w:tc>
        <w:tc>
          <w:tcPr>
            <w:tcW w:w="5" w:type="pct"/>
            <w:shd w:val="clear" w:color="auto" w:fill="auto"/>
          </w:tcPr>
          <w:p w14:paraId="7B66FD60" w14:textId="77777777" w:rsidR="0040300B" w:rsidRDefault="0040300B">
            <w:pPr>
              <w:rPr>
                <w:rFonts w:ascii="宋体"/>
              </w:rPr>
            </w:pPr>
          </w:p>
        </w:tc>
        <w:tc>
          <w:tcPr>
            <w:tcW w:w="26" w:type="pct"/>
            <w:shd w:val="clear" w:color="auto" w:fill="auto"/>
          </w:tcPr>
          <w:p w14:paraId="7B66FD61" w14:textId="77777777" w:rsidR="0040300B" w:rsidRDefault="0040300B">
            <w:pPr>
              <w:rPr>
                <w:rFonts w:ascii="宋体"/>
              </w:rPr>
            </w:pPr>
          </w:p>
        </w:tc>
        <w:tc>
          <w:tcPr>
            <w:tcW w:w="5" w:type="pct"/>
            <w:shd w:val="clear" w:color="auto" w:fill="auto"/>
          </w:tcPr>
          <w:p w14:paraId="7B66FD62" w14:textId="77777777" w:rsidR="0040300B" w:rsidRDefault="0040300B">
            <w:pPr>
              <w:rPr>
                <w:rFonts w:ascii="宋体"/>
              </w:rPr>
            </w:pPr>
          </w:p>
        </w:tc>
        <w:tc>
          <w:tcPr>
            <w:tcW w:w="50" w:type="pct"/>
            <w:shd w:val="clear" w:color="auto" w:fill="auto"/>
          </w:tcPr>
          <w:p w14:paraId="7B66FD63" w14:textId="77777777" w:rsidR="0040300B" w:rsidRDefault="0040300B">
            <w:pPr>
              <w:rPr>
                <w:rFonts w:ascii="宋体"/>
              </w:rPr>
            </w:pPr>
          </w:p>
        </w:tc>
        <w:tc>
          <w:tcPr>
            <w:tcW w:w="421" w:type="pct"/>
            <w:shd w:val="clear" w:color="auto" w:fill="auto"/>
          </w:tcPr>
          <w:p w14:paraId="7B66FD64" w14:textId="77777777" w:rsidR="0040300B" w:rsidRDefault="0040300B">
            <w:pPr>
              <w:rPr>
                <w:rFonts w:ascii="宋体"/>
              </w:rPr>
            </w:pPr>
          </w:p>
        </w:tc>
        <w:tc>
          <w:tcPr>
            <w:tcW w:w="5" w:type="pct"/>
            <w:shd w:val="clear" w:color="auto" w:fill="auto"/>
          </w:tcPr>
          <w:p w14:paraId="7B66FD65" w14:textId="77777777" w:rsidR="0040300B" w:rsidRDefault="0040300B">
            <w:pPr>
              <w:rPr>
                <w:rFonts w:ascii="宋体"/>
              </w:rPr>
            </w:pPr>
          </w:p>
        </w:tc>
        <w:tc>
          <w:tcPr>
            <w:tcW w:w="5" w:type="pct"/>
            <w:shd w:val="clear" w:color="auto" w:fill="auto"/>
          </w:tcPr>
          <w:p w14:paraId="7B66FD66" w14:textId="77777777" w:rsidR="0040300B" w:rsidRDefault="0040300B">
            <w:pPr>
              <w:rPr>
                <w:rFonts w:ascii="宋体"/>
              </w:rPr>
            </w:pPr>
          </w:p>
        </w:tc>
        <w:tc>
          <w:tcPr>
            <w:tcW w:w="26" w:type="pct"/>
            <w:shd w:val="clear" w:color="auto" w:fill="auto"/>
          </w:tcPr>
          <w:p w14:paraId="7B66FD67" w14:textId="77777777" w:rsidR="0040300B" w:rsidRDefault="0040300B">
            <w:pPr>
              <w:rPr>
                <w:rFonts w:ascii="宋体"/>
              </w:rPr>
            </w:pPr>
          </w:p>
        </w:tc>
        <w:tc>
          <w:tcPr>
            <w:tcW w:w="5" w:type="pct"/>
            <w:shd w:val="clear" w:color="auto" w:fill="auto"/>
          </w:tcPr>
          <w:p w14:paraId="7B66FD68" w14:textId="77777777" w:rsidR="0040300B" w:rsidRDefault="0040300B">
            <w:pPr>
              <w:rPr>
                <w:rFonts w:ascii="宋体"/>
              </w:rPr>
            </w:pPr>
          </w:p>
        </w:tc>
        <w:tc>
          <w:tcPr>
            <w:tcW w:w="50" w:type="pct"/>
            <w:shd w:val="clear" w:color="auto" w:fill="auto"/>
          </w:tcPr>
          <w:p w14:paraId="7B66FD69" w14:textId="77777777" w:rsidR="0040300B" w:rsidRDefault="0040300B">
            <w:pPr>
              <w:rPr>
                <w:rFonts w:ascii="宋体"/>
              </w:rPr>
            </w:pPr>
          </w:p>
        </w:tc>
        <w:tc>
          <w:tcPr>
            <w:tcW w:w="304" w:type="pct"/>
            <w:shd w:val="clear" w:color="auto" w:fill="auto"/>
          </w:tcPr>
          <w:p w14:paraId="7B66FD6A" w14:textId="77777777" w:rsidR="0040300B" w:rsidRDefault="0040300B">
            <w:pPr>
              <w:rPr>
                <w:rFonts w:ascii="宋体"/>
              </w:rPr>
            </w:pPr>
          </w:p>
        </w:tc>
        <w:tc>
          <w:tcPr>
            <w:tcW w:w="5" w:type="pct"/>
            <w:shd w:val="clear" w:color="auto" w:fill="auto"/>
          </w:tcPr>
          <w:p w14:paraId="7B66FD6B" w14:textId="77777777" w:rsidR="0040300B" w:rsidRDefault="0040300B">
            <w:pPr>
              <w:rPr>
                <w:rFonts w:ascii="宋体"/>
              </w:rPr>
            </w:pPr>
          </w:p>
        </w:tc>
        <w:tc>
          <w:tcPr>
            <w:tcW w:w="5" w:type="pct"/>
            <w:shd w:val="clear" w:color="auto" w:fill="auto"/>
          </w:tcPr>
          <w:p w14:paraId="7B66FD6C" w14:textId="77777777" w:rsidR="0040300B" w:rsidRDefault="0040300B">
            <w:pPr>
              <w:rPr>
                <w:rFonts w:ascii="宋体"/>
              </w:rPr>
            </w:pPr>
          </w:p>
        </w:tc>
        <w:tc>
          <w:tcPr>
            <w:tcW w:w="26" w:type="pct"/>
            <w:shd w:val="clear" w:color="auto" w:fill="auto"/>
          </w:tcPr>
          <w:p w14:paraId="7B66FD6D" w14:textId="77777777" w:rsidR="0040300B" w:rsidRDefault="0040300B">
            <w:pPr>
              <w:rPr>
                <w:rFonts w:ascii="宋体"/>
              </w:rPr>
            </w:pPr>
          </w:p>
        </w:tc>
        <w:tc>
          <w:tcPr>
            <w:tcW w:w="5" w:type="pct"/>
            <w:shd w:val="clear" w:color="auto" w:fill="auto"/>
          </w:tcPr>
          <w:p w14:paraId="7B66FD6E" w14:textId="77777777" w:rsidR="0040300B" w:rsidRDefault="0040300B">
            <w:pPr>
              <w:rPr>
                <w:rFonts w:ascii="宋体"/>
              </w:rPr>
            </w:pPr>
          </w:p>
        </w:tc>
        <w:tc>
          <w:tcPr>
            <w:tcW w:w="50" w:type="pct"/>
            <w:shd w:val="clear" w:color="auto" w:fill="auto"/>
          </w:tcPr>
          <w:p w14:paraId="7B66FD6F" w14:textId="77777777" w:rsidR="0040300B" w:rsidRDefault="0040300B">
            <w:pPr>
              <w:rPr>
                <w:rFonts w:ascii="宋体"/>
              </w:rPr>
            </w:pPr>
          </w:p>
        </w:tc>
        <w:tc>
          <w:tcPr>
            <w:tcW w:w="876" w:type="pct"/>
            <w:shd w:val="clear" w:color="auto" w:fill="auto"/>
          </w:tcPr>
          <w:p w14:paraId="7B66FD70" w14:textId="77777777" w:rsidR="0040300B" w:rsidRDefault="0040300B">
            <w:pPr>
              <w:rPr>
                <w:rFonts w:ascii="宋体"/>
              </w:rPr>
            </w:pPr>
          </w:p>
        </w:tc>
        <w:tc>
          <w:tcPr>
            <w:tcW w:w="5" w:type="pct"/>
            <w:shd w:val="clear" w:color="auto" w:fill="auto"/>
          </w:tcPr>
          <w:p w14:paraId="7B66FD71" w14:textId="77777777" w:rsidR="0040300B" w:rsidRDefault="0040300B">
            <w:pPr>
              <w:rPr>
                <w:rFonts w:ascii="宋体"/>
              </w:rPr>
            </w:pPr>
          </w:p>
        </w:tc>
        <w:tc>
          <w:tcPr>
            <w:tcW w:w="5" w:type="pct"/>
            <w:shd w:val="clear" w:color="auto" w:fill="auto"/>
          </w:tcPr>
          <w:p w14:paraId="7B66FD72" w14:textId="77777777" w:rsidR="0040300B" w:rsidRDefault="0040300B">
            <w:pPr>
              <w:rPr>
                <w:rFonts w:ascii="宋体"/>
              </w:rPr>
            </w:pPr>
          </w:p>
        </w:tc>
        <w:tc>
          <w:tcPr>
            <w:tcW w:w="26" w:type="pct"/>
            <w:shd w:val="clear" w:color="auto" w:fill="auto"/>
          </w:tcPr>
          <w:p w14:paraId="7B66FD73" w14:textId="77777777" w:rsidR="0040300B" w:rsidRDefault="0040300B">
            <w:pPr>
              <w:rPr>
                <w:rFonts w:ascii="宋体"/>
              </w:rPr>
            </w:pPr>
          </w:p>
        </w:tc>
        <w:tc>
          <w:tcPr>
            <w:tcW w:w="5" w:type="pct"/>
            <w:shd w:val="clear" w:color="auto" w:fill="auto"/>
          </w:tcPr>
          <w:p w14:paraId="7B66FD74" w14:textId="77777777" w:rsidR="0040300B" w:rsidRDefault="0040300B">
            <w:pPr>
              <w:rPr>
                <w:rFonts w:ascii="宋体"/>
              </w:rPr>
            </w:pPr>
          </w:p>
        </w:tc>
        <w:tc>
          <w:tcPr>
            <w:tcW w:w="50" w:type="pct"/>
            <w:shd w:val="clear" w:color="auto" w:fill="auto"/>
          </w:tcPr>
          <w:p w14:paraId="7B66FD75" w14:textId="77777777" w:rsidR="0040300B" w:rsidRDefault="0040300B">
            <w:pPr>
              <w:rPr>
                <w:rFonts w:ascii="宋体"/>
              </w:rPr>
            </w:pPr>
          </w:p>
        </w:tc>
        <w:tc>
          <w:tcPr>
            <w:tcW w:w="421" w:type="pct"/>
            <w:shd w:val="clear" w:color="auto" w:fill="auto"/>
          </w:tcPr>
          <w:p w14:paraId="7B66FD76" w14:textId="77777777" w:rsidR="0040300B" w:rsidRDefault="0040300B">
            <w:pPr>
              <w:rPr>
                <w:rFonts w:ascii="宋体"/>
              </w:rPr>
            </w:pPr>
          </w:p>
        </w:tc>
        <w:tc>
          <w:tcPr>
            <w:tcW w:w="5" w:type="pct"/>
            <w:shd w:val="clear" w:color="auto" w:fill="auto"/>
          </w:tcPr>
          <w:p w14:paraId="7B66FD77" w14:textId="77777777" w:rsidR="0040300B" w:rsidRDefault="0040300B">
            <w:pPr>
              <w:rPr>
                <w:rFonts w:ascii="宋体"/>
              </w:rPr>
            </w:pPr>
          </w:p>
        </w:tc>
        <w:tc>
          <w:tcPr>
            <w:tcW w:w="5" w:type="pct"/>
            <w:shd w:val="clear" w:color="auto" w:fill="auto"/>
          </w:tcPr>
          <w:p w14:paraId="7B66FD78" w14:textId="77777777" w:rsidR="0040300B" w:rsidRDefault="0040300B">
            <w:pPr>
              <w:rPr>
                <w:rFonts w:ascii="宋体"/>
              </w:rPr>
            </w:pPr>
          </w:p>
        </w:tc>
        <w:tc>
          <w:tcPr>
            <w:tcW w:w="26" w:type="pct"/>
            <w:shd w:val="clear" w:color="auto" w:fill="auto"/>
          </w:tcPr>
          <w:p w14:paraId="7B66FD79" w14:textId="77777777" w:rsidR="0040300B" w:rsidRDefault="0040300B">
            <w:pPr>
              <w:rPr>
                <w:rFonts w:ascii="宋体"/>
              </w:rPr>
            </w:pPr>
          </w:p>
        </w:tc>
        <w:tc>
          <w:tcPr>
            <w:tcW w:w="5" w:type="pct"/>
            <w:shd w:val="clear" w:color="auto" w:fill="auto"/>
          </w:tcPr>
          <w:p w14:paraId="7B66FD7A" w14:textId="77777777" w:rsidR="0040300B" w:rsidRDefault="0040300B">
            <w:pPr>
              <w:rPr>
                <w:rFonts w:ascii="宋体"/>
              </w:rPr>
            </w:pPr>
          </w:p>
        </w:tc>
        <w:tc>
          <w:tcPr>
            <w:tcW w:w="50" w:type="pct"/>
            <w:shd w:val="clear" w:color="auto" w:fill="auto"/>
          </w:tcPr>
          <w:p w14:paraId="7B66FD7B" w14:textId="77777777" w:rsidR="0040300B" w:rsidRDefault="0040300B">
            <w:pPr>
              <w:rPr>
                <w:rFonts w:ascii="宋体"/>
              </w:rPr>
            </w:pPr>
          </w:p>
        </w:tc>
        <w:tc>
          <w:tcPr>
            <w:tcW w:w="304" w:type="pct"/>
            <w:shd w:val="clear" w:color="auto" w:fill="auto"/>
          </w:tcPr>
          <w:p w14:paraId="7B66FD7C" w14:textId="77777777" w:rsidR="0040300B" w:rsidRDefault="0040300B">
            <w:pPr>
              <w:rPr>
                <w:rFonts w:ascii="宋体"/>
              </w:rPr>
            </w:pPr>
          </w:p>
        </w:tc>
        <w:tc>
          <w:tcPr>
            <w:tcW w:w="5" w:type="pct"/>
            <w:shd w:val="clear" w:color="auto" w:fill="auto"/>
          </w:tcPr>
          <w:p w14:paraId="7B66FD7D" w14:textId="77777777" w:rsidR="0040300B" w:rsidRDefault="0040300B">
            <w:pPr>
              <w:rPr>
                <w:rFonts w:ascii="宋体"/>
              </w:rPr>
            </w:pPr>
          </w:p>
        </w:tc>
      </w:tr>
      <w:tr w:rsidR="0040300B" w14:paraId="7B66FD83" w14:textId="77777777">
        <w:tc>
          <w:tcPr>
            <w:tcW w:w="0" w:type="auto"/>
            <w:gridSpan w:val="3"/>
            <w:shd w:val="clear" w:color="auto" w:fill="auto"/>
            <w:tcMar>
              <w:top w:w="40" w:type="dxa"/>
              <w:left w:w="20" w:type="dxa"/>
              <w:bottom w:w="40" w:type="dxa"/>
              <w:right w:w="20" w:type="dxa"/>
            </w:tcMar>
            <w:vAlign w:val="bottom"/>
          </w:tcPr>
          <w:p w14:paraId="7B66FD7F" w14:textId="77777777" w:rsidR="0040300B" w:rsidRDefault="00BB2D44">
            <w:pPr>
              <w:textAlignment w:val="bottom"/>
            </w:pPr>
            <w:r>
              <w:rPr>
                <w:rFonts w:ascii="Times New Roman" w:eastAsia="宋体" w:hAnsi="Times New Roman"/>
                <w:color w:val="000000"/>
                <w:sz w:val="18"/>
                <w:szCs w:val="18"/>
              </w:rPr>
              <w:t> </w:t>
            </w:r>
          </w:p>
        </w:tc>
        <w:tc>
          <w:tcPr>
            <w:tcW w:w="0" w:type="auto"/>
            <w:gridSpan w:val="15"/>
            <w:shd w:val="clear" w:color="auto" w:fill="auto"/>
            <w:tcMar>
              <w:top w:w="40" w:type="dxa"/>
              <w:left w:w="20" w:type="dxa"/>
              <w:bottom w:w="40" w:type="dxa"/>
              <w:right w:w="20" w:type="dxa"/>
            </w:tcMar>
            <w:vAlign w:val="bottom"/>
          </w:tcPr>
          <w:p w14:paraId="7B66FD80" w14:textId="77777777" w:rsidR="0040300B" w:rsidRDefault="00BB2D44">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tcPr>
          <w:p w14:paraId="7B66FD81"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6FD82" w14:textId="77777777" w:rsidR="0040300B" w:rsidRDefault="00BB2D44">
            <w:pPr>
              <w:jc w:val="center"/>
              <w:textAlignment w:val="bottom"/>
            </w:pPr>
            <w:r>
              <w:rPr>
                <w:rFonts w:ascii="Times New Roman" w:eastAsia="宋体" w:hAnsi="Times New Roman"/>
                <w:color w:val="000000"/>
                <w:sz w:val="18"/>
                <w:szCs w:val="18"/>
              </w:rPr>
              <w:t>DERIVATIVE LIABILITIES</w:t>
            </w:r>
          </w:p>
        </w:tc>
      </w:tr>
      <w:tr w:rsidR="0040300B" w14:paraId="7B66FD90" w14:textId="77777777">
        <w:tc>
          <w:tcPr>
            <w:tcW w:w="0" w:type="auto"/>
            <w:gridSpan w:val="3"/>
            <w:shd w:val="clear" w:color="auto" w:fill="auto"/>
            <w:tcMar>
              <w:top w:w="40" w:type="dxa"/>
              <w:left w:w="20" w:type="dxa"/>
              <w:bottom w:w="40" w:type="dxa"/>
              <w:right w:w="20" w:type="dxa"/>
            </w:tcMar>
            <w:vAlign w:val="bottom"/>
          </w:tcPr>
          <w:p w14:paraId="7B66FD84" w14:textId="77777777" w:rsidR="0040300B" w:rsidRDefault="00BB2D44">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5" w14:textId="77777777" w:rsidR="0040300B" w:rsidRDefault="00BB2D44">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tcPr>
          <w:p w14:paraId="7B66FD8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7"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D8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9"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6FD8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B" w14:textId="77777777" w:rsidR="0040300B" w:rsidRDefault="00BB2D44">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tcPr>
          <w:p w14:paraId="7B66FD8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D"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D8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D8F"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6FD9D" w14:textId="77777777">
        <w:tc>
          <w:tcPr>
            <w:tcW w:w="0" w:type="auto"/>
            <w:gridSpan w:val="3"/>
            <w:shd w:val="clear" w:color="auto" w:fill="CCEEFF"/>
            <w:tcMar>
              <w:top w:w="40" w:type="dxa"/>
              <w:left w:w="20" w:type="dxa"/>
              <w:bottom w:w="40" w:type="dxa"/>
              <w:right w:w="20" w:type="dxa"/>
            </w:tcMar>
          </w:tcPr>
          <w:p w14:paraId="7B66FD91" w14:textId="77777777" w:rsidR="0040300B" w:rsidRDefault="00BB2D44">
            <w:pPr>
              <w:textAlignment w:val="top"/>
            </w:pPr>
            <w:r>
              <w:rPr>
                <w:rFonts w:ascii="Times New Roman" w:eastAsia="宋体" w:hAnsi="Times New Roman"/>
                <w:color w:val="000000"/>
                <w:sz w:val="18"/>
                <w:szCs w:val="18"/>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7B66FD9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9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9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9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9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9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9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9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9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9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9C" w14:textId="77777777" w:rsidR="0040300B" w:rsidRDefault="0040300B">
            <w:pPr>
              <w:rPr>
                <w:rFonts w:ascii="宋体"/>
              </w:rPr>
            </w:pPr>
          </w:p>
        </w:tc>
      </w:tr>
      <w:tr w:rsidR="0040300B" w14:paraId="7B66FDB2" w14:textId="77777777">
        <w:tc>
          <w:tcPr>
            <w:tcW w:w="0" w:type="auto"/>
            <w:gridSpan w:val="3"/>
            <w:shd w:val="clear" w:color="auto" w:fill="FFFFFF"/>
            <w:tcMar>
              <w:top w:w="40" w:type="dxa"/>
              <w:left w:w="380" w:type="dxa"/>
              <w:bottom w:w="40" w:type="dxa"/>
              <w:right w:w="20" w:type="dxa"/>
            </w:tcMar>
          </w:tcPr>
          <w:p w14:paraId="7B66FD9E" w14:textId="77777777" w:rsidR="0040300B" w:rsidRDefault="00BB2D44">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7B66FD9F" w14:textId="77777777" w:rsidR="0040300B" w:rsidRDefault="00BB2D4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tcPr>
          <w:p w14:paraId="7B66FDA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DA1" w14:textId="77777777" w:rsidR="0040300B" w:rsidRDefault="00BB2D4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B66FDA2" w14:textId="77777777" w:rsidR="0040300B" w:rsidRDefault="00BB2D44">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7B66FDA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A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DA5" w14:textId="77777777" w:rsidR="0040300B" w:rsidRDefault="00BB2D4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B66FDA6" w14:textId="77777777" w:rsidR="0040300B" w:rsidRDefault="00BB2D44">
            <w:pPr>
              <w:jc w:val="right"/>
              <w:textAlignment w:val="bottom"/>
            </w:pPr>
            <w:r>
              <w:rPr>
                <w:rFonts w:ascii="Times New Roman" w:eastAsia="宋体" w:hAnsi="Times New Roman"/>
                <w:color w:val="000000"/>
                <w:sz w:val="18"/>
                <w:szCs w:val="18"/>
              </w:rPr>
              <w:t>7 </w:t>
            </w:r>
          </w:p>
        </w:tc>
        <w:tc>
          <w:tcPr>
            <w:tcW w:w="0" w:type="auto"/>
            <w:shd w:val="clear" w:color="auto" w:fill="FFFFFF"/>
            <w:tcMar>
              <w:top w:w="40" w:type="dxa"/>
              <w:left w:w="0" w:type="dxa"/>
              <w:bottom w:w="40" w:type="dxa"/>
              <w:right w:w="20" w:type="dxa"/>
            </w:tcMar>
            <w:vAlign w:val="bottom"/>
          </w:tcPr>
          <w:p w14:paraId="7B66FDA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A8"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DA9" w14:textId="77777777" w:rsidR="0040300B" w:rsidRDefault="00BB2D4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7B66FDA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DAB" w14:textId="77777777" w:rsidR="0040300B" w:rsidRDefault="00BB2D4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B66FDAC" w14:textId="77777777" w:rsidR="0040300B" w:rsidRDefault="00BB2D44">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7B66FDA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A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DAF" w14:textId="77777777" w:rsidR="0040300B" w:rsidRDefault="00BB2D4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7B66FDB0" w14:textId="77777777" w:rsidR="0040300B" w:rsidRDefault="00BB2D44">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7B66FDB1" w14:textId="77777777" w:rsidR="0040300B" w:rsidRDefault="0040300B">
            <w:pPr>
              <w:jc w:val="right"/>
              <w:rPr>
                <w:rFonts w:ascii="宋体"/>
              </w:rPr>
            </w:pPr>
          </w:p>
        </w:tc>
      </w:tr>
      <w:tr w:rsidR="0040300B" w14:paraId="7B66FDC3" w14:textId="77777777">
        <w:tc>
          <w:tcPr>
            <w:tcW w:w="0" w:type="auto"/>
            <w:gridSpan w:val="3"/>
            <w:shd w:val="clear" w:color="auto" w:fill="CCEEFF"/>
            <w:tcMar>
              <w:top w:w="40" w:type="dxa"/>
              <w:left w:w="380" w:type="dxa"/>
              <w:bottom w:w="40" w:type="dxa"/>
              <w:right w:w="20" w:type="dxa"/>
            </w:tcMar>
            <w:vAlign w:val="bottom"/>
          </w:tcPr>
          <w:p w14:paraId="7B66FDB3" w14:textId="77777777" w:rsidR="0040300B" w:rsidRDefault="00BB2D44">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7B66FDB4" w14:textId="77777777" w:rsidR="0040300B" w:rsidRDefault="00BB2D4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tcPr>
          <w:p w14:paraId="7B66FDB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B6" w14:textId="77777777" w:rsidR="0040300B" w:rsidRDefault="00BB2D44">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7B66FDB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B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B9"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DB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B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DBC" w14:textId="77777777" w:rsidR="0040300B" w:rsidRDefault="00BB2D4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tcPr>
          <w:p w14:paraId="7B66FDB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BE"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D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C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C1"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DC2" w14:textId="77777777" w:rsidR="0040300B" w:rsidRDefault="0040300B">
            <w:pPr>
              <w:jc w:val="right"/>
              <w:rPr>
                <w:rFonts w:ascii="宋体"/>
              </w:rPr>
            </w:pPr>
          </w:p>
        </w:tc>
      </w:tr>
      <w:tr w:rsidR="0040300B" w14:paraId="7B66FDD4" w14:textId="77777777">
        <w:tc>
          <w:tcPr>
            <w:tcW w:w="0" w:type="auto"/>
            <w:gridSpan w:val="3"/>
            <w:shd w:val="clear" w:color="auto" w:fill="FFFFFF"/>
            <w:tcMar>
              <w:top w:w="40" w:type="dxa"/>
              <w:left w:w="380" w:type="dxa"/>
              <w:bottom w:w="40" w:type="dxa"/>
              <w:right w:w="20" w:type="dxa"/>
            </w:tcMar>
            <w:vAlign w:val="bottom"/>
          </w:tcPr>
          <w:p w14:paraId="7B66FDC4" w14:textId="77777777" w:rsidR="0040300B" w:rsidRDefault="00BB2D44">
            <w:pPr>
              <w:textAlignment w:val="bottom"/>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7B66FDC5" w14:textId="77777777" w:rsidR="0040300B" w:rsidRDefault="00BB2D4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tcPr>
          <w:p w14:paraId="7B66FDC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C7"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B66FD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C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CA" w14:textId="77777777" w:rsidR="0040300B" w:rsidRDefault="00BB2D44">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7B66FDC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CC"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DCD" w14:textId="77777777" w:rsidR="0040300B" w:rsidRDefault="00BB2D4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7B66FDC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CF"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B66FDD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D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DD2"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B66FDD3" w14:textId="77777777" w:rsidR="0040300B" w:rsidRDefault="0040300B">
            <w:pPr>
              <w:jc w:val="right"/>
              <w:rPr>
                <w:rFonts w:ascii="宋体"/>
              </w:rPr>
            </w:pPr>
          </w:p>
        </w:tc>
      </w:tr>
      <w:tr w:rsidR="0040300B" w14:paraId="7B66FDE5" w14:textId="77777777">
        <w:tc>
          <w:tcPr>
            <w:tcW w:w="0" w:type="auto"/>
            <w:gridSpan w:val="3"/>
            <w:shd w:val="clear" w:color="auto" w:fill="CCEEFF"/>
            <w:tcMar>
              <w:top w:w="40" w:type="dxa"/>
              <w:left w:w="380" w:type="dxa"/>
              <w:bottom w:w="40" w:type="dxa"/>
              <w:right w:w="20" w:type="dxa"/>
            </w:tcMar>
            <w:vAlign w:val="bottom"/>
          </w:tcPr>
          <w:p w14:paraId="7B66FDD5" w14:textId="77777777" w:rsidR="0040300B" w:rsidRDefault="00BB2D44">
            <w:pPr>
              <w:textAlignment w:val="bottom"/>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7B66FDD6" w14:textId="77777777" w:rsidR="0040300B" w:rsidRDefault="00BB2D4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tcPr>
          <w:p w14:paraId="7B66FDD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D8" w14:textId="77777777" w:rsidR="0040300B" w:rsidRDefault="00BB2D44">
            <w:pPr>
              <w:jc w:val="right"/>
              <w:textAlignment w:val="bottom"/>
            </w:pPr>
            <w:r>
              <w:rPr>
                <w:rFonts w:ascii="Times New Roman" w:eastAsia="宋体" w:hAnsi="Times New Roman"/>
                <w:color w:val="000000"/>
                <w:sz w:val="18"/>
                <w:szCs w:val="18"/>
              </w:rPr>
              <w:t>116 </w:t>
            </w:r>
          </w:p>
        </w:tc>
        <w:tc>
          <w:tcPr>
            <w:tcW w:w="0" w:type="auto"/>
            <w:shd w:val="clear" w:color="auto" w:fill="CCEEFF"/>
            <w:tcMar>
              <w:top w:w="40" w:type="dxa"/>
              <w:left w:w="0" w:type="dxa"/>
              <w:bottom w:w="40" w:type="dxa"/>
              <w:right w:w="20" w:type="dxa"/>
            </w:tcMar>
            <w:vAlign w:val="bottom"/>
          </w:tcPr>
          <w:p w14:paraId="7B66FDD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D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DB" w14:textId="77777777" w:rsidR="0040300B" w:rsidRDefault="00BB2D44">
            <w:pPr>
              <w:jc w:val="right"/>
              <w:textAlignment w:val="bottom"/>
            </w:pPr>
            <w:r>
              <w:rPr>
                <w:rFonts w:ascii="Times New Roman" w:eastAsia="宋体" w:hAnsi="Times New Roman"/>
                <w:color w:val="000000"/>
                <w:sz w:val="18"/>
                <w:szCs w:val="18"/>
              </w:rPr>
              <w:t>169 </w:t>
            </w:r>
          </w:p>
        </w:tc>
        <w:tc>
          <w:tcPr>
            <w:tcW w:w="0" w:type="auto"/>
            <w:shd w:val="clear" w:color="auto" w:fill="CCEEFF"/>
            <w:tcMar>
              <w:top w:w="40" w:type="dxa"/>
              <w:left w:w="0" w:type="dxa"/>
              <w:bottom w:w="40" w:type="dxa"/>
              <w:right w:w="20" w:type="dxa"/>
            </w:tcMar>
            <w:vAlign w:val="bottom"/>
          </w:tcPr>
          <w:p w14:paraId="7B66FD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D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DDE" w14:textId="77777777" w:rsidR="0040300B" w:rsidRDefault="00BB2D4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tcPr>
          <w:p w14:paraId="7B66FDD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E0"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DE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DE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DE3"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DE4" w14:textId="77777777" w:rsidR="0040300B" w:rsidRDefault="0040300B">
            <w:pPr>
              <w:jc w:val="right"/>
              <w:rPr>
                <w:rFonts w:ascii="宋体"/>
              </w:rPr>
            </w:pPr>
          </w:p>
        </w:tc>
      </w:tr>
      <w:tr w:rsidR="0040300B" w14:paraId="7B66FDF6" w14:textId="77777777">
        <w:tc>
          <w:tcPr>
            <w:tcW w:w="0" w:type="auto"/>
            <w:gridSpan w:val="3"/>
            <w:shd w:val="clear" w:color="auto" w:fill="FFFFFF"/>
            <w:tcMar>
              <w:top w:w="40" w:type="dxa"/>
              <w:left w:w="380" w:type="dxa"/>
              <w:bottom w:w="40" w:type="dxa"/>
              <w:right w:w="20" w:type="dxa"/>
            </w:tcMar>
          </w:tcPr>
          <w:p w14:paraId="7B66FDE6" w14:textId="77777777" w:rsidR="0040300B" w:rsidRDefault="00BB2D4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tcPr>
          <w:p w14:paraId="7B66FDE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E8"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FDE9" w14:textId="77777777" w:rsidR="0040300B" w:rsidRDefault="00BB2D44">
            <w:pPr>
              <w:jc w:val="right"/>
              <w:textAlignment w:val="bottom"/>
            </w:pPr>
            <w:r>
              <w:rPr>
                <w:rFonts w:ascii="Times New Roman" w:eastAsia="宋体" w:hAnsi="Times New Roman"/>
                <w:color w:val="000000"/>
                <w:sz w:val="18"/>
                <w:szCs w:val="18"/>
              </w:rPr>
              <w:t>128 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DE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EB"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FDEC" w14:textId="77777777" w:rsidR="0040300B" w:rsidRDefault="00BB2D44">
            <w:pPr>
              <w:jc w:val="right"/>
              <w:textAlignment w:val="bottom"/>
            </w:pPr>
            <w:r>
              <w:rPr>
                <w:rFonts w:ascii="Times New Roman" w:eastAsia="宋体" w:hAnsi="Times New Roman"/>
                <w:color w:val="000000"/>
                <w:sz w:val="18"/>
                <w:szCs w:val="18"/>
              </w:rPr>
              <w:t>182 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DE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E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DF0"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FDF1" w14:textId="77777777" w:rsidR="0040300B" w:rsidRDefault="00BB2D44">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DF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DF3"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6FDF4" w14:textId="77777777" w:rsidR="0040300B" w:rsidRDefault="00BB2D44">
            <w:pPr>
              <w:jc w:val="right"/>
              <w:textAlignment w:val="bottom"/>
            </w:pPr>
            <w:r>
              <w:rPr>
                <w:rFonts w:ascii="Times New Roman" w:eastAsia="宋体" w:hAnsi="Times New Roman"/>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6FDF5" w14:textId="77777777" w:rsidR="0040300B" w:rsidRDefault="0040300B">
            <w:pPr>
              <w:jc w:val="right"/>
              <w:rPr>
                <w:rFonts w:ascii="宋体"/>
              </w:rPr>
            </w:pPr>
          </w:p>
        </w:tc>
      </w:tr>
      <w:tr w:rsidR="0040300B" w14:paraId="7B66FE03" w14:textId="77777777">
        <w:tc>
          <w:tcPr>
            <w:tcW w:w="0" w:type="auto"/>
            <w:gridSpan w:val="3"/>
            <w:shd w:val="clear" w:color="auto" w:fill="CCEEFF"/>
            <w:tcMar>
              <w:top w:w="40" w:type="dxa"/>
              <w:left w:w="20" w:type="dxa"/>
              <w:bottom w:w="40" w:type="dxa"/>
              <w:right w:w="20" w:type="dxa"/>
            </w:tcMar>
          </w:tcPr>
          <w:p w14:paraId="7B66FDF7" w14:textId="77777777" w:rsidR="0040300B" w:rsidRDefault="00BB2D44">
            <w:pPr>
              <w:textAlignment w:val="top"/>
            </w:pPr>
            <w:r>
              <w:rPr>
                <w:rFonts w:ascii="Times New Roman" w:eastAsia="宋体" w:hAnsi="Times New Roman"/>
                <w:color w:val="000000"/>
                <w:sz w:val="18"/>
                <w:szCs w:val="18"/>
              </w:rPr>
              <w:t>Derivative</w:t>
            </w:r>
            <w:r>
              <w:rPr>
                <w:rFonts w:ascii="Times New Roman" w:eastAsia="宋体" w:hAnsi="Times New Roman"/>
                <w:color w:val="000000"/>
                <w:sz w:val="18"/>
                <w:szCs w:val="18"/>
              </w:rPr>
              <w:t>s not designated as hedging instruments:</w:t>
            </w:r>
          </w:p>
        </w:tc>
        <w:tc>
          <w:tcPr>
            <w:tcW w:w="0" w:type="auto"/>
            <w:gridSpan w:val="3"/>
            <w:shd w:val="clear" w:color="auto" w:fill="CCEEFF"/>
            <w:tcMar>
              <w:top w:w="0" w:type="dxa"/>
              <w:left w:w="20" w:type="dxa"/>
              <w:bottom w:w="0" w:type="dxa"/>
              <w:right w:w="20" w:type="dxa"/>
            </w:tcMar>
          </w:tcPr>
          <w:p w14:paraId="7B66FDF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F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F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DF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F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F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DF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0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0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02" w14:textId="77777777" w:rsidR="0040300B" w:rsidRDefault="0040300B">
            <w:pPr>
              <w:rPr>
                <w:rFonts w:ascii="宋体"/>
              </w:rPr>
            </w:pPr>
          </w:p>
        </w:tc>
      </w:tr>
      <w:tr w:rsidR="0040300B" w14:paraId="7B66FE14" w14:textId="77777777">
        <w:tc>
          <w:tcPr>
            <w:tcW w:w="0" w:type="auto"/>
            <w:gridSpan w:val="3"/>
            <w:shd w:val="clear" w:color="auto" w:fill="FFFFFF"/>
            <w:tcMar>
              <w:top w:w="40" w:type="dxa"/>
              <w:left w:w="380" w:type="dxa"/>
              <w:bottom w:w="40" w:type="dxa"/>
              <w:right w:w="20" w:type="dxa"/>
            </w:tcMar>
          </w:tcPr>
          <w:p w14:paraId="7B66FE04" w14:textId="77777777" w:rsidR="0040300B" w:rsidRDefault="00BB2D44">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7B66FE05" w14:textId="77777777" w:rsidR="0040300B" w:rsidRDefault="00BB2D4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tcPr>
          <w:p w14:paraId="7B66FE0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07" w14:textId="77777777" w:rsidR="0040300B" w:rsidRDefault="00BB2D44">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7B66FE0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0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0A" w14:textId="77777777" w:rsidR="0040300B" w:rsidRDefault="00BB2D44">
            <w:pPr>
              <w:jc w:val="right"/>
              <w:textAlignment w:val="bottom"/>
            </w:pPr>
            <w:r>
              <w:rPr>
                <w:rFonts w:ascii="Times New Roman" w:eastAsia="宋体" w:hAnsi="Times New Roman"/>
                <w:color w:val="000000"/>
                <w:sz w:val="18"/>
                <w:szCs w:val="18"/>
              </w:rPr>
              <w:t>8 </w:t>
            </w:r>
          </w:p>
        </w:tc>
        <w:tc>
          <w:tcPr>
            <w:tcW w:w="0" w:type="auto"/>
            <w:shd w:val="clear" w:color="auto" w:fill="FFFFFF"/>
            <w:tcMar>
              <w:top w:w="40" w:type="dxa"/>
              <w:left w:w="0" w:type="dxa"/>
              <w:bottom w:w="40" w:type="dxa"/>
              <w:right w:w="20" w:type="dxa"/>
            </w:tcMar>
            <w:vAlign w:val="bottom"/>
          </w:tcPr>
          <w:p w14:paraId="7B66FE0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0C"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E0D" w14:textId="77777777" w:rsidR="0040300B" w:rsidRDefault="00BB2D4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tcPr>
          <w:p w14:paraId="7B66FE0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0F" w14:textId="77777777" w:rsidR="0040300B" w:rsidRDefault="00BB2D44">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7B66FE1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1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12" w14:textId="77777777" w:rsidR="0040300B" w:rsidRDefault="00BB2D44">
            <w:pPr>
              <w:jc w:val="right"/>
              <w:textAlignment w:val="bottom"/>
            </w:pPr>
            <w:r>
              <w:rPr>
                <w:rFonts w:ascii="Times New Roman" w:eastAsia="宋体" w:hAnsi="Times New Roman"/>
                <w:color w:val="000000"/>
                <w:sz w:val="18"/>
                <w:szCs w:val="18"/>
              </w:rPr>
              <w:t>8 </w:t>
            </w:r>
          </w:p>
        </w:tc>
        <w:tc>
          <w:tcPr>
            <w:tcW w:w="0" w:type="auto"/>
            <w:shd w:val="clear" w:color="auto" w:fill="FFFFFF"/>
            <w:tcMar>
              <w:top w:w="40" w:type="dxa"/>
              <w:left w:w="0" w:type="dxa"/>
              <w:bottom w:w="40" w:type="dxa"/>
              <w:right w:w="20" w:type="dxa"/>
            </w:tcMar>
            <w:vAlign w:val="bottom"/>
          </w:tcPr>
          <w:p w14:paraId="7B66FE13" w14:textId="77777777" w:rsidR="0040300B" w:rsidRDefault="0040300B">
            <w:pPr>
              <w:jc w:val="right"/>
              <w:rPr>
                <w:rFonts w:ascii="宋体"/>
              </w:rPr>
            </w:pPr>
          </w:p>
        </w:tc>
      </w:tr>
      <w:tr w:rsidR="0040300B" w14:paraId="7B66FE25" w14:textId="77777777">
        <w:tc>
          <w:tcPr>
            <w:tcW w:w="0" w:type="auto"/>
            <w:gridSpan w:val="3"/>
            <w:shd w:val="clear" w:color="auto" w:fill="CCEEFF"/>
            <w:tcMar>
              <w:top w:w="40" w:type="dxa"/>
              <w:left w:w="380" w:type="dxa"/>
              <w:bottom w:w="40" w:type="dxa"/>
              <w:right w:w="20" w:type="dxa"/>
            </w:tcMar>
            <w:vAlign w:val="bottom"/>
          </w:tcPr>
          <w:p w14:paraId="7B66FE15" w14:textId="77777777" w:rsidR="0040300B" w:rsidRDefault="00BB2D44">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7B66FE16" w14:textId="77777777" w:rsidR="0040300B" w:rsidRDefault="00BB2D4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tcPr>
          <w:p w14:paraId="7B66FE1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E18"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E1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1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E1B"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E1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1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E1E" w14:textId="77777777" w:rsidR="0040300B" w:rsidRDefault="00BB2D4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tcPr>
          <w:p w14:paraId="7B66FE1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E20" w14:textId="77777777" w:rsidR="0040300B" w:rsidRDefault="00BB2D44">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7B66FE2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2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E23"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7B66FE24" w14:textId="77777777" w:rsidR="0040300B" w:rsidRDefault="0040300B">
            <w:pPr>
              <w:jc w:val="right"/>
              <w:rPr>
                <w:rFonts w:ascii="宋体"/>
              </w:rPr>
            </w:pPr>
          </w:p>
        </w:tc>
      </w:tr>
      <w:tr w:rsidR="0040300B" w14:paraId="7B66FE36" w14:textId="77777777">
        <w:tc>
          <w:tcPr>
            <w:tcW w:w="0" w:type="auto"/>
            <w:gridSpan w:val="3"/>
            <w:shd w:val="clear" w:color="auto" w:fill="FFFFFF"/>
            <w:tcMar>
              <w:top w:w="40" w:type="dxa"/>
              <w:left w:w="380" w:type="dxa"/>
              <w:bottom w:w="40" w:type="dxa"/>
              <w:right w:w="20" w:type="dxa"/>
            </w:tcMar>
            <w:vAlign w:val="bottom"/>
          </w:tcPr>
          <w:p w14:paraId="7B66FE26" w14:textId="77777777" w:rsidR="0040300B" w:rsidRDefault="00BB2D44">
            <w:pPr>
              <w:textAlignment w:val="bottom"/>
            </w:pPr>
            <w:r>
              <w:rPr>
                <w:rFonts w:ascii="Times New Roman" w:eastAsia="宋体" w:hAnsi="Times New Roman"/>
                <w:color w:val="000000"/>
                <w:sz w:val="18"/>
                <w:szCs w:val="18"/>
              </w:rPr>
              <w:t>Equity derivatives</w:t>
            </w:r>
          </w:p>
        </w:tc>
        <w:tc>
          <w:tcPr>
            <w:tcW w:w="0" w:type="auto"/>
            <w:gridSpan w:val="3"/>
            <w:shd w:val="clear" w:color="auto" w:fill="FFFFFF"/>
            <w:tcMar>
              <w:top w:w="40" w:type="dxa"/>
              <w:left w:w="20" w:type="dxa"/>
              <w:bottom w:w="40" w:type="dxa"/>
              <w:right w:w="20" w:type="dxa"/>
            </w:tcMar>
            <w:vAlign w:val="bottom"/>
          </w:tcPr>
          <w:p w14:paraId="7B66FE27" w14:textId="77777777" w:rsidR="0040300B" w:rsidRDefault="00BB2D44">
            <w:pPr>
              <w:textAlignment w:val="bottom"/>
            </w:pPr>
            <w:r>
              <w:rPr>
                <w:rFonts w:ascii="Times New Roman" w:eastAsia="宋体" w:hAnsi="Times New Roman"/>
                <w:color w:val="000000"/>
                <w:sz w:val="18"/>
                <w:szCs w:val="18"/>
              </w:rPr>
              <w:t>Other assets</w:t>
            </w:r>
          </w:p>
        </w:tc>
        <w:tc>
          <w:tcPr>
            <w:tcW w:w="0" w:type="auto"/>
            <w:gridSpan w:val="3"/>
            <w:shd w:val="clear" w:color="auto" w:fill="FFFFFF"/>
            <w:tcMar>
              <w:top w:w="0" w:type="dxa"/>
              <w:left w:w="20" w:type="dxa"/>
              <w:bottom w:w="0" w:type="dxa"/>
              <w:right w:w="20" w:type="dxa"/>
            </w:tcMar>
          </w:tcPr>
          <w:p w14:paraId="7B66FE2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29" w14:textId="77777777" w:rsidR="0040300B" w:rsidRDefault="00BB2D44">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7B66FE2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2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2C" w14:textId="77777777" w:rsidR="0040300B" w:rsidRDefault="00BB2D44">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7B66FE2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2E"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E2F" w14:textId="77777777" w:rsidR="0040300B" w:rsidRDefault="00BB2D44">
            <w:pPr>
              <w:textAlignment w:val="bottom"/>
            </w:pPr>
            <w:r>
              <w:rPr>
                <w:rFonts w:ascii="Times New Roman" w:eastAsia="宋体" w:hAnsi="Times New Roman"/>
                <w:color w:val="000000"/>
                <w:sz w:val="18"/>
                <w:szCs w:val="18"/>
              </w:rPr>
              <w:t>Other long-term liabilities</w:t>
            </w:r>
          </w:p>
        </w:tc>
        <w:tc>
          <w:tcPr>
            <w:tcW w:w="0" w:type="auto"/>
            <w:gridSpan w:val="3"/>
            <w:shd w:val="clear" w:color="auto" w:fill="FFFFFF"/>
            <w:tcMar>
              <w:top w:w="0" w:type="dxa"/>
              <w:left w:w="20" w:type="dxa"/>
              <w:bottom w:w="0" w:type="dxa"/>
              <w:right w:w="20" w:type="dxa"/>
            </w:tcMar>
          </w:tcPr>
          <w:p w14:paraId="7B66FE3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31"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B66FE3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3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E34" w14:textId="77777777" w:rsidR="0040300B" w:rsidRDefault="00BB2D4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7B66FE35" w14:textId="77777777" w:rsidR="0040300B" w:rsidRDefault="0040300B">
            <w:pPr>
              <w:jc w:val="right"/>
              <w:rPr>
                <w:rFonts w:ascii="宋体"/>
              </w:rPr>
            </w:pPr>
          </w:p>
        </w:tc>
      </w:tr>
      <w:tr w:rsidR="0040300B" w14:paraId="7B66FE47" w14:textId="77777777">
        <w:tc>
          <w:tcPr>
            <w:tcW w:w="0" w:type="auto"/>
            <w:gridSpan w:val="3"/>
            <w:shd w:val="clear" w:color="auto" w:fill="CCEEFF"/>
            <w:tcMar>
              <w:top w:w="40" w:type="dxa"/>
              <w:left w:w="380" w:type="dxa"/>
              <w:bottom w:w="40" w:type="dxa"/>
              <w:right w:w="20" w:type="dxa"/>
            </w:tcMar>
          </w:tcPr>
          <w:p w14:paraId="7B66FE37" w14:textId="77777777" w:rsidR="0040300B" w:rsidRDefault="00BB2D44">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tcPr>
          <w:p w14:paraId="7B66FE3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3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E3A" w14:textId="77777777" w:rsidR="0040300B" w:rsidRDefault="00BB2D44">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3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3C"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E3D" w14:textId="77777777" w:rsidR="0040300B" w:rsidRDefault="00BB2D44">
            <w:pPr>
              <w:jc w:val="right"/>
              <w:textAlignment w:val="bottom"/>
            </w:pPr>
            <w:r>
              <w:rPr>
                <w:rFonts w:ascii="Times New Roman" w:eastAsia="宋体" w:hAnsi="Times New Roman"/>
                <w:color w:val="000000"/>
                <w:sz w:val="18"/>
                <w:szCs w:val="18"/>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3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3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4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4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E42" w14:textId="77777777" w:rsidR="0040300B" w:rsidRDefault="00BB2D44">
            <w:pPr>
              <w:jc w:val="right"/>
              <w:textAlignment w:val="bottom"/>
            </w:pPr>
            <w:r>
              <w:rPr>
                <w:rFonts w:ascii="Times New Roman" w:eastAsia="宋体" w:hAnsi="Times New Roman"/>
                <w:color w:val="000000"/>
                <w:sz w:val="18"/>
                <w:szCs w:val="18"/>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44"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6FE45" w14:textId="77777777" w:rsidR="0040300B" w:rsidRDefault="00BB2D44">
            <w:pPr>
              <w:jc w:val="right"/>
              <w:textAlignment w:val="bottom"/>
            </w:pPr>
            <w:r>
              <w:rPr>
                <w:rFonts w:ascii="Times New Roman" w:eastAsia="宋体" w:hAnsi="Times New Roman"/>
                <w:color w:val="000000"/>
                <w:sz w:val="18"/>
                <w:szCs w:val="18"/>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46" w14:textId="77777777" w:rsidR="0040300B" w:rsidRDefault="0040300B">
            <w:pPr>
              <w:jc w:val="right"/>
              <w:rPr>
                <w:rFonts w:ascii="宋体"/>
              </w:rPr>
            </w:pPr>
          </w:p>
        </w:tc>
      </w:tr>
      <w:tr w:rsidR="0040300B" w14:paraId="7B66FE5C" w14:textId="77777777">
        <w:tc>
          <w:tcPr>
            <w:tcW w:w="0" w:type="auto"/>
            <w:gridSpan w:val="3"/>
            <w:shd w:val="clear" w:color="auto" w:fill="FFFFFF"/>
            <w:tcMar>
              <w:top w:w="40" w:type="dxa"/>
              <w:left w:w="740" w:type="dxa"/>
              <w:bottom w:w="40" w:type="dxa"/>
              <w:right w:w="20" w:type="dxa"/>
            </w:tcMar>
          </w:tcPr>
          <w:p w14:paraId="7B66FE48" w14:textId="77777777" w:rsidR="0040300B" w:rsidRDefault="00BB2D4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tcPr>
          <w:p w14:paraId="7B66FE4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E4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E4B"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E4C" w14:textId="77777777" w:rsidR="0040300B" w:rsidRDefault="00BB2D44">
            <w:pPr>
              <w:jc w:val="right"/>
              <w:textAlignment w:val="bottom"/>
            </w:pPr>
            <w:r>
              <w:rPr>
                <w:rFonts w:ascii="Times New Roman" w:eastAsia="宋体" w:hAnsi="Times New Roman"/>
                <w:color w:val="000000"/>
                <w:sz w:val="18"/>
                <w:szCs w:val="18"/>
              </w:rPr>
              <w:t>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E4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4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E4F"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E50" w14:textId="77777777" w:rsidR="0040300B" w:rsidRDefault="00BB2D44">
            <w:pPr>
              <w:jc w:val="right"/>
              <w:textAlignment w:val="bottom"/>
            </w:pPr>
            <w:r>
              <w:rPr>
                <w:rFonts w:ascii="Times New Roman" w:eastAsia="宋体" w:hAnsi="Times New Roman"/>
                <w:color w:val="000000"/>
                <w:sz w:val="18"/>
                <w:szCs w:val="18"/>
              </w:rPr>
              <w:t>191 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E5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5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E5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E5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E55"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E56" w14:textId="77777777" w:rsidR="0040300B" w:rsidRDefault="00BB2D44">
            <w:pPr>
              <w:jc w:val="right"/>
              <w:textAlignment w:val="bottom"/>
            </w:pPr>
            <w:r>
              <w:rPr>
                <w:rFonts w:ascii="Times New Roman" w:eastAsia="宋体" w:hAnsi="Times New Roman"/>
                <w:color w:val="000000"/>
                <w:sz w:val="18"/>
                <w:szCs w:val="18"/>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E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5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E59"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E5A" w14:textId="77777777" w:rsidR="0040300B" w:rsidRDefault="00BB2D44">
            <w:pPr>
              <w:jc w:val="right"/>
              <w:textAlignment w:val="bottom"/>
            </w:pPr>
            <w:r>
              <w:rPr>
                <w:rFonts w:ascii="Times New Roman" w:eastAsia="宋体" w:hAnsi="Times New Roman"/>
                <w:color w:val="000000"/>
                <w:sz w:val="18"/>
                <w:szCs w:val="18"/>
              </w:rPr>
              <w:t>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E5B" w14:textId="77777777" w:rsidR="0040300B" w:rsidRDefault="0040300B">
            <w:pPr>
              <w:jc w:val="right"/>
              <w:rPr>
                <w:rFonts w:ascii="宋体"/>
              </w:rPr>
            </w:pPr>
          </w:p>
        </w:tc>
      </w:tr>
    </w:tbl>
    <w:p w14:paraId="7B66FE5D" w14:textId="77777777" w:rsidR="0040300B" w:rsidRDefault="00BB2D44">
      <w:pPr>
        <w:spacing w:before="120"/>
        <w:jc w:val="both"/>
      </w:pPr>
      <w:r>
        <w:rPr>
          <w:rFonts w:ascii="Times New Roman" w:eastAsia="宋体" w:hAnsi="Times New Roman"/>
          <w:color w:val="000000"/>
          <w:sz w:val="20"/>
          <w:szCs w:val="20"/>
        </w:rPr>
        <w:t>The following amounts were recorded</w:t>
      </w:r>
      <w:r>
        <w:rPr>
          <w:rFonts w:ascii="Times New Roman" w:eastAsia="宋体" w:hAnsi="Times New Roman"/>
          <w:color w:val="000000"/>
          <w:sz w:val="20"/>
          <w:szCs w:val="20"/>
        </w:rPr>
        <w:t xml:space="preserve"> on the Consolidated Balance Sheets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4"/>
        <w:gridCol w:w="37"/>
        <w:gridCol w:w="36"/>
        <w:gridCol w:w="36"/>
        <w:gridCol w:w="36"/>
        <w:gridCol w:w="121"/>
        <w:gridCol w:w="837"/>
        <w:gridCol w:w="37"/>
        <w:gridCol w:w="37"/>
        <w:gridCol w:w="38"/>
        <w:gridCol w:w="36"/>
        <w:gridCol w:w="120"/>
        <w:gridCol w:w="836"/>
        <w:gridCol w:w="36"/>
        <w:gridCol w:w="36"/>
        <w:gridCol w:w="36"/>
        <w:gridCol w:w="36"/>
        <w:gridCol w:w="121"/>
        <w:gridCol w:w="834"/>
        <w:gridCol w:w="37"/>
        <w:gridCol w:w="37"/>
        <w:gridCol w:w="37"/>
        <w:gridCol w:w="36"/>
        <w:gridCol w:w="120"/>
        <w:gridCol w:w="850"/>
        <w:gridCol w:w="36"/>
      </w:tblGrid>
      <w:tr w:rsidR="0040300B" w14:paraId="7B66FE79" w14:textId="77777777">
        <w:trPr>
          <w:jc w:val="center"/>
        </w:trPr>
        <w:tc>
          <w:tcPr>
            <w:tcW w:w="50" w:type="pct"/>
            <w:shd w:val="clear" w:color="auto" w:fill="auto"/>
          </w:tcPr>
          <w:p w14:paraId="7B66FE5E" w14:textId="77777777" w:rsidR="0040300B" w:rsidRDefault="0040300B">
            <w:pPr>
              <w:rPr>
                <w:rFonts w:ascii="宋体"/>
              </w:rPr>
            </w:pPr>
          </w:p>
        </w:tc>
        <w:tc>
          <w:tcPr>
            <w:tcW w:w="2327" w:type="pct"/>
            <w:shd w:val="clear" w:color="auto" w:fill="auto"/>
          </w:tcPr>
          <w:p w14:paraId="7B66FE5F" w14:textId="77777777" w:rsidR="0040300B" w:rsidRDefault="0040300B">
            <w:pPr>
              <w:rPr>
                <w:rFonts w:ascii="宋体"/>
              </w:rPr>
            </w:pPr>
          </w:p>
        </w:tc>
        <w:tc>
          <w:tcPr>
            <w:tcW w:w="5" w:type="pct"/>
            <w:shd w:val="clear" w:color="auto" w:fill="auto"/>
          </w:tcPr>
          <w:p w14:paraId="7B66FE60" w14:textId="77777777" w:rsidR="0040300B" w:rsidRDefault="0040300B">
            <w:pPr>
              <w:rPr>
                <w:rFonts w:ascii="宋体"/>
              </w:rPr>
            </w:pPr>
          </w:p>
        </w:tc>
        <w:tc>
          <w:tcPr>
            <w:tcW w:w="5" w:type="pct"/>
            <w:shd w:val="clear" w:color="auto" w:fill="auto"/>
          </w:tcPr>
          <w:p w14:paraId="7B66FE61" w14:textId="77777777" w:rsidR="0040300B" w:rsidRDefault="0040300B">
            <w:pPr>
              <w:rPr>
                <w:rFonts w:ascii="宋体"/>
              </w:rPr>
            </w:pPr>
          </w:p>
        </w:tc>
        <w:tc>
          <w:tcPr>
            <w:tcW w:w="26" w:type="pct"/>
            <w:shd w:val="clear" w:color="auto" w:fill="auto"/>
          </w:tcPr>
          <w:p w14:paraId="7B66FE62" w14:textId="77777777" w:rsidR="0040300B" w:rsidRDefault="0040300B">
            <w:pPr>
              <w:rPr>
                <w:rFonts w:ascii="宋体"/>
              </w:rPr>
            </w:pPr>
          </w:p>
        </w:tc>
        <w:tc>
          <w:tcPr>
            <w:tcW w:w="5" w:type="pct"/>
            <w:shd w:val="clear" w:color="auto" w:fill="auto"/>
          </w:tcPr>
          <w:p w14:paraId="7B66FE63" w14:textId="77777777" w:rsidR="0040300B" w:rsidRDefault="0040300B">
            <w:pPr>
              <w:rPr>
                <w:rFonts w:ascii="宋体"/>
              </w:rPr>
            </w:pPr>
          </w:p>
        </w:tc>
        <w:tc>
          <w:tcPr>
            <w:tcW w:w="50" w:type="pct"/>
            <w:shd w:val="clear" w:color="auto" w:fill="auto"/>
          </w:tcPr>
          <w:p w14:paraId="7B66FE64" w14:textId="77777777" w:rsidR="0040300B" w:rsidRDefault="0040300B">
            <w:pPr>
              <w:rPr>
                <w:rFonts w:ascii="宋体"/>
              </w:rPr>
            </w:pPr>
          </w:p>
        </w:tc>
        <w:tc>
          <w:tcPr>
            <w:tcW w:w="560" w:type="pct"/>
            <w:shd w:val="clear" w:color="auto" w:fill="auto"/>
          </w:tcPr>
          <w:p w14:paraId="7B66FE65" w14:textId="77777777" w:rsidR="0040300B" w:rsidRDefault="0040300B">
            <w:pPr>
              <w:rPr>
                <w:rFonts w:ascii="宋体"/>
              </w:rPr>
            </w:pPr>
          </w:p>
        </w:tc>
        <w:tc>
          <w:tcPr>
            <w:tcW w:w="5" w:type="pct"/>
            <w:shd w:val="clear" w:color="auto" w:fill="auto"/>
          </w:tcPr>
          <w:p w14:paraId="7B66FE66" w14:textId="77777777" w:rsidR="0040300B" w:rsidRDefault="0040300B">
            <w:pPr>
              <w:rPr>
                <w:rFonts w:ascii="宋体"/>
              </w:rPr>
            </w:pPr>
          </w:p>
        </w:tc>
        <w:tc>
          <w:tcPr>
            <w:tcW w:w="5" w:type="pct"/>
            <w:shd w:val="clear" w:color="auto" w:fill="auto"/>
          </w:tcPr>
          <w:p w14:paraId="7B66FE67" w14:textId="77777777" w:rsidR="0040300B" w:rsidRDefault="0040300B">
            <w:pPr>
              <w:rPr>
                <w:rFonts w:ascii="宋体"/>
              </w:rPr>
            </w:pPr>
          </w:p>
        </w:tc>
        <w:tc>
          <w:tcPr>
            <w:tcW w:w="26" w:type="pct"/>
            <w:shd w:val="clear" w:color="auto" w:fill="auto"/>
          </w:tcPr>
          <w:p w14:paraId="7B66FE68" w14:textId="77777777" w:rsidR="0040300B" w:rsidRDefault="0040300B">
            <w:pPr>
              <w:rPr>
                <w:rFonts w:ascii="宋体"/>
              </w:rPr>
            </w:pPr>
          </w:p>
        </w:tc>
        <w:tc>
          <w:tcPr>
            <w:tcW w:w="5" w:type="pct"/>
            <w:shd w:val="clear" w:color="auto" w:fill="auto"/>
          </w:tcPr>
          <w:p w14:paraId="7B66FE69" w14:textId="77777777" w:rsidR="0040300B" w:rsidRDefault="0040300B">
            <w:pPr>
              <w:rPr>
                <w:rFonts w:ascii="宋体"/>
              </w:rPr>
            </w:pPr>
          </w:p>
        </w:tc>
        <w:tc>
          <w:tcPr>
            <w:tcW w:w="50" w:type="pct"/>
            <w:shd w:val="clear" w:color="auto" w:fill="auto"/>
          </w:tcPr>
          <w:p w14:paraId="7B66FE6A" w14:textId="77777777" w:rsidR="0040300B" w:rsidRDefault="0040300B">
            <w:pPr>
              <w:rPr>
                <w:rFonts w:ascii="宋体"/>
              </w:rPr>
            </w:pPr>
          </w:p>
        </w:tc>
        <w:tc>
          <w:tcPr>
            <w:tcW w:w="560" w:type="pct"/>
            <w:shd w:val="clear" w:color="auto" w:fill="auto"/>
          </w:tcPr>
          <w:p w14:paraId="7B66FE6B" w14:textId="77777777" w:rsidR="0040300B" w:rsidRDefault="0040300B">
            <w:pPr>
              <w:rPr>
                <w:rFonts w:ascii="宋体"/>
              </w:rPr>
            </w:pPr>
          </w:p>
        </w:tc>
        <w:tc>
          <w:tcPr>
            <w:tcW w:w="5" w:type="pct"/>
            <w:shd w:val="clear" w:color="auto" w:fill="auto"/>
          </w:tcPr>
          <w:p w14:paraId="7B66FE6C" w14:textId="77777777" w:rsidR="0040300B" w:rsidRDefault="0040300B">
            <w:pPr>
              <w:rPr>
                <w:rFonts w:ascii="宋体"/>
              </w:rPr>
            </w:pPr>
          </w:p>
        </w:tc>
        <w:tc>
          <w:tcPr>
            <w:tcW w:w="5" w:type="pct"/>
            <w:shd w:val="clear" w:color="auto" w:fill="auto"/>
          </w:tcPr>
          <w:p w14:paraId="7B66FE6D" w14:textId="77777777" w:rsidR="0040300B" w:rsidRDefault="0040300B">
            <w:pPr>
              <w:rPr>
                <w:rFonts w:ascii="宋体"/>
              </w:rPr>
            </w:pPr>
          </w:p>
        </w:tc>
        <w:tc>
          <w:tcPr>
            <w:tcW w:w="26" w:type="pct"/>
            <w:shd w:val="clear" w:color="auto" w:fill="auto"/>
          </w:tcPr>
          <w:p w14:paraId="7B66FE6E" w14:textId="77777777" w:rsidR="0040300B" w:rsidRDefault="0040300B">
            <w:pPr>
              <w:rPr>
                <w:rFonts w:ascii="宋体"/>
              </w:rPr>
            </w:pPr>
          </w:p>
        </w:tc>
        <w:tc>
          <w:tcPr>
            <w:tcW w:w="5" w:type="pct"/>
            <w:shd w:val="clear" w:color="auto" w:fill="auto"/>
          </w:tcPr>
          <w:p w14:paraId="7B66FE6F" w14:textId="77777777" w:rsidR="0040300B" w:rsidRDefault="0040300B">
            <w:pPr>
              <w:rPr>
                <w:rFonts w:ascii="宋体"/>
              </w:rPr>
            </w:pPr>
          </w:p>
        </w:tc>
        <w:tc>
          <w:tcPr>
            <w:tcW w:w="50" w:type="pct"/>
            <w:shd w:val="clear" w:color="auto" w:fill="auto"/>
          </w:tcPr>
          <w:p w14:paraId="7B66FE70" w14:textId="77777777" w:rsidR="0040300B" w:rsidRDefault="0040300B">
            <w:pPr>
              <w:rPr>
                <w:rFonts w:ascii="宋体"/>
              </w:rPr>
            </w:pPr>
          </w:p>
        </w:tc>
        <w:tc>
          <w:tcPr>
            <w:tcW w:w="560" w:type="pct"/>
            <w:shd w:val="clear" w:color="auto" w:fill="auto"/>
          </w:tcPr>
          <w:p w14:paraId="7B66FE71" w14:textId="77777777" w:rsidR="0040300B" w:rsidRDefault="0040300B">
            <w:pPr>
              <w:rPr>
                <w:rFonts w:ascii="宋体"/>
              </w:rPr>
            </w:pPr>
          </w:p>
        </w:tc>
        <w:tc>
          <w:tcPr>
            <w:tcW w:w="5" w:type="pct"/>
            <w:shd w:val="clear" w:color="auto" w:fill="auto"/>
          </w:tcPr>
          <w:p w14:paraId="7B66FE72" w14:textId="77777777" w:rsidR="0040300B" w:rsidRDefault="0040300B">
            <w:pPr>
              <w:rPr>
                <w:rFonts w:ascii="宋体"/>
              </w:rPr>
            </w:pPr>
          </w:p>
        </w:tc>
        <w:tc>
          <w:tcPr>
            <w:tcW w:w="5" w:type="pct"/>
            <w:shd w:val="clear" w:color="auto" w:fill="auto"/>
          </w:tcPr>
          <w:p w14:paraId="7B66FE73" w14:textId="77777777" w:rsidR="0040300B" w:rsidRDefault="0040300B">
            <w:pPr>
              <w:rPr>
                <w:rFonts w:ascii="宋体"/>
              </w:rPr>
            </w:pPr>
          </w:p>
        </w:tc>
        <w:tc>
          <w:tcPr>
            <w:tcW w:w="26" w:type="pct"/>
            <w:shd w:val="clear" w:color="auto" w:fill="auto"/>
          </w:tcPr>
          <w:p w14:paraId="7B66FE74" w14:textId="77777777" w:rsidR="0040300B" w:rsidRDefault="0040300B">
            <w:pPr>
              <w:rPr>
                <w:rFonts w:ascii="宋体"/>
              </w:rPr>
            </w:pPr>
          </w:p>
        </w:tc>
        <w:tc>
          <w:tcPr>
            <w:tcW w:w="5" w:type="pct"/>
            <w:shd w:val="clear" w:color="auto" w:fill="auto"/>
          </w:tcPr>
          <w:p w14:paraId="7B66FE75" w14:textId="77777777" w:rsidR="0040300B" w:rsidRDefault="0040300B">
            <w:pPr>
              <w:rPr>
                <w:rFonts w:ascii="宋体"/>
              </w:rPr>
            </w:pPr>
          </w:p>
        </w:tc>
        <w:tc>
          <w:tcPr>
            <w:tcW w:w="50" w:type="pct"/>
            <w:shd w:val="clear" w:color="auto" w:fill="auto"/>
          </w:tcPr>
          <w:p w14:paraId="7B66FE76" w14:textId="77777777" w:rsidR="0040300B" w:rsidRDefault="0040300B">
            <w:pPr>
              <w:rPr>
                <w:rFonts w:ascii="宋体"/>
              </w:rPr>
            </w:pPr>
          </w:p>
        </w:tc>
        <w:tc>
          <w:tcPr>
            <w:tcW w:w="568" w:type="pct"/>
            <w:shd w:val="clear" w:color="auto" w:fill="auto"/>
          </w:tcPr>
          <w:p w14:paraId="7B66FE77" w14:textId="77777777" w:rsidR="0040300B" w:rsidRDefault="0040300B">
            <w:pPr>
              <w:rPr>
                <w:rFonts w:ascii="宋体"/>
              </w:rPr>
            </w:pPr>
          </w:p>
        </w:tc>
        <w:tc>
          <w:tcPr>
            <w:tcW w:w="5" w:type="pct"/>
            <w:shd w:val="clear" w:color="auto" w:fill="auto"/>
          </w:tcPr>
          <w:p w14:paraId="7B66FE78" w14:textId="77777777" w:rsidR="0040300B" w:rsidRDefault="0040300B">
            <w:pPr>
              <w:rPr>
                <w:rFonts w:ascii="宋体"/>
              </w:rPr>
            </w:pPr>
          </w:p>
        </w:tc>
      </w:tr>
      <w:tr w:rsidR="0040300B" w14:paraId="7B66FE7F" w14:textId="77777777">
        <w:trPr>
          <w:jc w:val="center"/>
        </w:trPr>
        <w:tc>
          <w:tcPr>
            <w:tcW w:w="0" w:type="auto"/>
            <w:gridSpan w:val="3"/>
            <w:shd w:val="clear" w:color="auto" w:fill="auto"/>
            <w:tcMar>
              <w:top w:w="40" w:type="dxa"/>
              <w:left w:w="20" w:type="dxa"/>
              <w:bottom w:w="40" w:type="dxa"/>
              <w:right w:w="20" w:type="dxa"/>
            </w:tcMar>
            <w:vAlign w:val="bottom"/>
          </w:tcPr>
          <w:p w14:paraId="7B66FE7A" w14:textId="77777777" w:rsidR="0040300B" w:rsidRDefault="00BB2D4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B66FE7B"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E7C" w14:textId="77777777" w:rsidR="0040300B" w:rsidRDefault="00BB2D44">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tcPr>
          <w:p w14:paraId="7B66FE7D"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E7E" w14:textId="77777777" w:rsidR="0040300B" w:rsidRDefault="00BB2D44">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40300B" w14:paraId="7B66FE89" w14:textId="77777777">
        <w:trPr>
          <w:jc w:val="center"/>
        </w:trPr>
        <w:tc>
          <w:tcPr>
            <w:tcW w:w="0" w:type="auto"/>
            <w:gridSpan w:val="3"/>
            <w:shd w:val="clear" w:color="auto" w:fill="auto"/>
            <w:tcMar>
              <w:top w:w="40" w:type="dxa"/>
              <w:left w:w="20" w:type="dxa"/>
              <w:bottom w:w="40" w:type="dxa"/>
              <w:right w:w="20" w:type="dxa"/>
            </w:tcMar>
            <w:vAlign w:val="bottom"/>
          </w:tcPr>
          <w:p w14:paraId="7B66FE80" w14:textId="77777777" w:rsidR="0040300B" w:rsidRDefault="00BB2D44">
            <w:pPr>
              <w:textAlignment w:val="bottom"/>
            </w:pPr>
            <w:r>
              <w:rPr>
                <w:rFonts w:ascii="Times New Roman" w:eastAsia="宋体" w:hAnsi="Times New Roman"/>
                <w:color w:val="000000"/>
                <w:sz w:val="16"/>
                <w:szCs w:val="16"/>
              </w:rPr>
              <w:t xml:space="preserve">Balance Sheet Line </w:t>
            </w:r>
            <w:r>
              <w:rPr>
                <w:rFonts w:ascii="Times New Roman" w:eastAsia="宋体" w:hAnsi="Times New Roman"/>
                <w:color w:val="000000"/>
                <w:sz w:val="16"/>
                <w:szCs w:val="16"/>
              </w:rPr>
              <w:t>Item of Hedged Item</w:t>
            </w:r>
          </w:p>
        </w:tc>
        <w:tc>
          <w:tcPr>
            <w:tcW w:w="0" w:type="auto"/>
            <w:gridSpan w:val="3"/>
            <w:shd w:val="clear" w:color="auto" w:fill="auto"/>
            <w:tcMar>
              <w:top w:w="0" w:type="dxa"/>
              <w:left w:w="20" w:type="dxa"/>
              <w:bottom w:w="0" w:type="dxa"/>
              <w:right w:w="20" w:type="dxa"/>
            </w:tcMar>
          </w:tcPr>
          <w:p w14:paraId="7B66FE8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82"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E8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84"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6FE8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86"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E8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88"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6FE9B"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7B66FE8A" w14:textId="77777777" w:rsidR="0040300B" w:rsidRDefault="00BB2D44">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tcPr>
          <w:p w14:paraId="7B66FE8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E8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E8D"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8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8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E9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E91" w14:textId="77777777" w:rsidR="0040300B" w:rsidRDefault="00BB2D44">
            <w:pPr>
              <w:jc w:val="right"/>
              <w:textAlignment w:val="bottom"/>
            </w:pPr>
            <w:r>
              <w:rPr>
                <w:rFonts w:ascii="Times New Roman" w:eastAsia="宋体" w:hAnsi="Times New Roman"/>
                <w:color w:val="000000"/>
                <w:sz w:val="20"/>
                <w:szCs w:val="20"/>
              </w:rPr>
              <w:t>(506)</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9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9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E9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E95"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9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E9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E9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E99" w14:textId="77777777" w:rsidR="0040300B" w:rsidRDefault="00BB2D44">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E9A" w14:textId="77777777" w:rsidR="0040300B" w:rsidRDefault="0040300B">
            <w:pPr>
              <w:jc w:val="right"/>
              <w:rPr>
                <w:rFonts w:ascii="宋体"/>
              </w:rPr>
            </w:pPr>
          </w:p>
        </w:tc>
      </w:tr>
      <w:tr w:rsidR="0040300B" w14:paraId="7B66FEAD" w14:textId="77777777">
        <w:trPr>
          <w:jc w:val="center"/>
        </w:trPr>
        <w:tc>
          <w:tcPr>
            <w:tcW w:w="0" w:type="auto"/>
            <w:gridSpan w:val="3"/>
            <w:shd w:val="clear" w:color="auto" w:fill="FFFFFF"/>
            <w:tcMar>
              <w:top w:w="40" w:type="dxa"/>
              <w:left w:w="20" w:type="dxa"/>
              <w:bottom w:w="40" w:type="dxa"/>
              <w:right w:w="20" w:type="dxa"/>
            </w:tcMar>
          </w:tcPr>
          <w:p w14:paraId="7B66FE9C" w14:textId="77777777" w:rsidR="0040300B" w:rsidRDefault="00BB2D44">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tcPr>
          <w:p w14:paraId="7B66FE9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9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9F" w14:textId="77777777" w:rsidR="0040300B" w:rsidRDefault="00BB2D44">
            <w:pPr>
              <w:jc w:val="right"/>
              <w:textAlignment w:val="bottom"/>
            </w:pPr>
            <w:r>
              <w:rPr>
                <w:rFonts w:ascii="Times New Roman" w:eastAsia="宋体" w:hAnsi="Times New Roman"/>
                <w:color w:val="000000"/>
                <w:sz w:val="20"/>
                <w:szCs w:val="20"/>
              </w:rPr>
              <w:t>(2,109)</w:t>
            </w:r>
          </w:p>
        </w:tc>
        <w:tc>
          <w:tcPr>
            <w:tcW w:w="0" w:type="auto"/>
            <w:shd w:val="clear" w:color="auto" w:fill="FFFFFF"/>
            <w:tcMar>
              <w:top w:w="40" w:type="dxa"/>
              <w:left w:w="0" w:type="dxa"/>
              <w:bottom w:w="40" w:type="dxa"/>
              <w:right w:w="20" w:type="dxa"/>
            </w:tcMar>
            <w:vAlign w:val="bottom"/>
          </w:tcPr>
          <w:p w14:paraId="7B66FEA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A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A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A3" w14:textId="77777777" w:rsidR="0040300B" w:rsidRDefault="00BB2D44">
            <w:pPr>
              <w:jc w:val="right"/>
              <w:textAlignment w:val="bottom"/>
            </w:pPr>
            <w:r>
              <w:rPr>
                <w:rFonts w:ascii="Times New Roman" w:eastAsia="宋体" w:hAnsi="Times New Roman"/>
                <w:color w:val="000000"/>
                <w:sz w:val="20"/>
                <w:szCs w:val="20"/>
              </w:rPr>
              <w:t>(2,159)</w:t>
            </w:r>
          </w:p>
        </w:tc>
        <w:tc>
          <w:tcPr>
            <w:tcW w:w="0" w:type="auto"/>
            <w:shd w:val="clear" w:color="auto" w:fill="FFFFFF"/>
            <w:tcMar>
              <w:top w:w="40" w:type="dxa"/>
              <w:left w:w="0" w:type="dxa"/>
              <w:bottom w:w="40" w:type="dxa"/>
              <w:right w:w="20" w:type="dxa"/>
            </w:tcMar>
            <w:vAlign w:val="bottom"/>
          </w:tcPr>
          <w:p w14:paraId="7B66FEA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A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A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A7" w14:textId="77777777" w:rsidR="0040300B" w:rsidRDefault="00BB2D44">
            <w:pPr>
              <w:jc w:val="right"/>
              <w:textAlignment w:val="bottom"/>
            </w:pPr>
            <w:r>
              <w:rPr>
                <w:rFonts w:ascii="Times New Roman" w:eastAsia="宋体" w:hAnsi="Times New Roman"/>
                <w:color w:val="000000"/>
                <w:sz w:val="20"/>
                <w:szCs w:val="20"/>
              </w:rPr>
              <w:t>(113)</w:t>
            </w:r>
          </w:p>
        </w:tc>
        <w:tc>
          <w:tcPr>
            <w:tcW w:w="0" w:type="auto"/>
            <w:shd w:val="clear" w:color="auto" w:fill="FFFFFF"/>
            <w:tcMar>
              <w:top w:w="40" w:type="dxa"/>
              <w:left w:w="0" w:type="dxa"/>
              <w:bottom w:w="40" w:type="dxa"/>
              <w:right w:w="20" w:type="dxa"/>
            </w:tcMar>
            <w:vAlign w:val="bottom"/>
          </w:tcPr>
          <w:p w14:paraId="7B66FEA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A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A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AB" w14:textId="77777777" w:rsidR="0040300B" w:rsidRDefault="00BB2D44">
            <w:pPr>
              <w:jc w:val="right"/>
              <w:textAlignment w:val="bottom"/>
            </w:pPr>
            <w:r>
              <w:rPr>
                <w:rFonts w:ascii="Times New Roman" w:eastAsia="宋体" w:hAnsi="Times New Roman"/>
                <w:color w:val="000000"/>
                <w:sz w:val="20"/>
                <w:szCs w:val="20"/>
              </w:rPr>
              <w:t>(165)</w:t>
            </w:r>
          </w:p>
        </w:tc>
        <w:tc>
          <w:tcPr>
            <w:tcW w:w="0" w:type="auto"/>
            <w:shd w:val="clear" w:color="auto" w:fill="FFFFFF"/>
            <w:tcMar>
              <w:top w:w="40" w:type="dxa"/>
              <w:left w:w="0" w:type="dxa"/>
              <w:bottom w:w="40" w:type="dxa"/>
              <w:right w:w="20" w:type="dxa"/>
            </w:tcMar>
            <w:vAlign w:val="bottom"/>
          </w:tcPr>
          <w:p w14:paraId="7B66FEAC" w14:textId="77777777" w:rsidR="0040300B" w:rsidRDefault="0040300B">
            <w:pPr>
              <w:jc w:val="right"/>
              <w:rPr>
                <w:rFonts w:ascii="宋体"/>
              </w:rPr>
            </w:pPr>
          </w:p>
        </w:tc>
      </w:tr>
    </w:tbl>
    <w:p w14:paraId="7B66FEAE" w14:textId="77777777" w:rsidR="0040300B" w:rsidRDefault="00BB2D44">
      <w:pPr>
        <w:jc w:val="center"/>
      </w:pPr>
      <w:r>
        <w:rPr>
          <w:rFonts w:ascii="Times New Roman" w:eastAsia="宋体" w:hAnsi="Times New Roman"/>
          <w:color w:val="000000"/>
          <w:sz w:val="20"/>
          <w:szCs w:val="20"/>
        </w:rPr>
        <w:t>29</w:t>
      </w:r>
    </w:p>
    <w:p w14:paraId="7B66FEAF" w14:textId="77777777" w:rsidR="0040300B" w:rsidRDefault="00BB2D44">
      <w:r>
        <w:pict w14:anchorId="7B671C2D">
          <v:rect id="_x0000_i1053" style="width:415.3pt;height:1.5pt" o:hralign="center" o:hrstd="t" o:hr="t" fillcolor="#a0a0a0" stroked="f"/>
        </w:pict>
      </w:r>
    </w:p>
    <w:p w14:paraId="7B66FEB0" w14:textId="77777777" w:rsidR="0040300B" w:rsidRDefault="00BB2D44">
      <w:hyperlink r:id="rId75" w:anchor="i52d5b40dbad7426a9806a2fd5167029f_7" w:history="1">
        <w:r>
          <w:rPr>
            <w:rStyle w:val="a5"/>
            <w:rFonts w:ascii="Times New Roman" w:eastAsia="宋体" w:hAnsi="Times New Roman"/>
            <w:sz w:val="18"/>
            <w:szCs w:val="18"/>
          </w:rPr>
          <w:t>Table of Contents</w:t>
        </w:r>
      </w:hyperlink>
    </w:p>
    <w:p w14:paraId="7B66FEB1" w14:textId="77777777" w:rsidR="0040300B" w:rsidRDefault="00BB2D44">
      <w:pPr>
        <w:jc w:val="center"/>
      </w:pPr>
      <w:r>
        <w:rPr>
          <w:rFonts w:ascii="Times New Roman" w:eastAsia="宋体" w:hAnsi="Times New Roman"/>
          <w:b/>
          <w:bCs/>
          <w:color w:val="000000"/>
          <w:sz w:val="18"/>
          <w:szCs w:val="18"/>
        </w:rPr>
        <w:t>CISCO SYSTEMS, INC.</w:t>
      </w:r>
    </w:p>
    <w:p w14:paraId="7B66FEB2"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EB3" w14:textId="77777777" w:rsidR="0040300B" w:rsidRDefault="00BB2D44">
      <w:pPr>
        <w:jc w:val="center"/>
      </w:pPr>
      <w:r>
        <w:rPr>
          <w:rFonts w:ascii="Times New Roman" w:eastAsia="宋体" w:hAnsi="Times New Roman"/>
          <w:b/>
          <w:bCs/>
          <w:color w:val="000000"/>
          <w:sz w:val="18"/>
          <w:szCs w:val="18"/>
        </w:rPr>
        <w:t xml:space="preserve">(Unaudited) </w:t>
      </w:r>
    </w:p>
    <w:p w14:paraId="7B66FEB4" w14:textId="77777777" w:rsidR="0040300B" w:rsidRDefault="0040300B">
      <w:pPr>
        <w:jc w:val="center"/>
      </w:pPr>
    </w:p>
    <w:p w14:paraId="7B66FEB5" w14:textId="77777777" w:rsidR="0040300B" w:rsidRDefault="00BB2D44">
      <w:pPr>
        <w:spacing w:before="120"/>
        <w:jc w:val="both"/>
      </w:pPr>
      <w:r>
        <w:rPr>
          <w:rFonts w:ascii="Times New Roman" w:eastAsia="宋体" w:hAnsi="Times New Roman"/>
          <w:color w:val="000000"/>
          <w:sz w:val="20"/>
          <w:szCs w:val="20"/>
        </w:rPr>
        <w:t xml:space="preserve">The effect of derivative instruments designated as fair value hedges, recognized in interest and other income (loss), net is </w:t>
      </w:r>
      <w:r>
        <w:rPr>
          <w:rFonts w:ascii="Times New Roman" w:eastAsia="宋体" w:hAnsi="Times New Roman"/>
          <w:color w:val="000000"/>
          <w:sz w:val="20"/>
          <w:szCs w:val="20"/>
        </w:rPr>
        <w:t>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46"/>
        <w:gridCol w:w="37"/>
        <w:gridCol w:w="36"/>
        <w:gridCol w:w="36"/>
        <w:gridCol w:w="36"/>
        <w:gridCol w:w="120"/>
        <w:gridCol w:w="789"/>
        <w:gridCol w:w="36"/>
        <w:gridCol w:w="36"/>
        <w:gridCol w:w="36"/>
        <w:gridCol w:w="36"/>
        <w:gridCol w:w="120"/>
        <w:gridCol w:w="789"/>
        <w:gridCol w:w="36"/>
        <w:gridCol w:w="36"/>
        <w:gridCol w:w="36"/>
        <w:gridCol w:w="36"/>
        <w:gridCol w:w="120"/>
        <w:gridCol w:w="789"/>
        <w:gridCol w:w="36"/>
        <w:gridCol w:w="36"/>
        <w:gridCol w:w="36"/>
        <w:gridCol w:w="36"/>
        <w:gridCol w:w="120"/>
        <w:gridCol w:w="792"/>
        <w:gridCol w:w="36"/>
      </w:tblGrid>
      <w:tr w:rsidR="0040300B" w14:paraId="7B66FED1" w14:textId="77777777">
        <w:tc>
          <w:tcPr>
            <w:tcW w:w="50" w:type="pct"/>
            <w:shd w:val="clear" w:color="auto" w:fill="auto"/>
          </w:tcPr>
          <w:p w14:paraId="7B66FEB6" w14:textId="77777777" w:rsidR="0040300B" w:rsidRDefault="0040300B">
            <w:pPr>
              <w:rPr>
                <w:rFonts w:ascii="宋体"/>
              </w:rPr>
            </w:pPr>
          </w:p>
        </w:tc>
        <w:tc>
          <w:tcPr>
            <w:tcW w:w="2459" w:type="pct"/>
            <w:shd w:val="clear" w:color="auto" w:fill="auto"/>
          </w:tcPr>
          <w:p w14:paraId="7B66FEB7" w14:textId="77777777" w:rsidR="0040300B" w:rsidRDefault="0040300B">
            <w:pPr>
              <w:rPr>
                <w:rFonts w:ascii="宋体"/>
              </w:rPr>
            </w:pPr>
          </w:p>
        </w:tc>
        <w:tc>
          <w:tcPr>
            <w:tcW w:w="5" w:type="pct"/>
            <w:shd w:val="clear" w:color="auto" w:fill="auto"/>
          </w:tcPr>
          <w:p w14:paraId="7B66FEB8" w14:textId="77777777" w:rsidR="0040300B" w:rsidRDefault="0040300B">
            <w:pPr>
              <w:rPr>
                <w:rFonts w:ascii="宋体"/>
              </w:rPr>
            </w:pPr>
          </w:p>
        </w:tc>
        <w:tc>
          <w:tcPr>
            <w:tcW w:w="5" w:type="pct"/>
            <w:shd w:val="clear" w:color="auto" w:fill="auto"/>
          </w:tcPr>
          <w:p w14:paraId="7B66FEB9" w14:textId="77777777" w:rsidR="0040300B" w:rsidRDefault="0040300B">
            <w:pPr>
              <w:rPr>
                <w:rFonts w:ascii="宋体"/>
              </w:rPr>
            </w:pPr>
          </w:p>
        </w:tc>
        <w:tc>
          <w:tcPr>
            <w:tcW w:w="26" w:type="pct"/>
            <w:shd w:val="clear" w:color="auto" w:fill="auto"/>
          </w:tcPr>
          <w:p w14:paraId="7B66FEBA" w14:textId="77777777" w:rsidR="0040300B" w:rsidRDefault="0040300B">
            <w:pPr>
              <w:rPr>
                <w:rFonts w:ascii="宋体"/>
              </w:rPr>
            </w:pPr>
          </w:p>
        </w:tc>
        <w:tc>
          <w:tcPr>
            <w:tcW w:w="5" w:type="pct"/>
            <w:shd w:val="clear" w:color="auto" w:fill="auto"/>
          </w:tcPr>
          <w:p w14:paraId="7B66FEBB" w14:textId="77777777" w:rsidR="0040300B" w:rsidRDefault="0040300B">
            <w:pPr>
              <w:rPr>
                <w:rFonts w:ascii="宋体"/>
              </w:rPr>
            </w:pPr>
          </w:p>
        </w:tc>
        <w:tc>
          <w:tcPr>
            <w:tcW w:w="50" w:type="pct"/>
            <w:shd w:val="clear" w:color="auto" w:fill="auto"/>
          </w:tcPr>
          <w:p w14:paraId="7B66FEBC" w14:textId="77777777" w:rsidR="0040300B" w:rsidRDefault="0040300B">
            <w:pPr>
              <w:rPr>
                <w:rFonts w:ascii="宋体"/>
              </w:rPr>
            </w:pPr>
          </w:p>
        </w:tc>
        <w:tc>
          <w:tcPr>
            <w:tcW w:w="529" w:type="pct"/>
            <w:shd w:val="clear" w:color="auto" w:fill="auto"/>
          </w:tcPr>
          <w:p w14:paraId="7B66FEBD" w14:textId="77777777" w:rsidR="0040300B" w:rsidRDefault="0040300B">
            <w:pPr>
              <w:rPr>
                <w:rFonts w:ascii="宋体"/>
              </w:rPr>
            </w:pPr>
          </w:p>
        </w:tc>
        <w:tc>
          <w:tcPr>
            <w:tcW w:w="5" w:type="pct"/>
            <w:shd w:val="clear" w:color="auto" w:fill="auto"/>
          </w:tcPr>
          <w:p w14:paraId="7B66FEBE" w14:textId="77777777" w:rsidR="0040300B" w:rsidRDefault="0040300B">
            <w:pPr>
              <w:rPr>
                <w:rFonts w:ascii="宋体"/>
              </w:rPr>
            </w:pPr>
          </w:p>
        </w:tc>
        <w:tc>
          <w:tcPr>
            <w:tcW w:w="5" w:type="pct"/>
            <w:shd w:val="clear" w:color="auto" w:fill="auto"/>
          </w:tcPr>
          <w:p w14:paraId="7B66FEBF" w14:textId="77777777" w:rsidR="0040300B" w:rsidRDefault="0040300B">
            <w:pPr>
              <w:rPr>
                <w:rFonts w:ascii="宋体"/>
              </w:rPr>
            </w:pPr>
          </w:p>
        </w:tc>
        <w:tc>
          <w:tcPr>
            <w:tcW w:w="26" w:type="pct"/>
            <w:shd w:val="clear" w:color="auto" w:fill="auto"/>
          </w:tcPr>
          <w:p w14:paraId="7B66FEC0" w14:textId="77777777" w:rsidR="0040300B" w:rsidRDefault="0040300B">
            <w:pPr>
              <w:rPr>
                <w:rFonts w:ascii="宋体"/>
              </w:rPr>
            </w:pPr>
          </w:p>
        </w:tc>
        <w:tc>
          <w:tcPr>
            <w:tcW w:w="5" w:type="pct"/>
            <w:shd w:val="clear" w:color="auto" w:fill="auto"/>
          </w:tcPr>
          <w:p w14:paraId="7B66FEC1" w14:textId="77777777" w:rsidR="0040300B" w:rsidRDefault="0040300B">
            <w:pPr>
              <w:rPr>
                <w:rFonts w:ascii="宋体"/>
              </w:rPr>
            </w:pPr>
          </w:p>
        </w:tc>
        <w:tc>
          <w:tcPr>
            <w:tcW w:w="50" w:type="pct"/>
            <w:shd w:val="clear" w:color="auto" w:fill="auto"/>
          </w:tcPr>
          <w:p w14:paraId="7B66FEC2" w14:textId="77777777" w:rsidR="0040300B" w:rsidRDefault="0040300B">
            <w:pPr>
              <w:rPr>
                <w:rFonts w:ascii="宋体"/>
              </w:rPr>
            </w:pPr>
          </w:p>
        </w:tc>
        <w:tc>
          <w:tcPr>
            <w:tcW w:w="529" w:type="pct"/>
            <w:shd w:val="clear" w:color="auto" w:fill="auto"/>
          </w:tcPr>
          <w:p w14:paraId="7B66FEC3" w14:textId="77777777" w:rsidR="0040300B" w:rsidRDefault="0040300B">
            <w:pPr>
              <w:rPr>
                <w:rFonts w:ascii="宋体"/>
              </w:rPr>
            </w:pPr>
          </w:p>
        </w:tc>
        <w:tc>
          <w:tcPr>
            <w:tcW w:w="5" w:type="pct"/>
            <w:shd w:val="clear" w:color="auto" w:fill="auto"/>
          </w:tcPr>
          <w:p w14:paraId="7B66FEC4" w14:textId="77777777" w:rsidR="0040300B" w:rsidRDefault="0040300B">
            <w:pPr>
              <w:rPr>
                <w:rFonts w:ascii="宋体"/>
              </w:rPr>
            </w:pPr>
          </w:p>
        </w:tc>
        <w:tc>
          <w:tcPr>
            <w:tcW w:w="5" w:type="pct"/>
            <w:shd w:val="clear" w:color="auto" w:fill="auto"/>
          </w:tcPr>
          <w:p w14:paraId="7B66FEC5" w14:textId="77777777" w:rsidR="0040300B" w:rsidRDefault="0040300B">
            <w:pPr>
              <w:rPr>
                <w:rFonts w:ascii="宋体"/>
              </w:rPr>
            </w:pPr>
          </w:p>
        </w:tc>
        <w:tc>
          <w:tcPr>
            <w:tcW w:w="26" w:type="pct"/>
            <w:shd w:val="clear" w:color="auto" w:fill="auto"/>
          </w:tcPr>
          <w:p w14:paraId="7B66FEC6" w14:textId="77777777" w:rsidR="0040300B" w:rsidRDefault="0040300B">
            <w:pPr>
              <w:rPr>
                <w:rFonts w:ascii="宋体"/>
              </w:rPr>
            </w:pPr>
          </w:p>
        </w:tc>
        <w:tc>
          <w:tcPr>
            <w:tcW w:w="5" w:type="pct"/>
            <w:shd w:val="clear" w:color="auto" w:fill="auto"/>
          </w:tcPr>
          <w:p w14:paraId="7B66FEC7" w14:textId="77777777" w:rsidR="0040300B" w:rsidRDefault="0040300B">
            <w:pPr>
              <w:rPr>
                <w:rFonts w:ascii="宋体"/>
              </w:rPr>
            </w:pPr>
          </w:p>
        </w:tc>
        <w:tc>
          <w:tcPr>
            <w:tcW w:w="50" w:type="pct"/>
            <w:shd w:val="clear" w:color="auto" w:fill="auto"/>
          </w:tcPr>
          <w:p w14:paraId="7B66FEC8" w14:textId="77777777" w:rsidR="0040300B" w:rsidRDefault="0040300B">
            <w:pPr>
              <w:rPr>
                <w:rFonts w:ascii="宋体"/>
              </w:rPr>
            </w:pPr>
          </w:p>
        </w:tc>
        <w:tc>
          <w:tcPr>
            <w:tcW w:w="529" w:type="pct"/>
            <w:shd w:val="clear" w:color="auto" w:fill="auto"/>
          </w:tcPr>
          <w:p w14:paraId="7B66FEC9" w14:textId="77777777" w:rsidR="0040300B" w:rsidRDefault="0040300B">
            <w:pPr>
              <w:rPr>
                <w:rFonts w:ascii="宋体"/>
              </w:rPr>
            </w:pPr>
          </w:p>
        </w:tc>
        <w:tc>
          <w:tcPr>
            <w:tcW w:w="5" w:type="pct"/>
            <w:shd w:val="clear" w:color="auto" w:fill="auto"/>
          </w:tcPr>
          <w:p w14:paraId="7B66FECA" w14:textId="77777777" w:rsidR="0040300B" w:rsidRDefault="0040300B">
            <w:pPr>
              <w:rPr>
                <w:rFonts w:ascii="宋体"/>
              </w:rPr>
            </w:pPr>
          </w:p>
        </w:tc>
        <w:tc>
          <w:tcPr>
            <w:tcW w:w="5" w:type="pct"/>
            <w:shd w:val="clear" w:color="auto" w:fill="auto"/>
          </w:tcPr>
          <w:p w14:paraId="7B66FECB" w14:textId="77777777" w:rsidR="0040300B" w:rsidRDefault="0040300B">
            <w:pPr>
              <w:rPr>
                <w:rFonts w:ascii="宋体"/>
              </w:rPr>
            </w:pPr>
          </w:p>
        </w:tc>
        <w:tc>
          <w:tcPr>
            <w:tcW w:w="26" w:type="pct"/>
            <w:shd w:val="clear" w:color="auto" w:fill="auto"/>
          </w:tcPr>
          <w:p w14:paraId="7B66FECC" w14:textId="77777777" w:rsidR="0040300B" w:rsidRDefault="0040300B">
            <w:pPr>
              <w:rPr>
                <w:rFonts w:ascii="宋体"/>
              </w:rPr>
            </w:pPr>
          </w:p>
        </w:tc>
        <w:tc>
          <w:tcPr>
            <w:tcW w:w="5" w:type="pct"/>
            <w:shd w:val="clear" w:color="auto" w:fill="auto"/>
          </w:tcPr>
          <w:p w14:paraId="7B66FECD" w14:textId="77777777" w:rsidR="0040300B" w:rsidRDefault="0040300B">
            <w:pPr>
              <w:rPr>
                <w:rFonts w:ascii="宋体"/>
              </w:rPr>
            </w:pPr>
          </w:p>
        </w:tc>
        <w:tc>
          <w:tcPr>
            <w:tcW w:w="50" w:type="pct"/>
            <w:shd w:val="clear" w:color="auto" w:fill="auto"/>
          </w:tcPr>
          <w:p w14:paraId="7B66FECE" w14:textId="77777777" w:rsidR="0040300B" w:rsidRDefault="0040300B">
            <w:pPr>
              <w:rPr>
                <w:rFonts w:ascii="宋体"/>
              </w:rPr>
            </w:pPr>
          </w:p>
        </w:tc>
        <w:tc>
          <w:tcPr>
            <w:tcW w:w="530" w:type="pct"/>
            <w:shd w:val="clear" w:color="auto" w:fill="auto"/>
          </w:tcPr>
          <w:p w14:paraId="7B66FECF" w14:textId="77777777" w:rsidR="0040300B" w:rsidRDefault="0040300B">
            <w:pPr>
              <w:rPr>
                <w:rFonts w:ascii="宋体"/>
              </w:rPr>
            </w:pPr>
          </w:p>
        </w:tc>
        <w:tc>
          <w:tcPr>
            <w:tcW w:w="5" w:type="pct"/>
            <w:shd w:val="clear" w:color="auto" w:fill="auto"/>
          </w:tcPr>
          <w:p w14:paraId="7B66FED0" w14:textId="77777777" w:rsidR="0040300B" w:rsidRDefault="0040300B">
            <w:pPr>
              <w:rPr>
                <w:rFonts w:ascii="宋体"/>
              </w:rPr>
            </w:pPr>
          </w:p>
        </w:tc>
      </w:tr>
      <w:tr w:rsidR="0040300B" w14:paraId="7B66FED7" w14:textId="77777777">
        <w:tc>
          <w:tcPr>
            <w:tcW w:w="0" w:type="auto"/>
            <w:gridSpan w:val="3"/>
            <w:shd w:val="clear" w:color="auto" w:fill="auto"/>
            <w:tcMar>
              <w:top w:w="0" w:type="dxa"/>
              <w:left w:w="20" w:type="dxa"/>
              <w:bottom w:w="0" w:type="dxa"/>
              <w:right w:w="20" w:type="dxa"/>
            </w:tcMar>
          </w:tcPr>
          <w:p w14:paraId="7B66FED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ED3"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ED4"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6FED5"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ED6"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6FEE1" w14:textId="77777777">
        <w:tc>
          <w:tcPr>
            <w:tcW w:w="0" w:type="auto"/>
            <w:gridSpan w:val="3"/>
            <w:shd w:val="clear" w:color="auto" w:fill="auto"/>
            <w:tcMar>
              <w:top w:w="0" w:type="dxa"/>
              <w:left w:w="20" w:type="dxa"/>
              <w:bottom w:w="0" w:type="dxa"/>
              <w:right w:w="20" w:type="dxa"/>
            </w:tcMar>
          </w:tcPr>
          <w:p w14:paraId="7B66FED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6FED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DA"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FED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DC"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6FED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DE"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6FED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EE0"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6FEEB" w14:textId="77777777">
        <w:tc>
          <w:tcPr>
            <w:tcW w:w="0" w:type="auto"/>
            <w:gridSpan w:val="3"/>
            <w:shd w:val="clear" w:color="auto" w:fill="CCEEFF"/>
            <w:tcMar>
              <w:top w:w="40" w:type="dxa"/>
              <w:left w:w="20" w:type="dxa"/>
              <w:bottom w:w="40" w:type="dxa"/>
              <w:right w:w="20" w:type="dxa"/>
            </w:tcMar>
            <w:vAlign w:val="bottom"/>
          </w:tcPr>
          <w:p w14:paraId="7B66FEE2" w14:textId="77777777" w:rsidR="0040300B" w:rsidRDefault="00BB2D44">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tcPr>
          <w:p w14:paraId="7B66FEE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E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E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E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E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E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6FEE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6FEEA" w14:textId="77777777" w:rsidR="0040300B" w:rsidRDefault="0040300B">
            <w:pPr>
              <w:rPr>
                <w:rFonts w:ascii="宋体"/>
              </w:rPr>
            </w:pPr>
          </w:p>
        </w:tc>
      </w:tr>
      <w:tr w:rsidR="0040300B" w14:paraId="7B66FEFD" w14:textId="77777777">
        <w:tc>
          <w:tcPr>
            <w:tcW w:w="0" w:type="auto"/>
            <w:gridSpan w:val="3"/>
            <w:shd w:val="clear" w:color="auto" w:fill="FFFFFF"/>
            <w:tcMar>
              <w:top w:w="40" w:type="dxa"/>
              <w:left w:w="260" w:type="dxa"/>
              <w:bottom w:w="40" w:type="dxa"/>
              <w:right w:w="20" w:type="dxa"/>
            </w:tcMar>
            <w:vAlign w:val="bottom"/>
          </w:tcPr>
          <w:p w14:paraId="7B66FEEC" w14:textId="77777777" w:rsidR="0040300B" w:rsidRDefault="00BB2D44">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tcPr>
          <w:p w14:paraId="7B66FEE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E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EF" w14:textId="77777777" w:rsidR="0040300B" w:rsidRDefault="00BB2D4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B66FEF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F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F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F3" w14:textId="77777777" w:rsidR="0040300B" w:rsidRDefault="00BB2D44">
            <w:pPr>
              <w:jc w:val="right"/>
              <w:textAlignment w:val="bottom"/>
            </w:pPr>
            <w:r>
              <w:rPr>
                <w:rFonts w:ascii="Times New Roman" w:eastAsia="宋体" w:hAnsi="Times New Roman"/>
                <w:color w:val="000000"/>
                <w:sz w:val="20"/>
                <w:szCs w:val="20"/>
              </w:rPr>
              <w:t>(87)</w:t>
            </w:r>
          </w:p>
        </w:tc>
        <w:tc>
          <w:tcPr>
            <w:tcW w:w="0" w:type="auto"/>
            <w:shd w:val="clear" w:color="auto" w:fill="FFFFFF"/>
            <w:tcMar>
              <w:top w:w="40" w:type="dxa"/>
              <w:left w:w="0" w:type="dxa"/>
              <w:bottom w:w="40" w:type="dxa"/>
              <w:right w:w="20" w:type="dxa"/>
            </w:tcMar>
            <w:vAlign w:val="bottom"/>
          </w:tcPr>
          <w:p w14:paraId="7B66FEF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F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F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F7" w14:textId="77777777" w:rsidR="0040300B" w:rsidRDefault="00BB2D44">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7B66FEF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EF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6FEF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6FEFB" w14:textId="77777777" w:rsidR="0040300B" w:rsidRDefault="00BB2D44">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7B66FEFC" w14:textId="77777777" w:rsidR="0040300B" w:rsidRDefault="0040300B">
            <w:pPr>
              <w:jc w:val="right"/>
              <w:rPr>
                <w:rFonts w:ascii="宋体"/>
              </w:rPr>
            </w:pPr>
          </w:p>
        </w:tc>
      </w:tr>
      <w:tr w:rsidR="0040300B" w14:paraId="7B66FF0B" w14:textId="77777777">
        <w:tc>
          <w:tcPr>
            <w:tcW w:w="0" w:type="auto"/>
            <w:gridSpan w:val="3"/>
            <w:shd w:val="clear" w:color="auto" w:fill="CCEEFF"/>
            <w:tcMar>
              <w:top w:w="40" w:type="dxa"/>
              <w:left w:w="260" w:type="dxa"/>
              <w:bottom w:w="40" w:type="dxa"/>
              <w:right w:w="20" w:type="dxa"/>
            </w:tcMar>
            <w:vAlign w:val="bottom"/>
          </w:tcPr>
          <w:p w14:paraId="7B66FEFE" w14:textId="77777777" w:rsidR="0040300B" w:rsidRDefault="00BB2D44">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tcPr>
          <w:p w14:paraId="7B66FEF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00" w14:textId="77777777" w:rsidR="0040300B" w:rsidRDefault="00BB2D44">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7B66FF0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0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03" w14:textId="77777777" w:rsidR="0040300B" w:rsidRDefault="00BB2D44">
            <w:pPr>
              <w:jc w:val="right"/>
              <w:textAlignment w:val="bottom"/>
            </w:pPr>
            <w:r>
              <w:rPr>
                <w:rFonts w:ascii="Times New Roman" w:eastAsia="宋体" w:hAnsi="Times New Roman"/>
                <w:color w:val="000000"/>
                <w:sz w:val="20"/>
                <w:szCs w:val="20"/>
              </w:rPr>
              <w:t>89 </w:t>
            </w:r>
          </w:p>
        </w:tc>
        <w:tc>
          <w:tcPr>
            <w:tcW w:w="0" w:type="auto"/>
            <w:shd w:val="clear" w:color="auto" w:fill="CCEEFF"/>
            <w:tcMar>
              <w:top w:w="40" w:type="dxa"/>
              <w:left w:w="0" w:type="dxa"/>
              <w:bottom w:w="40" w:type="dxa"/>
              <w:right w:w="20" w:type="dxa"/>
            </w:tcMar>
            <w:vAlign w:val="bottom"/>
          </w:tcPr>
          <w:p w14:paraId="7B66FF0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0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06" w14:textId="77777777" w:rsidR="0040300B" w:rsidRDefault="00BB2D44">
            <w:pPr>
              <w:jc w:val="right"/>
              <w:textAlignment w:val="bottom"/>
            </w:pPr>
            <w:r>
              <w:rPr>
                <w:rFonts w:ascii="Times New Roman" w:eastAsia="宋体" w:hAnsi="Times New Roman"/>
                <w:color w:val="000000"/>
                <w:sz w:val="20"/>
                <w:szCs w:val="20"/>
              </w:rPr>
              <w:t>(59)</w:t>
            </w:r>
          </w:p>
        </w:tc>
        <w:tc>
          <w:tcPr>
            <w:tcW w:w="0" w:type="auto"/>
            <w:shd w:val="clear" w:color="auto" w:fill="CCEEFF"/>
            <w:tcMar>
              <w:top w:w="40" w:type="dxa"/>
              <w:left w:w="0" w:type="dxa"/>
              <w:bottom w:w="40" w:type="dxa"/>
              <w:right w:w="20" w:type="dxa"/>
            </w:tcMar>
            <w:vAlign w:val="bottom"/>
          </w:tcPr>
          <w:p w14:paraId="7B66FF0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0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09" w14:textId="77777777" w:rsidR="0040300B" w:rsidRDefault="00BB2D44">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7B66FF0A" w14:textId="77777777" w:rsidR="0040300B" w:rsidRDefault="0040300B">
            <w:pPr>
              <w:jc w:val="right"/>
              <w:rPr>
                <w:rFonts w:ascii="宋体"/>
              </w:rPr>
            </w:pPr>
          </w:p>
        </w:tc>
      </w:tr>
      <w:tr w:rsidR="0040300B" w14:paraId="7B66FF1D" w14:textId="77777777">
        <w:tc>
          <w:tcPr>
            <w:tcW w:w="0" w:type="auto"/>
            <w:gridSpan w:val="3"/>
            <w:shd w:val="clear" w:color="auto" w:fill="FFFFFF"/>
            <w:tcMar>
              <w:top w:w="40" w:type="dxa"/>
              <w:left w:w="500" w:type="dxa"/>
              <w:bottom w:w="40" w:type="dxa"/>
              <w:right w:w="20" w:type="dxa"/>
            </w:tcMar>
            <w:vAlign w:val="bottom"/>
          </w:tcPr>
          <w:p w14:paraId="7B66FF0C"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6FF0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0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0F"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1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11"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1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13" w14:textId="77777777" w:rsidR="0040300B" w:rsidRDefault="00BB2D44">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1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15"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1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17" w14:textId="77777777" w:rsidR="0040300B" w:rsidRDefault="00BB2D44">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1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1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1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1B" w14:textId="77777777" w:rsidR="0040300B" w:rsidRDefault="00BB2D44">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1C" w14:textId="77777777" w:rsidR="0040300B" w:rsidRDefault="0040300B">
            <w:pPr>
              <w:jc w:val="right"/>
              <w:rPr>
                <w:rFonts w:ascii="宋体"/>
              </w:rPr>
            </w:pPr>
          </w:p>
        </w:tc>
      </w:tr>
    </w:tbl>
    <w:p w14:paraId="7B66FF1E" w14:textId="77777777" w:rsidR="0040300B" w:rsidRDefault="00BB2D44">
      <w:pPr>
        <w:spacing w:before="120"/>
        <w:jc w:val="both"/>
      </w:pPr>
      <w:r>
        <w:rPr>
          <w:rFonts w:ascii="Times New Roman" w:eastAsia="宋体" w:hAnsi="Times New Roman"/>
          <w:color w:val="000000"/>
          <w:sz w:val="20"/>
          <w:szCs w:val="20"/>
        </w:rPr>
        <w:t>The effect on the Consolidated Statements of Operations of derivative instrum</w:t>
      </w:r>
      <w:r>
        <w:rPr>
          <w:rFonts w:ascii="Times New Roman" w:eastAsia="宋体" w:hAnsi="Times New Roman"/>
          <w:color w:val="000000"/>
          <w:sz w:val="20"/>
          <w:szCs w:val="20"/>
        </w:rPr>
        <w:t>ents not designated as hedges is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413"/>
        <w:gridCol w:w="37"/>
        <w:gridCol w:w="36"/>
        <w:gridCol w:w="36"/>
        <w:gridCol w:w="36"/>
        <w:gridCol w:w="38"/>
        <w:gridCol w:w="1259"/>
        <w:gridCol w:w="36"/>
        <w:gridCol w:w="36"/>
        <w:gridCol w:w="36"/>
        <w:gridCol w:w="36"/>
        <w:gridCol w:w="111"/>
        <w:gridCol w:w="825"/>
        <w:gridCol w:w="37"/>
        <w:gridCol w:w="37"/>
        <w:gridCol w:w="49"/>
        <w:gridCol w:w="36"/>
        <w:gridCol w:w="110"/>
        <w:gridCol w:w="853"/>
        <w:gridCol w:w="36"/>
        <w:gridCol w:w="36"/>
        <w:gridCol w:w="36"/>
        <w:gridCol w:w="36"/>
        <w:gridCol w:w="111"/>
        <w:gridCol w:w="847"/>
        <w:gridCol w:w="37"/>
        <w:gridCol w:w="37"/>
        <w:gridCol w:w="37"/>
        <w:gridCol w:w="36"/>
        <w:gridCol w:w="110"/>
        <w:gridCol w:w="846"/>
        <w:gridCol w:w="36"/>
      </w:tblGrid>
      <w:tr w:rsidR="0040300B" w14:paraId="7B66FF40" w14:textId="77777777">
        <w:tc>
          <w:tcPr>
            <w:tcW w:w="50" w:type="pct"/>
            <w:shd w:val="clear" w:color="auto" w:fill="auto"/>
          </w:tcPr>
          <w:p w14:paraId="7B66FF1F" w14:textId="77777777" w:rsidR="0040300B" w:rsidRDefault="0040300B">
            <w:pPr>
              <w:rPr>
                <w:rFonts w:ascii="宋体"/>
              </w:rPr>
            </w:pPr>
          </w:p>
        </w:tc>
        <w:tc>
          <w:tcPr>
            <w:tcW w:w="1662" w:type="pct"/>
            <w:shd w:val="clear" w:color="auto" w:fill="auto"/>
          </w:tcPr>
          <w:p w14:paraId="7B66FF20" w14:textId="77777777" w:rsidR="0040300B" w:rsidRDefault="0040300B">
            <w:pPr>
              <w:rPr>
                <w:rFonts w:ascii="宋体"/>
              </w:rPr>
            </w:pPr>
          </w:p>
        </w:tc>
        <w:tc>
          <w:tcPr>
            <w:tcW w:w="5" w:type="pct"/>
            <w:shd w:val="clear" w:color="auto" w:fill="auto"/>
          </w:tcPr>
          <w:p w14:paraId="7B66FF21" w14:textId="77777777" w:rsidR="0040300B" w:rsidRDefault="0040300B">
            <w:pPr>
              <w:rPr>
                <w:rFonts w:ascii="宋体"/>
              </w:rPr>
            </w:pPr>
          </w:p>
        </w:tc>
        <w:tc>
          <w:tcPr>
            <w:tcW w:w="5" w:type="pct"/>
            <w:shd w:val="clear" w:color="auto" w:fill="auto"/>
          </w:tcPr>
          <w:p w14:paraId="7B66FF22" w14:textId="77777777" w:rsidR="0040300B" w:rsidRDefault="0040300B">
            <w:pPr>
              <w:rPr>
                <w:rFonts w:ascii="宋体"/>
              </w:rPr>
            </w:pPr>
          </w:p>
        </w:tc>
        <w:tc>
          <w:tcPr>
            <w:tcW w:w="26" w:type="pct"/>
            <w:shd w:val="clear" w:color="auto" w:fill="auto"/>
          </w:tcPr>
          <w:p w14:paraId="7B66FF23" w14:textId="77777777" w:rsidR="0040300B" w:rsidRDefault="0040300B">
            <w:pPr>
              <w:rPr>
                <w:rFonts w:ascii="宋体"/>
              </w:rPr>
            </w:pPr>
          </w:p>
        </w:tc>
        <w:tc>
          <w:tcPr>
            <w:tcW w:w="5" w:type="pct"/>
            <w:shd w:val="clear" w:color="auto" w:fill="auto"/>
          </w:tcPr>
          <w:p w14:paraId="7B66FF24" w14:textId="77777777" w:rsidR="0040300B" w:rsidRDefault="0040300B">
            <w:pPr>
              <w:rPr>
                <w:rFonts w:ascii="宋体"/>
              </w:rPr>
            </w:pPr>
          </w:p>
        </w:tc>
        <w:tc>
          <w:tcPr>
            <w:tcW w:w="50" w:type="pct"/>
            <w:shd w:val="clear" w:color="auto" w:fill="auto"/>
          </w:tcPr>
          <w:p w14:paraId="7B66FF25" w14:textId="77777777" w:rsidR="0040300B" w:rsidRDefault="0040300B">
            <w:pPr>
              <w:rPr>
                <w:rFonts w:ascii="宋体"/>
              </w:rPr>
            </w:pPr>
          </w:p>
        </w:tc>
        <w:tc>
          <w:tcPr>
            <w:tcW w:w="1048" w:type="pct"/>
            <w:shd w:val="clear" w:color="auto" w:fill="auto"/>
          </w:tcPr>
          <w:p w14:paraId="7B66FF26" w14:textId="77777777" w:rsidR="0040300B" w:rsidRDefault="0040300B">
            <w:pPr>
              <w:rPr>
                <w:rFonts w:ascii="宋体"/>
              </w:rPr>
            </w:pPr>
          </w:p>
        </w:tc>
        <w:tc>
          <w:tcPr>
            <w:tcW w:w="5" w:type="pct"/>
            <w:shd w:val="clear" w:color="auto" w:fill="auto"/>
          </w:tcPr>
          <w:p w14:paraId="7B66FF27" w14:textId="77777777" w:rsidR="0040300B" w:rsidRDefault="0040300B">
            <w:pPr>
              <w:rPr>
                <w:rFonts w:ascii="宋体"/>
              </w:rPr>
            </w:pPr>
          </w:p>
        </w:tc>
        <w:tc>
          <w:tcPr>
            <w:tcW w:w="5" w:type="pct"/>
            <w:shd w:val="clear" w:color="auto" w:fill="auto"/>
          </w:tcPr>
          <w:p w14:paraId="7B66FF28" w14:textId="77777777" w:rsidR="0040300B" w:rsidRDefault="0040300B">
            <w:pPr>
              <w:rPr>
                <w:rFonts w:ascii="宋体"/>
              </w:rPr>
            </w:pPr>
          </w:p>
        </w:tc>
        <w:tc>
          <w:tcPr>
            <w:tcW w:w="26" w:type="pct"/>
            <w:shd w:val="clear" w:color="auto" w:fill="auto"/>
          </w:tcPr>
          <w:p w14:paraId="7B66FF29" w14:textId="77777777" w:rsidR="0040300B" w:rsidRDefault="0040300B">
            <w:pPr>
              <w:rPr>
                <w:rFonts w:ascii="宋体"/>
              </w:rPr>
            </w:pPr>
          </w:p>
        </w:tc>
        <w:tc>
          <w:tcPr>
            <w:tcW w:w="5" w:type="pct"/>
            <w:shd w:val="clear" w:color="auto" w:fill="auto"/>
          </w:tcPr>
          <w:p w14:paraId="7B66FF2A" w14:textId="77777777" w:rsidR="0040300B" w:rsidRDefault="0040300B">
            <w:pPr>
              <w:rPr>
                <w:rFonts w:ascii="宋体"/>
              </w:rPr>
            </w:pPr>
          </w:p>
        </w:tc>
        <w:tc>
          <w:tcPr>
            <w:tcW w:w="50" w:type="pct"/>
            <w:shd w:val="clear" w:color="auto" w:fill="auto"/>
          </w:tcPr>
          <w:p w14:paraId="7B66FF2B" w14:textId="77777777" w:rsidR="0040300B" w:rsidRDefault="0040300B">
            <w:pPr>
              <w:rPr>
                <w:rFonts w:ascii="宋体"/>
              </w:rPr>
            </w:pPr>
          </w:p>
        </w:tc>
        <w:tc>
          <w:tcPr>
            <w:tcW w:w="434" w:type="pct"/>
            <w:shd w:val="clear" w:color="auto" w:fill="auto"/>
          </w:tcPr>
          <w:p w14:paraId="7B66FF2C" w14:textId="77777777" w:rsidR="0040300B" w:rsidRDefault="0040300B">
            <w:pPr>
              <w:rPr>
                <w:rFonts w:ascii="宋体"/>
              </w:rPr>
            </w:pPr>
          </w:p>
        </w:tc>
        <w:tc>
          <w:tcPr>
            <w:tcW w:w="5" w:type="pct"/>
            <w:shd w:val="clear" w:color="auto" w:fill="auto"/>
          </w:tcPr>
          <w:p w14:paraId="7B66FF2D" w14:textId="77777777" w:rsidR="0040300B" w:rsidRDefault="0040300B">
            <w:pPr>
              <w:rPr>
                <w:rFonts w:ascii="宋体"/>
              </w:rPr>
            </w:pPr>
          </w:p>
        </w:tc>
        <w:tc>
          <w:tcPr>
            <w:tcW w:w="5" w:type="pct"/>
            <w:shd w:val="clear" w:color="auto" w:fill="auto"/>
          </w:tcPr>
          <w:p w14:paraId="7B66FF2E" w14:textId="77777777" w:rsidR="0040300B" w:rsidRDefault="0040300B">
            <w:pPr>
              <w:rPr>
                <w:rFonts w:ascii="宋体"/>
              </w:rPr>
            </w:pPr>
          </w:p>
        </w:tc>
        <w:tc>
          <w:tcPr>
            <w:tcW w:w="26" w:type="pct"/>
            <w:shd w:val="clear" w:color="auto" w:fill="auto"/>
          </w:tcPr>
          <w:p w14:paraId="7B66FF2F" w14:textId="77777777" w:rsidR="0040300B" w:rsidRDefault="0040300B">
            <w:pPr>
              <w:rPr>
                <w:rFonts w:ascii="宋体"/>
              </w:rPr>
            </w:pPr>
          </w:p>
        </w:tc>
        <w:tc>
          <w:tcPr>
            <w:tcW w:w="5" w:type="pct"/>
            <w:shd w:val="clear" w:color="auto" w:fill="auto"/>
          </w:tcPr>
          <w:p w14:paraId="7B66FF30" w14:textId="77777777" w:rsidR="0040300B" w:rsidRDefault="0040300B">
            <w:pPr>
              <w:rPr>
                <w:rFonts w:ascii="宋体"/>
              </w:rPr>
            </w:pPr>
          </w:p>
        </w:tc>
        <w:tc>
          <w:tcPr>
            <w:tcW w:w="50" w:type="pct"/>
            <w:shd w:val="clear" w:color="auto" w:fill="auto"/>
          </w:tcPr>
          <w:p w14:paraId="7B66FF31" w14:textId="77777777" w:rsidR="0040300B" w:rsidRDefault="0040300B">
            <w:pPr>
              <w:rPr>
                <w:rFonts w:ascii="宋体"/>
              </w:rPr>
            </w:pPr>
          </w:p>
        </w:tc>
        <w:tc>
          <w:tcPr>
            <w:tcW w:w="449" w:type="pct"/>
            <w:shd w:val="clear" w:color="auto" w:fill="auto"/>
          </w:tcPr>
          <w:p w14:paraId="7B66FF32" w14:textId="77777777" w:rsidR="0040300B" w:rsidRDefault="0040300B">
            <w:pPr>
              <w:rPr>
                <w:rFonts w:ascii="宋体"/>
              </w:rPr>
            </w:pPr>
          </w:p>
        </w:tc>
        <w:tc>
          <w:tcPr>
            <w:tcW w:w="5" w:type="pct"/>
            <w:shd w:val="clear" w:color="auto" w:fill="auto"/>
          </w:tcPr>
          <w:p w14:paraId="7B66FF33" w14:textId="77777777" w:rsidR="0040300B" w:rsidRDefault="0040300B">
            <w:pPr>
              <w:rPr>
                <w:rFonts w:ascii="宋体"/>
              </w:rPr>
            </w:pPr>
          </w:p>
        </w:tc>
        <w:tc>
          <w:tcPr>
            <w:tcW w:w="5" w:type="pct"/>
            <w:shd w:val="clear" w:color="auto" w:fill="auto"/>
          </w:tcPr>
          <w:p w14:paraId="7B66FF34" w14:textId="77777777" w:rsidR="0040300B" w:rsidRDefault="0040300B">
            <w:pPr>
              <w:rPr>
                <w:rFonts w:ascii="宋体"/>
              </w:rPr>
            </w:pPr>
          </w:p>
        </w:tc>
        <w:tc>
          <w:tcPr>
            <w:tcW w:w="26" w:type="pct"/>
            <w:shd w:val="clear" w:color="auto" w:fill="auto"/>
          </w:tcPr>
          <w:p w14:paraId="7B66FF35" w14:textId="77777777" w:rsidR="0040300B" w:rsidRDefault="0040300B">
            <w:pPr>
              <w:rPr>
                <w:rFonts w:ascii="宋体"/>
              </w:rPr>
            </w:pPr>
          </w:p>
        </w:tc>
        <w:tc>
          <w:tcPr>
            <w:tcW w:w="5" w:type="pct"/>
            <w:shd w:val="clear" w:color="auto" w:fill="auto"/>
          </w:tcPr>
          <w:p w14:paraId="7B66FF36" w14:textId="77777777" w:rsidR="0040300B" w:rsidRDefault="0040300B">
            <w:pPr>
              <w:rPr>
                <w:rFonts w:ascii="宋体"/>
              </w:rPr>
            </w:pPr>
          </w:p>
        </w:tc>
        <w:tc>
          <w:tcPr>
            <w:tcW w:w="50" w:type="pct"/>
            <w:shd w:val="clear" w:color="auto" w:fill="auto"/>
          </w:tcPr>
          <w:p w14:paraId="7B66FF37" w14:textId="77777777" w:rsidR="0040300B" w:rsidRDefault="0040300B">
            <w:pPr>
              <w:rPr>
                <w:rFonts w:ascii="宋体"/>
              </w:rPr>
            </w:pPr>
          </w:p>
        </w:tc>
        <w:tc>
          <w:tcPr>
            <w:tcW w:w="449" w:type="pct"/>
            <w:shd w:val="clear" w:color="auto" w:fill="auto"/>
          </w:tcPr>
          <w:p w14:paraId="7B66FF38" w14:textId="77777777" w:rsidR="0040300B" w:rsidRDefault="0040300B">
            <w:pPr>
              <w:rPr>
                <w:rFonts w:ascii="宋体"/>
              </w:rPr>
            </w:pPr>
          </w:p>
        </w:tc>
        <w:tc>
          <w:tcPr>
            <w:tcW w:w="5" w:type="pct"/>
            <w:shd w:val="clear" w:color="auto" w:fill="auto"/>
          </w:tcPr>
          <w:p w14:paraId="7B66FF39" w14:textId="77777777" w:rsidR="0040300B" w:rsidRDefault="0040300B">
            <w:pPr>
              <w:rPr>
                <w:rFonts w:ascii="宋体"/>
              </w:rPr>
            </w:pPr>
          </w:p>
        </w:tc>
        <w:tc>
          <w:tcPr>
            <w:tcW w:w="5" w:type="pct"/>
            <w:shd w:val="clear" w:color="auto" w:fill="auto"/>
          </w:tcPr>
          <w:p w14:paraId="7B66FF3A" w14:textId="77777777" w:rsidR="0040300B" w:rsidRDefault="0040300B">
            <w:pPr>
              <w:rPr>
                <w:rFonts w:ascii="宋体"/>
              </w:rPr>
            </w:pPr>
          </w:p>
        </w:tc>
        <w:tc>
          <w:tcPr>
            <w:tcW w:w="19" w:type="pct"/>
            <w:shd w:val="clear" w:color="auto" w:fill="auto"/>
          </w:tcPr>
          <w:p w14:paraId="7B66FF3B" w14:textId="77777777" w:rsidR="0040300B" w:rsidRDefault="0040300B">
            <w:pPr>
              <w:rPr>
                <w:rFonts w:ascii="宋体"/>
              </w:rPr>
            </w:pPr>
          </w:p>
        </w:tc>
        <w:tc>
          <w:tcPr>
            <w:tcW w:w="5" w:type="pct"/>
            <w:shd w:val="clear" w:color="auto" w:fill="auto"/>
          </w:tcPr>
          <w:p w14:paraId="7B66FF3C" w14:textId="77777777" w:rsidR="0040300B" w:rsidRDefault="0040300B">
            <w:pPr>
              <w:rPr>
                <w:rFonts w:ascii="宋体"/>
              </w:rPr>
            </w:pPr>
          </w:p>
        </w:tc>
        <w:tc>
          <w:tcPr>
            <w:tcW w:w="50" w:type="pct"/>
            <w:shd w:val="clear" w:color="auto" w:fill="auto"/>
          </w:tcPr>
          <w:p w14:paraId="7B66FF3D" w14:textId="77777777" w:rsidR="0040300B" w:rsidRDefault="0040300B">
            <w:pPr>
              <w:rPr>
                <w:rFonts w:ascii="宋体"/>
              </w:rPr>
            </w:pPr>
          </w:p>
        </w:tc>
        <w:tc>
          <w:tcPr>
            <w:tcW w:w="449" w:type="pct"/>
            <w:shd w:val="clear" w:color="auto" w:fill="auto"/>
          </w:tcPr>
          <w:p w14:paraId="7B66FF3E" w14:textId="77777777" w:rsidR="0040300B" w:rsidRDefault="0040300B">
            <w:pPr>
              <w:rPr>
                <w:rFonts w:ascii="宋体"/>
              </w:rPr>
            </w:pPr>
          </w:p>
        </w:tc>
        <w:tc>
          <w:tcPr>
            <w:tcW w:w="5" w:type="pct"/>
            <w:shd w:val="clear" w:color="auto" w:fill="auto"/>
          </w:tcPr>
          <w:p w14:paraId="7B66FF3F" w14:textId="77777777" w:rsidR="0040300B" w:rsidRDefault="0040300B">
            <w:pPr>
              <w:rPr>
                <w:rFonts w:ascii="宋体"/>
              </w:rPr>
            </w:pPr>
          </w:p>
        </w:tc>
      </w:tr>
      <w:tr w:rsidR="0040300B" w14:paraId="7B66FF48" w14:textId="77777777">
        <w:tc>
          <w:tcPr>
            <w:tcW w:w="0" w:type="auto"/>
            <w:gridSpan w:val="3"/>
            <w:shd w:val="clear" w:color="auto" w:fill="auto"/>
            <w:tcMar>
              <w:top w:w="40" w:type="dxa"/>
              <w:left w:w="20" w:type="dxa"/>
              <w:bottom w:w="40" w:type="dxa"/>
              <w:right w:w="20" w:type="dxa"/>
            </w:tcMar>
            <w:vAlign w:val="bottom"/>
          </w:tcPr>
          <w:p w14:paraId="7B66FF41" w14:textId="77777777" w:rsidR="0040300B" w:rsidRDefault="00BB2D4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B66FF4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F43" w14:textId="77777777" w:rsidR="0040300B" w:rsidRDefault="00BB2D4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B66FF44"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F45" w14:textId="77777777" w:rsidR="0040300B" w:rsidRDefault="00BB2D44">
            <w:pPr>
              <w:jc w:val="center"/>
              <w:textAlignment w:val="bottom"/>
            </w:pPr>
            <w:r>
              <w:rPr>
                <w:rFonts w:ascii="Times New Roman" w:eastAsia="宋体" w:hAnsi="Times New Roman"/>
                <w:color w:val="000000"/>
                <w:sz w:val="16"/>
                <w:szCs w:val="16"/>
              </w:rPr>
              <w:t>GAINS (LOSSES) FOR THE</w:t>
            </w:r>
            <w:r>
              <w:rPr>
                <w:rFonts w:ascii="Times New Roman" w:eastAsia="宋体" w:hAnsi="Times New Roman"/>
                <w:color w:val="000000"/>
                <w:sz w:val="16"/>
                <w:szCs w:val="16"/>
              </w:rPr>
              <w:br/>
              <w:t>THREE MONTHS ENDED</w:t>
            </w:r>
          </w:p>
        </w:tc>
        <w:tc>
          <w:tcPr>
            <w:tcW w:w="0" w:type="auto"/>
            <w:gridSpan w:val="3"/>
            <w:shd w:val="clear" w:color="auto" w:fill="auto"/>
            <w:tcMar>
              <w:top w:w="0" w:type="dxa"/>
              <w:left w:w="20" w:type="dxa"/>
              <w:bottom w:w="0" w:type="dxa"/>
              <w:right w:w="20" w:type="dxa"/>
            </w:tcMar>
          </w:tcPr>
          <w:p w14:paraId="7B66FF46"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6FF47" w14:textId="77777777" w:rsidR="0040300B" w:rsidRDefault="00BB2D44">
            <w:pPr>
              <w:jc w:val="center"/>
              <w:textAlignment w:val="bottom"/>
            </w:pPr>
            <w:r>
              <w:rPr>
                <w:rFonts w:ascii="Times New Roman" w:eastAsia="宋体" w:hAnsi="Times New Roman"/>
                <w:color w:val="000000"/>
                <w:sz w:val="16"/>
                <w:szCs w:val="16"/>
              </w:rPr>
              <w:t>GAINS (LOSSES) FOR THE</w:t>
            </w:r>
            <w:r>
              <w:rPr>
                <w:rFonts w:ascii="Times New Roman" w:eastAsia="宋体" w:hAnsi="Times New Roman"/>
                <w:color w:val="000000"/>
                <w:sz w:val="16"/>
                <w:szCs w:val="16"/>
              </w:rPr>
              <w:br/>
              <w:t>NINE MONTHS ENDED</w:t>
            </w:r>
          </w:p>
        </w:tc>
      </w:tr>
      <w:tr w:rsidR="0040300B" w14:paraId="7B66FF54" w14:textId="77777777">
        <w:tc>
          <w:tcPr>
            <w:tcW w:w="0" w:type="auto"/>
            <w:gridSpan w:val="3"/>
            <w:shd w:val="clear" w:color="auto" w:fill="auto"/>
            <w:tcMar>
              <w:top w:w="40" w:type="dxa"/>
              <w:left w:w="20" w:type="dxa"/>
              <w:bottom w:w="40" w:type="dxa"/>
              <w:right w:w="20" w:type="dxa"/>
            </w:tcMar>
            <w:vAlign w:val="bottom"/>
          </w:tcPr>
          <w:p w14:paraId="7B66FF49" w14:textId="77777777" w:rsidR="0040300B" w:rsidRDefault="00BB2D44">
            <w:pPr>
              <w:textAlignment w:val="bottom"/>
            </w:pPr>
            <w:r>
              <w:rPr>
                <w:rFonts w:ascii="Times New Roman" w:eastAsia="宋体" w:hAnsi="Times New Roman"/>
                <w:color w:val="000000"/>
                <w:sz w:val="18"/>
                <w:szCs w:val="18"/>
              </w:rPr>
              <w:t xml:space="preserve">Derivatives Not Designated as </w:t>
            </w:r>
            <w:r>
              <w:rPr>
                <w:rFonts w:ascii="Times New Roman" w:eastAsia="宋体" w:hAnsi="Times New Roman"/>
                <w:color w:val="000000"/>
                <w:sz w:val="18"/>
                <w:szCs w:val="18"/>
              </w:rPr>
              <w:br/>
              <w:t>Hedging Instruments</w:t>
            </w:r>
          </w:p>
        </w:tc>
        <w:tc>
          <w:tcPr>
            <w:tcW w:w="0" w:type="auto"/>
            <w:gridSpan w:val="3"/>
            <w:shd w:val="clear" w:color="auto" w:fill="auto"/>
            <w:tcMar>
              <w:top w:w="0" w:type="dxa"/>
              <w:left w:w="20" w:type="dxa"/>
              <w:bottom w:w="0" w:type="dxa"/>
              <w:right w:w="20" w:type="dxa"/>
            </w:tcMar>
          </w:tcPr>
          <w:p w14:paraId="7B66FF4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F4B" w14:textId="77777777" w:rsidR="0040300B" w:rsidRDefault="00BB2D44">
            <w:pPr>
              <w:textAlignment w:val="bottom"/>
            </w:pPr>
            <w:r>
              <w:rPr>
                <w:rFonts w:ascii="Times New Roman" w:eastAsia="宋体" w:hAnsi="Times New Roman"/>
                <w:color w:val="000000"/>
                <w:sz w:val="18"/>
                <w:szCs w:val="18"/>
              </w:rPr>
              <w:t>Line Item in Statements of Operations</w:t>
            </w:r>
          </w:p>
        </w:tc>
        <w:tc>
          <w:tcPr>
            <w:tcW w:w="0" w:type="auto"/>
            <w:gridSpan w:val="3"/>
            <w:shd w:val="clear" w:color="auto" w:fill="auto"/>
            <w:tcMar>
              <w:top w:w="0" w:type="dxa"/>
              <w:left w:w="20" w:type="dxa"/>
              <w:bottom w:w="0" w:type="dxa"/>
              <w:right w:w="20" w:type="dxa"/>
            </w:tcMar>
          </w:tcPr>
          <w:p w14:paraId="7B66FF4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F4D"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F4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F4F"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6FF5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F51"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6FF5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6FF53"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6FF6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7B66FF55" w14:textId="77777777" w:rsidR="0040300B" w:rsidRDefault="00BB2D44">
            <w:pPr>
              <w:textAlignment w:val="top"/>
            </w:pPr>
            <w:r>
              <w:rPr>
                <w:rFonts w:ascii="Times New Roman" w:eastAsia="宋体" w:hAnsi="Times New Roman"/>
                <w:color w:val="000000"/>
                <w:sz w:val="18"/>
                <w:szCs w:val="18"/>
              </w:rPr>
              <w:t>For</w:t>
            </w:r>
            <w:r>
              <w:rPr>
                <w:rFonts w:ascii="Times New Roman" w:eastAsia="宋体" w:hAnsi="Times New Roman"/>
                <w:color w:val="000000"/>
                <w:sz w:val="18"/>
                <w:szCs w:val="18"/>
              </w:rPr>
              <w:t>eign currency derivatives</w:t>
            </w:r>
          </w:p>
        </w:tc>
        <w:tc>
          <w:tcPr>
            <w:tcW w:w="0" w:type="auto"/>
            <w:gridSpan w:val="3"/>
            <w:shd w:val="clear" w:color="auto" w:fill="CCEEFF"/>
            <w:tcMar>
              <w:top w:w="0" w:type="dxa"/>
              <w:left w:w="20" w:type="dxa"/>
              <w:bottom w:w="0" w:type="dxa"/>
              <w:right w:w="20" w:type="dxa"/>
            </w:tcMar>
          </w:tcPr>
          <w:p w14:paraId="7B66FF56"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6FF57" w14:textId="77777777" w:rsidR="0040300B" w:rsidRDefault="00BB2D44">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tcPr>
          <w:p w14:paraId="7B66FF5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F59"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5A" w14:textId="77777777" w:rsidR="0040300B" w:rsidRDefault="00BB2D44">
            <w:pPr>
              <w:jc w:val="right"/>
              <w:textAlignment w:val="bottom"/>
            </w:pPr>
            <w:r>
              <w:rPr>
                <w:rFonts w:ascii="Times New Roman" w:eastAsia="宋体" w:hAnsi="Times New Roman"/>
                <w:color w:val="000000"/>
                <w:sz w:val="18"/>
                <w:szCs w:val="18"/>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5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5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F5D"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5E" w14:textId="77777777" w:rsidR="0040300B" w:rsidRDefault="00BB2D44">
            <w:pPr>
              <w:jc w:val="right"/>
              <w:textAlignment w:val="bottom"/>
            </w:pPr>
            <w:r>
              <w:rPr>
                <w:rFonts w:ascii="Times New Roman" w:eastAsia="宋体" w:hAnsi="Times New Roman"/>
                <w:color w:val="000000"/>
                <w:sz w:val="18"/>
                <w:szCs w:val="18"/>
              </w:rPr>
              <w:t>(47)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5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6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F61"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62" w14:textId="77777777" w:rsidR="0040300B" w:rsidRDefault="00BB2D44">
            <w:pPr>
              <w:jc w:val="right"/>
              <w:textAlignment w:val="bottom"/>
            </w:pPr>
            <w:r>
              <w:rPr>
                <w:rFonts w:ascii="Times New Roman" w:eastAsia="宋体" w:hAnsi="Times New Roman"/>
                <w:color w:val="000000"/>
                <w:sz w:val="18"/>
                <w:szCs w:val="18"/>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6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6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F65"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66" w14:textId="77777777" w:rsidR="0040300B" w:rsidRDefault="00BB2D44">
            <w:pPr>
              <w:jc w:val="right"/>
              <w:textAlignment w:val="bottom"/>
            </w:pPr>
            <w:r>
              <w:rPr>
                <w:rFonts w:ascii="Times New Roman" w:eastAsia="宋体" w:hAnsi="Times New Roman"/>
                <w:color w:val="000000"/>
                <w:sz w:val="18"/>
                <w:szCs w:val="18"/>
              </w:rPr>
              <w:t>(56)</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67" w14:textId="77777777" w:rsidR="0040300B" w:rsidRDefault="0040300B">
            <w:pPr>
              <w:jc w:val="right"/>
              <w:rPr>
                <w:rFonts w:ascii="宋体"/>
              </w:rPr>
            </w:pPr>
          </w:p>
        </w:tc>
      </w:tr>
      <w:tr w:rsidR="0040300B" w14:paraId="7B66FF78" w14:textId="77777777">
        <w:tc>
          <w:tcPr>
            <w:tcW w:w="0" w:type="auto"/>
            <w:gridSpan w:val="3"/>
            <w:shd w:val="clear" w:color="auto" w:fill="FFFFFF"/>
            <w:tcMar>
              <w:top w:w="40" w:type="dxa"/>
              <w:left w:w="20" w:type="dxa"/>
              <w:bottom w:w="40" w:type="dxa"/>
              <w:right w:w="20" w:type="dxa"/>
            </w:tcMar>
          </w:tcPr>
          <w:p w14:paraId="7B66FF69" w14:textId="77777777" w:rsidR="0040300B" w:rsidRDefault="00BB2D44">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tcPr>
          <w:p w14:paraId="7B66FF6A"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bottom"/>
          </w:tcPr>
          <w:p w14:paraId="7B66FF6B" w14:textId="77777777" w:rsidR="0040300B" w:rsidRDefault="00BB2D44">
            <w:pPr>
              <w:textAlignment w:val="bottom"/>
            </w:pPr>
            <w:r>
              <w:rPr>
                <w:rFonts w:ascii="Times New Roman" w:eastAsia="宋体" w:hAnsi="Times New Roman"/>
                <w:color w:val="000000"/>
                <w:sz w:val="18"/>
                <w:szCs w:val="18"/>
              </w:rPr>
              <w:t xml:space="preserve">Operating </w:t>
            </w:r>
            <w:r>
              <w:rPr>
                <w:rFonts w:ascii="Times New Roman" w:eastAsia="宋体" w:hAnsi="Times New Roman"/>
                <w:color w:val="000000"/>
                <w:sz w:val="18"/>
                <w:szCs w:val="18"/>
              </w:rPr>
              <w:t>expenses and other</w:t>
            </w:r>
          </w:p>
        </w:tc>
        <w:tc>
          <w:tcPr>
            <w:tcW w:w="0" w:type="auto"/>
            <w:gridSpan w:val="3"/>
            <w:shd w:val="clear" w:color="auto" w:fill="FFFFFF"/>
            <w:tcMar>
              <w:top w:w="0" w:type="dxa"/>
              <w:left w:w="20" w:type="dxa"/>
              <w:bottom w:w="0" w:type="dxa"/>
              <w:right w:w="20" w:type="dxa"/>
            </w:tcMar>
          </w:tcPr>
          <w:p w14:paraId="7B66FF6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F6D" w14:textId="77777777" w:rsidR="0040300B" w:rsidRDefault="00BB2D44">
            <w:pPr>
              <w:jc w:val="right"/>
              <w:textAlignment w:val="bottom"/>
            </w:pPr>
            <w:r>
              <w:rPr>
                <w:rFonts w:ascii="Times New Roman" w:eastAsia="宋体" w:hAnsi="Times New Roman"/>
                <w:color w:val="000000"/>
                <w:sz w:val="18"/>
                <w:szCs w:val="18"/>
              </w:rPr>
              <w:t>45 </w:t>
            </w:r>
          </w:p>
        </w:tc>
        <w:tc>
          <w:tcPr>
            <w:tcW w:w="0" w:type="auto"/>
            <w:shd w:val="clear" w:color="auto" w:fill="FFFFFF"/>
            <w:tcMar>
              <w:top w:w="40" w:type="dxa"/>
              <w:left w:w="0" w:type="dxa"/>
              <w:bottom w:w="40" w:type="dxa"/>
              <w:right w:w="20" w:type="dxa"/>
            </w:tcMar>
            <w:vAlign w:val="bottom"/>
          </w:tcPr>
          <w:p w14:paraId="7B66FF6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6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F70" w14:textId="77777777" w:rsidR="0040300B" w:rsidRDefault="00BB2D44">
            <w:pPr>
              <w:jc w:val="right"/>
              <w:textAlignment w:val="bottom"/>
            </w:pPr>
            <w:r>
              <w:rPr>
                <w:rFonts w:ascii="Times New Roman" w:eastAsia="宋体" w:hAnsi="Times New Roman"/>
                <w:color w:val="000000"/>
                <w:sz w:val="18"/>
                <w:szCs w:val="18"/>
              </w:rPr>
              <w:t>(104)</w:t>
            </w:r>
          </w:p>
        </w:tc>
        <w:tc>
          <w:tcPr>
            <w:tcW w:w="0" w:type="auto"/>
            <w:shd w:val="clear" w:color="auto" w:fill="FFFFFF"/>
            <w:tcMar>
              <w:top w:w="40" w:type="dxa"/>
              <w:left w:w="0" w:type="dxa"/>
              <w:bottom w:w="40" w:type="dxa"/>
              <w:right w:w="20" w:type="dxa"/>
            </w:tcMar>
            <w:vAlign w:val="bottom"/>
          </w:tcPr>
          <w:p w14:paraId="7B66FF7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7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F73" w14:textId="77777777" w:rsidR="0040300B" w:rsidRDefault="00BB2D44">
            <w:pPr>
              <w:jc w:val="right"/>
              <w:textAlignment w:val="bottom"/>
            </w:pPr>
            <w:r>
              <w:rPr>
                <w:rFonts w:ascii="Times New Roman" w:eastAsia="宋体" w:hAnsi="Times New Roman"/>
                <w:color w:val="000000"/>
                <w:sz w:val="18"/>
                <w:szCs w:val="18"/>
              </w:rPr>
              <w:t>144 </w:t>
            </w:r>
          </w:p>
        </w:tc>
        <w:tc>
          <w:tcPr>
            <w:tcW w:w="0" w:type="auto"/>
            <w:shd w:val="clear" w:color="auto" w:fill="FFFFFF"/>
            <w:tcMar>
              <w:top w:w="40" w:type="dxa"/>
              <w:left w:w="0" w:type="dxa"/>
              <w:bottom w:w="40" w:type="dxa"/>
              <w:right w:w="20" w:type="dxa"/>
            </w:tcMar>
            <w:vAlign w:val="bottom"/>
          </w:tcPr>
          <w:p w14:paraId="7B66FF7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7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F76" w14:textId="77777777" w:rsidR="0040300B" w:rsidRDefault="00BB2D44">
            <w:pPr>
              <w:jc w:val="right"/>
              <w:textAlignment w:val="bottom"/>
            </w:pPr>
            <w:r>
              <w:rPr>
                <w:rFonts w:ascii="Times New Roman" w:eastAsia="宋体" w:hAnsi="Times New Roman"/>
                <w:color w:val="000000"/>
                <w:sz w:val="18"/>
                <w:szCs w:val="18"/>
              </w:rPr>
              <w:t>(63)</w:t>
            </w:r>
          </w:p>
        </w:tc>
        <w:tc>
          <w:tcPr>
            <w:tcW w:w="0" w:type="auto"/>
            <w:shd w:val="clear" w:color="auto" w:fill="FFFFFF"/>
            <w:tcMar>
              <w:top w:w="40" w:type="dxa"/>
              <w:left w:w="0" w:type="dxa"/>
              <w:bottom w:w="40" w:type="dxa"/>
              <w:right w:w="20" w:type="dxa"/>
            </w:tcMar>
            <w:vAlign w:val="bottom"/>
          </w:tcPr>
          <w:p w14:paraId="7B66FF77" w14:textId="77777777" w:rsidR="0040300B" w:rsidRDefault="0040300B">
            <w:pPr>
              <w:jc w:val="right"/>
              <w:rPr>
                <w:rFonts w:ascii="宋体"/>
              </w:rPr>
            </w:pPr>
          </w:p>
        </w:tc>
      </w:tr>
      <w:tr w:rsidR="0040300B" w14:paraId="7B66FF88" w14:textId="77777777">
        <w:tc>
          <w:tcPr>
            <w:tcW w:w="0" w:type="auto"/>
            <w:gridSpan w:val="3"/>
            <w:shd w:val="clear" w:color="auto" w:fill="CCEEFF"/>
            <w:tcMar>
              <w:top w:w="40" w:type="dxa"/>
              <w:left w:w="20" w:type="dxa"/>
              <w:bottom w:w="40" w:type="dxa"/>
              <w:right w:w="20" w:type="dxa"/>
            </w:tcMar>
          </w:tcPr>
          <w:p w14:paraId="7B66FF79" w14:textId="77777777" w:rsidR="0040300B" w:rsidRDefault="00BB2D44">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tcPr>
          <w:p w14:paraId="7B66FF7A"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6FF7B" w14:textId="77777777" w:rsidR="0040300B" w:rsidRDefault="00BB2D44">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tcPr>
          <w:p w14:paraId="7B66FF7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7D" w14:textId="77777777" w:rsidR="0040300B" w:rsidRDefault="00BB2D44">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7B66FF7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7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80" w14:textId="77777777" w:rsidR="0040300B" w:rsidRDefault="00BB2D44">
            <w:pPr>
              <w:jc w:val="right"/>
              <w:textAlignment w:val="bottom"/>
            </w:pPr>
            <w:r>
              <w:rPr>
                <w:rFonts w:ascii="Times New Roman" w:eastAsia="宋体" w:hAnsi="Times New Roman"/>
                <w:color w:val="000000"/>
                <w:sz w:val="18"/>
                <w:szCs w:val="18"/>
              </w:rPr>
              <w:t>(6)</w:t>
            </w:r>
          </w:p>
        </w:tc>
        <w:tc>
          <w:tcPr>
            <w:tcW w:w="0" w:type="auto"/>
            <w:shd w:val="clear" w:color="auto" w:fill="CCEEFF"/>
            <w:tcMar>
              <w:top w:w="40" w:type="dxa"/>
              <w:left w:w="0" w:type="dxa"/>
              <w:bottom w:w="40" w:type="dxa"/>
              <w:right w:w="20" w:type="dxa"/>
            </w:tcMar>
            <w:vAlign w:val="bottom"/>
          </w:tcPr>
          <w:p w14:paraId="7B66FF8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8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83" w14:textId="77777777" w:rsidR="0040300B" w:rsidRDefault="00BB2D44">
            <w:pPr>
              <w:jc w:val="right"/>
              <w:textAlignment w:val="bottom"/>
            </w:pPr>
            <w:r>
              <w:rPr>
                <w:rFonts w:ascii="Times New Roman" w:eastAsia="宋体" w:hAnsi="Times New Roman"/>
                <w:color w:val="000000"/>
                <w:sz w:val="18"/>
                <w:szCs w:val="18"/>
              </w:rPr>
              <w:t>19 </w:t>
            </w:r>
          </w:p>
        </w:tc>
        <w:tc>
          <w:tcPr>
            <w:tcW w:w="0" w:type="auto"/>
            <w:shd w:val="clear" w:color="auto" w:fill="CCEEFF"/>
            <w:tcMar>
              <w:top w:w="40" w:type="dxa"/>
              <w:left w:w="0" w:type="dxa"/>
              <w:bottom w:w="40" w:type="dxa"/>
              <w:right w:w="20" w:type="dxa"/>
            </w:tcMar>
            <w:vAlign w:val="bottom"/>
          </w:tcPr>
          <w:p w14:paraId="7B66FF8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8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86" w14:textId="77777777" w:rsidR="0040300B" w:rsidRDefault="00BB2D44">
            <w:pPr>
              <w:jc w:val="right"/>
              <w:textAlignment w:val="bottom"/>
            </w:pPr>
            <w:r>
              <w:rPr>
                <w:rFonts w:ascii="Times New Roman" w:eastAsia="宋体" w:hAnsi="Times New Roman"/>
                <w:color w:val="000000"/>
                <w:sz w:val="18"/>
                <w:szCs w:val="18"/>
              </w:rPr>
              <w:t>(1)</w:t>
            </w:r>
          </w:p>
        </w:tc>
        <w:tc>
          <w:tcPr>
            <w:tcW w:w="0" w:type="auto"/>
            <w:shd w:val="clear" w:color="auto" w:fill="CCEEFF"/>
            <w:tcMar>
              <w:top w:w="40" w:type="dxa"/>
              <w:left w:w="0" w:type="dxa"/>
              <w:bottom w:w="40" w:type="dxa"/>
              <w:right w:w="20" w:type="dxa"/>
            </w:tcMar>
            <w:vAlign w:val="bottom"/>
          </w:tcPr>
          <w:p w14:paraId="7B66FF87" w14:textId="77777777" w:rsidR="0040300B" w:rsidRDefault="0040300B">
            <w:pPr>
              <w:jc w:val="right"/>
              <w:rPr>
                <w:rFonts w:ascii="宋体"/>
              </w:rPr>
            </w:pPr>
          </w:p>
        </w:tc>
      </w:tr>
      <w:tr w:rsidR="0040300B" w14:paraId="7B66FF9C" w14:textId="77777777">
        <w:tc>
          <w:tcPr>
            <w:tcW w:w="0" w:type="auto"/>
            <w:gridSpan w:val="3"/>
            <w:shd w:val="clear" w:color="auto" w:fill="FFFFFF"/>
            <w:tcMar>
              <w:top w:w="40" w:type="dxa"/>
              <w:left w:w="380" w:type="dxa"/>
              <w:bottom w:w="40" w:type="dxa"/>
              <w:right w:w="20" w:type="dxa"/>
            </w:tcMar>
          </w:tcPr>
          <w:p w14:paraId="7B66FF89" w14:textId="77777777" w:rsidR="0040300B" w:rsidRDefault="00BB2D4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tcPr>
          <w:p w14:paraId="7B66FF8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F8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6FF8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8D"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8E" w14:textId="77777777" w:rsidR="0040300B" w:rsidRDefault="00BB2D44">
            <w:pPr>
              <w:jc w:val="right"/>
              <w:textAlignment w:val="bottom"/>
            </w:pPr>
            <w:r>
              <w:rPr>
                <w:rFonts w:ascii="Times New Roman" w:eastAsia="宋体" w:hAnsi="Times New Roman"/>
                <w:color w:val="000000"/>
                <w:sz w:val="18"/>
                <w:szCs w:val="18"/>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8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9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91"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92" w14:textId="77777777" w:rsidR="0040300B" w:rsidRDefault="00BB2D44">
            <w:pPr>
              <w:jc w:val="right"/>
              <w:textAlignment w:val="bottom"/>
            </w:pPr>
            <w:r>
              <w:rPr>
                <w:rFonts w:ascii="Times New Roman" w:eastAsia="宋体" w:hAnsi="Times New Roman"/>
                <w:color w:val="000000"/>
                <w:sz w:val="18"/>
                <w:szCs w:val="18"/>
              </w:rPr>
              <w:t>(157)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9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9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95"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96" w14:textId="77777777" w:rsidR="0040300B" w:rsidRDefault="00BB2D44">
            <w:pPr>
              <w:jc w:val="right"/>
              <w:textAlignment w:val="bottom"/>
            </w:pPr>
            <w:r>
              <w:rPr>
                <w:rFonts w:ascii="Times New Roman" w:eastAsia="宋体" w:hAnsi="Times New Roman"/>
                <w:color w:val="000000"/>
                <w:sz w:val="18"/>
                <w:szCs w:val="18"/>
              </w:rPr>
              <w:t>198 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9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99" w14:textId="77777777" w:rsidR="0040300B" w:rsidRDefault="00BB2D4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9A" w14:textId="77777777" w:rsidR="0040300B" w:rsidRDefault="00BB2D44">
            <w:pPr>
              <w:jc w:val="right"/>
              <w:textAlignment w:val="bottom"/>
            </w:pPr>
            <w:r>
              <w:rPr>
                <w:rFonts w:ascii="Times New Roman" w:eastAsia="宋体" w:hAnsi="Times New Roman"/>
                <w:color w:val="000000"/>
                <w:sz w:val="18"/>
                <w:szCs w:val="18"/>
              </w:rPr>
              <w:t>(120)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9B" w14:textId="77777777" w:rsidR="0040300B" w:rsidRDefault="0040300B">
            <w:pPr>
              <w:jc w:val="right"/>
              <w:rPr>
                <w:rFonts w:ascii="宋体"/>
              </w:rPr>
            </w:pPr>
          </w:p>
        </w:tc>
      </w:tr>
    </w:tbl>
    <w:p w14:paraId="7B66FF9D" w14:textId="77777777" w:rsidR="0040300B" w:rsidRDefault="00BB2D44">
      <w:pPr>
        <w:spacing w:before="120"/>
      </w:pPr>
      <w:r>
        <w:rPr>
          <w:rFonts w:ascii="Times New Roman" w:eastAsia="宋体" w:hAnsi="Times New Roman"/>
          <w:color w:val="000000"/>
          <w:sz w:val="20"/>
          <w:szCs w:val="20"/>
        </w:rPr>
        <w:t xml:space="preserve">The notional amounts of our </w:t>
      </w:r>
      <w:r>
        <w:rPr>
          <w:rFonts w:ascii="Times New Roman" w:eastAsia="宋体" w:hAnsi="Times New Roman"/>
          <w:color w:val="000000"/>
          <w:sz w:val="20"/>
          <w:szCs w:val="20"/>
        </w:rPr>
        <w:t>outstanding derivatives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40300B" w14:paraId="7B66FFAA" w14:textId="77777777">
        <w:tc>
          <w:tcPr>
            <w:tcW w:w="50" w:type="pct"/>
            <w:shd w:val="clear" w:color="auto" w:fill="auto"/>
          </w:tcPr>
          <w:p w14:paraId="7B66FF9E" w14:textId="77777777" w:rsidR="0040300B" w:rsidRDefault="0040300B">
            <w:pPr>
              <w:rPr>
                <w:rFonts w:ascii="宋体"/>
              </w:rPr>
            </w:pPr>
          </w:p>
        </w:tc>
        <w:tc>
          <w:tcPr>
            <w:tcW w:w="3442" w:type="pct"/>
            <w:shd w:val="clear" w:color="auto" w:fill="auto"/>
          </w:tcPr>
          <w:p w14:paraId="7B66FF9F" w14:textId="77777777" w:rsidR="0040300B" w:rsidRDefault="0040300B">
            <w:pPr>
              <w:rPr>
                <w:rFonts w:ascii="宋体"/>
              </w:rPr>
            </w:pPr>
          </w:p>
        </w:tc>
        <w:tc>
          <w:tcPr>
            <w:tcW w:w="5" w:type="pct"/>
            <w:shd w:val="clear" w:color="auto" w:fill="auto"/>
          </w:tcPr>
          <w:p w14:paraId="7B66FFA0" w14:textId="77777777" w:rsidR="0040300B" w:rsidRDefault="0040300B">
            <w:pPr>
              <w:rPr>
                <w:rFonts w:ascii="宋体"/>
              </w:rPr>
            </w:pPr>
          </w:p>
        </w:tc>
        <w:tc>
          <w:tcPr>
            <w:tcW w:w="50" w:type="pct"/>
            <w:shd w:val="clear" w:color="auto" w:fill="auto"/>
          </w:tcPr>
          <w:p w14:paraId="7B66FFA1" w14:textId="77777777" w:rsidR="0040300B" w:rsidRDefault="0040300B">
            <w:pPr>
              <w:rPr>
                <w:rFonts w:ascii="宋体"/>
              </w:rPr>
            </w:pPr>
          </w:p>
        </w:tc>
        <w:tc>
          <w:tcPr>
            <w:tcW w:w="678" w:type="pct"/>
            <w:shd w:val="clear" w:color="auto" w:fill="auto"/>
          </w:tcPr>
          <w:p w14:paraId="7B66FFA2" w14:textId="77777777" w:rsidR="0040300B" w:rsidRDefault="0040300B">
            <w:pPr>
              <w:rPr>
                <w:rFonts w:ascii="宋体"/>
              </w:rPr>
            </w:pPr>
          </w:p>
        </w:tc>
        <w:tc>
          <w:tcPr>
            <w:tcW w:w="5" w:type="pct"/>
            <w:shd w:val="clear" w:color="auto" w:fill="auto"/>
          </w:tcPr>
          <w:p w14:paraId="7B66FFA3" w14:textId="77777777" w:rsidR="0040300B" w:rsidRDefault="0040300B">
            <w:pPr>
              <w:rPr>
                <w:rFonts w:ascii="宋体"/>
              </w:rPr>
            </w:pPr>
          </w:p>
        </w:tc>
        <w:tc>
          <w:tcPr>
            <w:tcW w:w="5" w:type="pct"/>
            <w:shd w:val="clear" w:color="auto" w:fill="auto"/>
          </w:tcPr>
          <w:p w14:paraId="7B66FFA4" w14:textId="77777777" w:rsidR="0040300B" w:rsidRDefault="0040300B">
            <w:pPr>
              <w:rPr>
                <w:rFonts w:ascii="宋体"/>
              </w:rPr>
            </w:pPr>
          </w:p>
        </w:tc>
        <w:tc>
          <w:tcPr>
            <w:tcW w:w="26" w:type="pct"/>
            <w:shd w:val="clear" w:color="auto" w:fill="auto"/>
          </w:tcPr>
          <w:p w14:paraId="7B66FFA5" w14:textId="77777777" w:rsidR="0040300B" w:rsidRDefault="0040300B">
            <w:pPr>
              <w:rPr>
                <w:rFonts w:ascii="宋体"/>
              </w:rPr>
            </w:pPr>
          </w:p>
        </w:tc>
        <w:tc>
          <w:tcPr>
            <w:tcW w:w="5" w:type="pct"/>
            <w:shd w:val="clear" w:color="auto" w:fill="auto"/>
          </w:tcPr>
          <w:p w14:paraId="7B66FFA6" w14:textId="77777777" w:rsidR="0040300B" w:rsidRDefault="0040300B">
            <w:pPr>
              <w:rPr>
                <w:rFonts w:ascii="宋体"/>
              </w:rPr>
            </w:pPr>
          </w:p>
        </w:tc>
        <w:tc>
          <w:tcPr>
            <w:tcW w:w="50" w:type="pct"/>
            <w:shd w:val="clear" w:color="auto" w:fill="auto"/>
          </w:tcPr>
          <w:p w14:paraId="7B66FFA7" w14:textId="77777777" w:rsidR="0040300B" w:rsidRDefault="0040300B">
            <w:pPr>
              <w:rPr>
                <w:rFonts w:ascii="宋体"/>
              </w:rPr>
            </w:pPr>
          </w:p>
        </w:tc>
        <w:tc>
          <w:tcPr>
            <w:tcW w:w="678" w:type="pct"/>
            <w:shd w:val="clear" w:color="auto" w:fill="auto"/>
          </w:tcPr>
          <w:p w14:paraId="7B66FFA8" w14:textId="77777777" w:rsidR="0040300B" w:rsidRDefault="0040300B">
            <w:pPr>
              <w:rPr>
                <w:rFonts w:ascii="宋体"/>
              </w:rPr>
            </w:pPr>
          </w:p>
        </w:tc>
        <w:tc>
          <w:tcPr>
            <w:tcW w:w="5" w:type="pct"/>
            <w:shd w:val="clear" w:color="auto" w:fill="auto"/>
          </w:tcPr>
          <w:p w14:paraId="7B66FFA9" w14:textId="77777777" w:rsidR="0040300B" w:rsidRDefault="0040300B">
            <w:pPr>
              <w:rPr>
                <w:rFonts w:ascii="宋体"/>
              </w:rPr>
            </w:pPr>
          </w:p>
        </w:tc>
      </w:tr>
      <w:tr w:rsidR="0040300B" w14:paraId="7B66FFAF" w14:textId="77777777">
        <w:tc>
          <w:tcPr>
            <w:tcW w:w="0" w:type="auto"/>
            <w:gridSpan w:val="3"/>
            <w:shd w:val="clear" w:color="auto" w:fill="auto"/>
            <w:tcMar>
              <w:top w:w="0" w:type="dxa"/>
              <w:left w:w="20" w:type="dxa"/>
              <w:bottom w:w="0" w:type="dxa"/>
              <w:right w:w="20" w:type="dxa"/>
            </w:tcMar>
          </w:tcPr>
          <w:p w14:paraId="7B66FFA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FAC"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6FFA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FAE"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6FFB8" w14:textId="77777777">
        <w:tc>
          <w:tcPr>
            <w:tcW w:w="0" w:type="auto"/>
            <w:gridSpan w:val="3"/>
            <w:shd w:val="clear" w:color="auto" w:fill="CCEEFF"/>
            <w:tcMar>
              <w:top w:w="40" w:type="dxa"/>
              <w:left w:w="155" w:type="dxa"/>
              <w:bottom w:w="40" w:type="dxa"/>
              <w:right w:w="20" w:type="dxa"/>
            </w:tcMar>
          </w:tcPr>
          <w:p w14:paraId="7B66FFB0" w14:textId="77777777" w:rsidR="0040300B" w:rsidRDefault="00BB2D44">
            <w:pPr>
              <w:textAlignment w:val="top"/>
            </w:pPr>
            <w:r>
              <w:rPr>
                <w:rFonts w:ascii="Times New Roman" w:eastAsia="宋体" w:hAnsi="Times New Roman"/>
                <w:color w:val="000000"/>
                <w:sz w:val="20"/>
                <w:szCs w:val="20"/>
              </w:rPr>
              <w:t>Foreign currency 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FB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B2" w14:textId="77777777" w:rsidR="0040300B" w:rsidRDefault="00BB2D44">
            <w:pPr>
              <w:jc w:val="right"/>
              <w:textAlignment w:val="bottom"/>
            </w:pPr>
            <w:r>
              <w:rPr>
                <w:rFonts w:ascii="Times New Roman" w:eastAsia="宋体" w:hAnsi="Times New Roman"/>
                <w:color w:val="000000"/>
                <w:sz w:val="20"/>
                <w:szCs w:val="20"/>
              </w:rPr>
              <w:t>4,054 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B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B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6FFB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B6" w14:textId="77777777" w:rsidR="0040300B" w:rsidRDefault="00BB2D44">
            <w:pPr>
              <w:jc w:val="right"/>
              <w:textAlignment w:val="bottom"/>
            </w:pPr>
            <w:r>
              <w:rPr>
                <w:rFonts w:ascii="Times New Roman" w:eastAsia="宋体" w:hAnsi="Times New Roman"/>
                <w:color w:val="000000"/>
                <w:sz w:val="20"/>
                <w:szCs w:val="20"/>
              </w:rPr>
              <w:t>4,315 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B7" w14:textId="77777777" w:rsidR="0040300B" w:rsidRDefault="0040300B">
            <w:pPr>
              <w:jc w:val="right"/>
              <w:rPr>
                <w:rFonts w:ascii="宋体"/>
              </w:rPr>
            </w:pPr>
          </w:p>
        </w:tc>
      </w:tr>
      <w:tr w:rsidR="0040300B" w14:paraId="7B66FFBF" w14:textId="77777777">
        <w:tc>
          <w:tcPr>
            <w:tcW w:w="0" w:type="auto"/>
            <w:gridSpan w:val="3"/>
            <w:shd w:val="clear" w:color="auto" w:fill="FFFFFF"/>
            <w:tcMar>
              <w:top w:w="40" w:type="dxa"/>
              <w:left w:w="155" w:type="dxa"/>
              <w:bottom w:w="40" w:type="dxa"/>
              <w:right w:w="20" w:type="dxa"/>
            </w:tcMar>
            <w:vAlign w:val="bottom"/>
          </w:tcPr>
          <w:p w14:paraId="7B66FFB9" w14:textId="77777777" w:rsidR="0040300B" w:rsidRDefault="00BB2D44">
            <w:pPr>
              <w:textAlignment w:val="bottom"/>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7B66FFBA"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7B66FFB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B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6FFBD" w14:textId="77777777" w:rsidR="0040300B" w:rsidRDefault="00BB2D44">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B66FFBE" w14:textId="77777777" w:rsidR="0040300B" w:rsidRDefault="0040300B">
            <w:pPr>
              <w:jc w:val="right"/>
              <w:rPr>
                <w:rFonts w:ascii="宋体"/>
              </w:rPr>
            </w:pPr>
          </w:p>
        </w:tc>
      </w:tr>
      <w:tr w:rsidR="0040300B" w14:paraId="7B66FFC6" w14:textId="77777777">
        <w:tc>
          <w:tcPr>
            <w:tcW w:w="0" w:type="auto"/>
            <w:gridSpan w:val="3"/>
            <w:shd w:val="clear" w:color="auto" w:fill="CCEEFF"/>
            <w:tcMar>
              <w:top w:w="40" w:type="dxa"/>
              <w:left w:w="155" w:type="dxa"/>
              <w:bottom w:w="40" w:type="dxa"/>
              <w:right w:w="20" w:type="dxa"/>
            </w:tcMar>
          </w:tcPr>
          <w:p w14:paraId="7B66FFC0" w14:textId="77777777" w:rsidR="0040300B" w:rsidRDefault="00BB2D44">
            <w:pPr>
              <w:textAlignment w:val="top"/>
            </w:pPr>
            <w:r>
              <w:rPr>
                <w:rFonts w:ascii="Times New Roman" w:eastAsia="宋体" w:hAnsi="Times New Roman"/>
                <w:color w:val="000000"/>
                <w:sz w:val="20"/>
                <w:szCs w:val="20"/>
              </w:rPr>
              <w:t>Total return swaps—deferred compensation</w:t>
            </w:r>
          </w:p>
        </w:tc>
        <w:tc>
          <w:tcPr>
            <w:tcW w:w="0" w:type="auto"/>
            <w:gridSpan w:val="2"/>
            <w:shd w:val="clear" w:color="auto" w:fill="CCEEFF"/>
            <w:tcMar>
              <w:top w:w="40" w:type="dxa"/>
              <w:left w:w="20" w:type="dxa"/>
              <w:bottom w:w="40" w:type="dxa"/>
              <w:right w:w="0" w:type="dxa"/>
            </w:tcMar>
            <w:vAlign w:val="bottom"/>
          </w:tcPr>
          <w:p w14:paraId="7B66FFC1" w14:textId="77777777" w:rsidR="0040300B" w:rsidRDefault="00BB2D44">
            <w:pPr>
              <w:jc w:val="right"/>
              <w:textAlignment w:val="bottom"/>
            </w:pPr>
            <w:r>
              <w:rPr>
                <w:rFonts w:ascii="Times New Roman" w:eastAsia="宋体" w:hAnsi="Times New Roman"/>
                <w:color w:val="000000"/>
                <w:sz w:val="20"/>
                <w:szCs w:val="20"/>
              </w:rPr>
              <w:t>739 </w:t>
            </w:r>
          </w:p>
        </w:tc>
        <w:tc>
          <w:tcPr>
            <w:tcW w:w="0" w:type="auto"/>
            <w:shd w:val="clear" w:color="auto" w:fill="CCEEFF"/>
            <w:tcMar>
              <w:top w:w="40" w:type="dxa"/>
              <w:left w:w="0" w:type="dxa"/>
              <w:bottom w:w="40" w:type="dxa"/>
              <w:right w:w="20" w:type="dxa"/>
            </w:tcMar>
            <w:vAlign w:val="bottom"/>
          </w:tcPr>
          <w:p w14:paraId="7B66FF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6FF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6FFC4" w14:textId="77777777" w:rsidR="0040300B" w:rsidRDefault="00BB2D44">
            <w:pPr>
              <w:jc w:val="right"/>
              <w:textAlignment w:val="bottom"/>
            </w:pPr>
            <w:r>
              <w:rPr>
                <w:rFonts w:ascii="Times New Roman" w:eastAsia="宋体" w:hAnsi="Times New Roman"/>
                <w:color w:val="000000"/>
                <w:sz w:val="20"/>
                <w:szCs w:val="20"/>
              </w:rPr>
              <w:t>580 </w:t>
            </w:r>
          </w:p>
        </w:tc>
        <w:tc>
          <w:tcPr>
            <w:tcW w:w="0" w:type="auto"/>
            <w:shd w:val="clear" w:color="auto" w:fill="CCEEFF"/>
            <w:tcMar>
              <w:top w:w="40" w:type="dxa"/>
              <w:left w:w="0" w:type="dxa"/>
              <w:bottom w:w="40" w:type="dxa"/>
              <w:right w:w="20" w:type="dxa"/>
            </w:tcMar>
            <w:vAlign w:val="bottom"/>
          </w:tcPr>
          <w:p w14:paraId="7B66FFC5" w14:textId="77777777" w:rsidR="0040300B" w:rsidRDefault="0040300B">
            <w:pPr>
              <w:jc w:val="right"/>
              <w:rPr>
                <w:rFonts w:ascii="宋体"/>
              </w:rPr>
            </w:pPr>
          </w:p>
        </w:tc>
      </w:tr>
      <w:tr w:rsidR="0040300B" w14:paraId="7B66FFCF" w14:textId="77777777">
        <w:tc>
          <w:tcPr>
            <w:tcW w:w="0" w:type="auto"/>
            <w:gridSpan w:val="3"/>
            <w:shd w:val="clear" w:color="auto" w:fill="FFFFFF"/>
            <w:tcMar>
              <w:top w:w="40" w:type="dxa"/>
              <w:left w:w="380" w:type="dxa"/>
              <w:bottom w:w="40" w:type="dxa"/>
              <w:right w:w="20" w:type="dxa"/>
            </w:tcMar>
          </w:tcPr>
          <w:p w14:paraId="7B66FFC7"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C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C9" w14:textId="77777777" w:rsidR="0040300B" w:rsidRDefault="00BB2D44">
            <w:pPr>
              <w:jc w:val="right"/>
              <w:textAlignment w:val="bottom"/>
            </w:pPr>
            <w:r>
              <w:rPr>
                <w:rFonts w:ascii="Times New Roman" w:eastAsia="宋体" w:hAnsi="Times New Roman"/>
                <w:color w:val="000000"/>
                <w:sz w:val="20"/>
                <w:szCs w:val="20"/>
              </w:rPr>
              <w:t>6,793 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C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6FFC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6FFC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6FFCD" w14:textId="77777777" w:rsidR="0040300B" w:rsidRDefault="00BB2D44">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6FFCE" w14:textId="77777777" w:rsidR="0040300B" w:rsidRDefault="0040300B">
            <w:pPr>
              <w:jc w:val="right"/>
              <w:rPr>
                <w:rFonts w:ascii="宋体"/>
              </w:rPr>
            </w:pPr>
          </w:p>
        </w:tc>
      </w:tr>
    </w:tbl>
    <w:p w14:paraId="7B66FFD0" w14:textId="77777777" w:rsidR="0040300B" w:rsidRDefault="00BB2D44">
      <w:pPr>
        <w:spacing w:before="120"/>
        <w:ind w:hanging="360"/>
        <w:jc w:val="both"/>
      </w:pPr>
      <w:r>
        <w:rPr>
          <w:rFonts w:ascii="Times New Roman" w:eastAsia="宋体" w:hAnsi="Times New Roman"/>
          <w:b/>
          <w:bCs/>
          <w:color w:val="000000"/>
          <w:sz w:val="20"/>
          <w:szCs w:val="20"/>
        </w:rPr>
        <w:t>(b)Offsetting of Derivative Instruments</w:t>
      </w:r>
    </w:p>
    <w:p w14:paraId="7B66FFD1" w14:textId="77777777" w:rsidR="0040300B" w:rsidRDefault="00BB2D44">
      <w:pPr>
        <w:spacing w:before="120"/>
        <w:jc w:val="both"/>
      </w:pPr>
      <w:r>
        <w:rPr>
          <w:rFonts w:ascii="Times New Roman" w:eastAsia="宋体" w:hAnsi="Times New Roman"/>
          <w:color w:val="000000"/>
          <w:sz w:val="20"/>
          <w:szCs w:val="20"/>
        </w:rPr>
        <w:t xml:space="preserve">We present our derivative instruments at gross fair values in the Consolidated Balance Sheets. However, our master netting and other similar arrangements with the </w:t>
      </w:r>
      <w:r>
        <w:rPr>
          <w:rFonts w:ascii="Times New Roman" w:eastAsia="宋体" w:hAnsi="Times New Roman"/>
          <w:color w:val="000000"/>
          <w:sz w:val="20"/>
          <w:szCs w:val="20"/>
        </w:rPr>
        <w:t>respective counterparties allow for net settlement under certain conditions, which are designed to reduce credit risk by permitting net settlement with the same counterparty. As of May 1, 2021 and July 25, 2020, the potential effects of these rights of set</w:t>
      </w:r>
      <w:r>
        <w:rPr>
          <w:rFonts w:ascii="Times New Roman" w:eastAsia="宋体" w:hAnsi="Times New Roman"/>
          <w:color w:val="000000"/>
          <w:sz w:val="20"/>
          <w:szCs w:val="20"/>
        </w:rPr>
        <w:t>-off associated with the derivative contracts would be a reduction to both derivative assets and derivative liabilities of $16 million and $10 million, respectively.</w:t>
      </w:r>
    </w:p>
    <w:p w14:paraId="7B66FFD2" w14:textId="77777777" w:rsidR="0040300B" w:rsidRDefault="00BB2D44">
      <w:pPr>
        <w:spacing w:before="120"/>
        <w:jc w:val="both"/>
      </w:pPr>
      <w:r>
        <w:rPr>
          <w:rFonts w:ascii="Times New Roman" w:eastAsia="宋体" w:hAnsi="Times New Roman"/>
          <w:color w:val="000000"/>
          <w:sz w:val="20"/>
          <w:szCs w:val="20"/>
        </w:rPr>
        <w:t xml:space="preserve">To further limit credit risk, we also enter into collateral security arrangements related </w:t>
      </w:r>
      <w:r>
        <w:rPr>
          <w:rFonts w:ascii="Times New Roman" w:eastAsia="宋体" w:hAnsi="Times New Roman"/>
          <w:color w:val="000000"/>
          <w:sz w:val="20"/>
          <w:szCs w:val="20"/>
        </w:rPr>
        <w:t xml:space="preserve">to certain derivative instruments whereby cash is posted as collateral between the counterparties based on the fair market value of the derivative instrument. Under these collateral security arrangements, the net cash collateral received as of May 1, 2021 </w:t>
      </w:r>
      <w:r>
        <w:rPr>
          <w:rFonts w:ascii="Times New Roman" w:eastAsia="宋体" w:hAnsi="Times New Roman"/>
          <w:color w:val="000000"/>
          <w:sz w:val="20"/>
          <w:szCs w:val="20"/>
        </w:rPr>
        <w:t>and July 25, 2020 was $115 million and $173 million, respectively. Including the effects of collateral, this results in a net derivative asset of $8 million as of each of May 1, 2021 and July 25, 2020.</w:t>
      </w:r>
    </w:p>
    <w:p w14:paraId="7B66FFD3" w14:textId="77777777" w:rsidR="0040300B" w:rsidRDefault="00BB2D44">
      <w:pPr>
        <w:spacing w:before="120"/>
        <w:ind w:hanging="360"/>
        <w:jc w:val="both"/>
      </w:pPr>
      <w:r>
        <w:rPr>
          <w:rFonts w:ascii="Times New Roman" w:eastAsia="宋体" w:hAnsi="Times New Roman"/>
          <w:b/>
          <w:bCs/>
          <w:color w:val="000000"/>
          <w:sz w:val="20"/>
          <w:szCs w:val="20"/>
        </w:rPr>
        <w:t>(c)Foreign Currency Exchange Risk</w:t>
      </w:r>
    </w:p>
    <w:p w14:paraId="7B66FFD4" w14:textId="77777777" w:rsidR="0040300B" w:rsidRDefault="00BB2D44">
      <w:pPr>
        <w:spacing w:before="120"/>
        <w:jc w:val="both"/>
      </w:pPr>
      <w:r>
        <w:rPr>
          <w:rFonts w:ascii="Times New Roman" w:eastAsia="宋体" w:hAnsi="Times New Roman"/>
          <w:color w:val="000000"/>
          <w:sz w:val="20"/>
          <w:szCs w:val="20"/>
        </w:rPr>
        <w:t xml:space="preserve">We conduct business </w:t>
      </w:r>
      <w:r>
        <w:rPr>
          <w:rFonts w:ascii="Times New Roman" w:eastAsia="宋体" w:hAnsi="Times New Roman"/>
          <w:color w:val="000000"/>
          <w:sz w:val="20"/>
          <w:szCs w:val="20"/>
        </w:rPr>
        <w:t>globally in numerous currencies. Therefore, we are exposed to adverse movements in foreign currency exchange rates. To limit the exposure related to foreign currency changes, we enter into foreign currency contracts. We do not enter into such contracts for</w:t>
      </w:r>
      <w:r>
        <w:rPr>
          <w:rFonts w:ascii="Times New Roman" w:eastAsia="宋体" w:hAnsi="Times New Roman"/>
          <w:color w:val="000000"/>
          <w:sz w:val="20"/>
          <w:szCs w:val="20"/>
        </w:rPr>
        <w:t xml:space="preserve"> speculative purposes.</w:t>
      </w:r>
    </w:p>
    <w:p w14:paraId="7B66FFD5" w14:textId="77777777" w:rsidR="0040300B" w:rsidRDefault="00BB2D44">
      <w:pPr>
        <w:spacing w:before="120"/>
        <w:jc w:val="both"/>
      </w:pPr>
      <w:r>
        <w:rPr>
          <w:rFonts w:ascii="Times New Roman" w:eastAsia="宋体" w:hAnsi="Times New Roman"/>
          <w:color w:val="000000"/>
          <w:sz w:val="20"/>
          <w:szCs w:val="20"/>
        </w:rPr>
        <w:t>We hedge forecasted foreign currency transactions related to certain revenues, operating expenses and service cost of sales with currency options and forward contracts. These currency options and forward contracts, designated as cash</w:t>
      </w:r>
      <w:r>
        <w:rPr>
          <w:rFonts w:ascii="Times New Roman" w:eastAsia="宋体" w:hAnsi="Times New Roman"/>
          <w:color w:val="000000"/>
          <w:sz w:val="20"/>
          <w:szCs w:val="20"/>
        </w:rPr>
        <w:t xml:space="preserve"> flow hedges, generally have maturities of less than 24 months. The derivative instrument’s gain or loss is initially reported as a component of accumulated other comprehensive income (“AOCI”) and subsequently reclassified into earnings when the hedged exp</w:t>
      </w:r>
      <w:r>
        <w:rPr>
          <w:rFonts w:ascii="Times New Roman" w:eastAsia="宋体" w:hAnsi="Times New Roman"/>
          <w:color w:val="000000"/>
          <w:sz w:val="20"/>
          <w:szCs w:val="20"/>
        </w:rPr>
        <w:t>osure affects earnings. During the periods presented, we did not discontinue any cash flow hedges for which it was probable that a forecasted transaction would not occur.</w:t>
      </w:r>
    </w:p>
    <w:p w14:paraId="7B66FFD6" w14:textId="77777777" w:rsidR="0040300B" w:rsidRDefault="00BB2D44">
      <w:pPr>
        <w:jc w:val="center"/>
      </w:pPr>
      <w:r>
        <w:rPr>
          <w:rFonts w:ascii="Times New Roman" w:eastAsia="宋体" w:hAnsi="Times New Roman"/>
          <w:color w:val="000000"/>
          <w:sz w:val="20"/>
          <w:szCs w:val="20"/>
        </w:rPr>
        <w:t>30</w:t>
      </w:r>
    </w:p>
    <w:p w14:paraId="7B66FFD7" w14:textId="77777777" w:rsidR="0040300B" w:rsidRDefault="00BB2D44">
      <w:r>
        <w:pict w14:anchorId="7B671C2E">
          <v:rect id="_x0000_i1054" style="width:415.3pt;height:1.5pt" o:hralign="center" o:hrstd="t" o:hr="t" fillcolor="#a0a0a0" stroked="f"/>
        </w:pict>
      </w:r>
    </w:p>
    <w:p w14:paraId="7B66FFD8" w14:textId="77777777" w:rsidR="0040300B" w:rsidRDefault="00BB2D44">
      <w:hyperlink r:id="rId76" w:anchor="i52d5b40dbad7426a9806a2fd5167029f_7" w:history="1">
        <w:r>
          <w:rPr>
            <w:rStyle w:val="a5"/>
            <w:rFonts w:ascii="Times New Roman" w:eastAsia="宋体" w:hAnsi="Times New Roman"/>
            <w:sz w:val="18"/>
            <w:szCs w:val="18"/>
          </w:rPr>
          <w:t>Table of Contents</w:t>
        </w:r>
      </w:hyperlink>
    </w:p>
    <w:p w14:paraId="7B66FFD9" w14:textId="77777777" w:rsidR="0040300B" w:rsidRDefault="00BB2D44">
      <w:pPr>
        <w:jc w:val="center"/>
      </w:pPr>
      <w:r>
        <w:rPr>
          <w:rFonts w:ascii="Times New Roman" w:eastAsia="宋体" w:hAnsi="Times New Roman"/>
          <w:b/>
          <w:bCs/>
          <w:color w:val="000000"/>
          <w:sz w:val="18"/>
          <w:szCs w:val="18"/>
        </w:rPr>
        <w:t>CISCO SYSTEMS, INC.</w:t>
      </w:r>
    </w:p>
    <w:p w14:paraId="7B66FFDA"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6FFDB" w14:textId="77777777" w:rsidR="0040300B" w:rsidRDefault="00BB2D44">
      <w:pPr>
        <w:jc w:val="center"/>
      </w:pPr>
      <w:r>
        <w:rPr>
          <w:rFonts w:ascii="Times New Roman" w:eastAsia="宋体" w:hAnsi="Times New Roman"/>
          <w:b/>
          <w:bCs/>
          <w:color w:val="000000"/>
          <w:sz w:val="18"/>
          <w:szCs w:val="18"/>
        </w:rPr>
        <w:t xml:space="preserve">(Unaudited) </w:t>
      </w:r>
    </w:p>
    <w:p w14:paraId="7B66FFDC" w14:textId="77777777" w:rsidR="0040300B" w:rsidRDefault="0040300B">
      <w:pPr>
        <w:jc w:val="center"/>
      </w:pPr>
    </w:p>
    <w:p w14:paraId="7B66FFDD" w14:textId="77777777" w:rsidR="0040300B" w:rsidRDefault="00BB2D44">
      <w:pPr>
        <w:spacing w:before="120"/>
        <w:jc w:val="both"/>
      </w:pPr>
      <w:r>
        <w:rPr>
          <w:rFonts w:ascii="Times New Roman" w:eastAsia="宋体" w:hAnsi="Times New Roman"/>
          <w:color w:val="000000"/>
          <w:sz w:val="20"/>
          <w:szCs w:val="20"/>
        </w:rPr>
        <w:t xml:space="preserve">We enter into foreign exchange forward and option contracts to reduce the </w:t>
      </w:r>
      <w:r>
        <w:rPr>
          <w:rFonts w:ascii="Times New Roman" w:eastAsia="宋体" w:hAnsi="Times New Roman"/>
          <w:color w:val="000000"/>
          <w:sz w:val="20"/>
          <w:szCs w:val="20"/>
        </w:rPr>
        <w:t>short-term effects of foreign currency fluctuations on assets and liabilities such as foreign currency receivables, including long-term customer financings and payables. These derivatives are not designated as hedging instruments. Gains and losses on the c</w:t>
      </w:r>
      <w:r>
        <w:rPr>
          <w:rFonts w:ascii="Times New Roman" w:eastAsia="宋体" w:hAnsi="Times New Roman"/>
          <w:color w:val="000000"/>
          <w:sz w:val="20"/>
          <w:szCs w:val="20"/>
        </w:rPr>
        <w:t>ontracts are included in other income (loss), net, and substantially offset foreign exchange gains and losses from the remeasurement of intercompany balances, other current assets, or liabilities denominated in currencies other than the functional currency</w:t>
      </w:r>
      <w:r>
        <w:rPr>
          <w:rFonts w:ascii="Times New Roman" w:eastAsia="宋体" w:hAnsi="Times New Roman"/>
          <w:color w:val="000000"/>
          <w:sz w:val="20"/>
          <w:szCs w:val="20"/>
        </w:rPr>
        <w:t xml:space="preserve"> of the reporting entity.</w:t>
      </w:r>
    </w:p>
    <w:p w14:paraId="7B66FFDE" w14:textId="77777777" w:rsidR="0040300B" w:rsidRDefault="00BB2D44">
      <w:pPr>
        <w:spacing w:before="120"/>
        <w:jc w:val="both"/>
      </w:pPr>
      <w:r>
        <w:rPr>
          <w:rFonts w:ascii="Times New Roman" w:eastAsia="宋体" w:hAnsi="Times New Roman"/>
          <w:color w:val="000000"/>
          <w:sz w:val="20"/>
          <w:szCs w:val="20"/>
        </w:rPr>
        <w:t>We hedge certain net investments in our foreign operations with forward contracts to reduce the effects of foreign currency fluctuations on our net investment in those foreign subsidiaries. These derivative instruments generally h</w:t>
      </w:r>
      <w:r>
        <w:rPr>
          <w:rFonts w:ascii="Times New Roman" w:eastAsia="宋体" w:hAnsi="Times New Roman"/>
          <w:color w:val="000000"/>
          <w:sz w:val="20"/>
          <w:szCs w:val="20"/>
        </w:rPr>
        <w:t xml:space="preserve">ave maturities of up to six months. </w:t>
      </w:r>
    </w:p>
    <w:p w14:paraId="7B66FFDF" w14:textId="77777777" w:rsidR="0040300B" w:rsidRDefault="00BB2D44">
      <w:pPr>
        <w:spacing w:before="120"/>
        <w:ind w:hanging="360"/>
        <w:jc w:val="both"/>
      </w:pPr>
      <w:r>
        <w:rPr>
          <w:rFonts w:ascii="Times New Roman" w:eastAsia="宋体" w:hAnsi="Times New Roman"/>
          <w:b/>
          <w:bCs/>
          <w:color w:val="000000"/>
          <w:sz w:val="20"/>
          <w:szCs w:val="20"/>
        </w:rPr>
        <w:t>(d)Interest Rate Risk</w:t>
      </w:r>
    </w:p>
    <w:p w14:paraId="7B66FFE0" w14:textId="77777777" w:rsidR="0040300B" w:rsidRDefault="00BB2D44">
      <w:pPr>
        <w:spacing w:before="120"/>
        <w:jc w:val="both"/>
      </w:pPr>
      <w:r>
        <w:rPr>
          <w:rFonts w:ascii="Times New Roman" w:eastAsia="宋体" w:hAnsi="Times New Roman"/>
          <w:color w:val="000000"/>
          <w:sz w:val="20"/>
          <w:szCs w:val="20"/>
          <w:u w:val="single"/>
        </w:rPr>
        <w:t>Interest Rate Derivatives Designated as Fair Value Hedges, Long-Term Debt</w:t>
      </w:r>
      <w:r>
        <w:rPr>
          <w:rFonts w:ascii="Times New Roman" w:eastAsia="宋体" w:hAnsi="Times New Roman"/>
          <w:color w:val="000000"/>
          <w:sz w:val="20"/>
          <w:szCs w:val="20"/>
        </w:rPr>
        <w:t xml:space="preserve"> We hold interest rate swaps designated as fair value hedges related to fixed-rate senior notes that are due in fiscal 2022</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through 2025. Under these interest rate swaps, we receive fixed-rate interest payments and make interest payments based on LIBOR plus a fixed number of basis points. The effect of such swaps is to convert the fixed interest rates of the senior fixed-rate n</w:t>
      </w:r>
      <w:r>
        <w:rPr>
          <w:rFonts w:ascii="Times New Roman" w:eastAsia="宋体" w:hAnsi="Times New Roman"/>
          <w:color w:val="000000"/>
          <w:sz w:val="20"/>
          <w:szCs w:val="20"/>
        </w:rPr>
        <w:t>otes to floating interest rates based on LIBOR. The gains and losses related to changes in the fair value of the interest rate swaps are included in interest expense and substantially offset changes in the fair value of the hedged portion of the underlying</w:t>
      </w:r>
      <w:r>
        <w:rPr>
          <w:rFonts w:ascii="Times New Roman" w:eastAsia="宋体" w:hAnsi="Times New Roman"/>
          <w:color w:val="000000"/>
          <w:sz w:val="20"/>
          <w:szCs w:val="20"/>
        </w:rPr>
        <w:t xml:space="preserve"> debt that are attributable to the changes in market interest rates. </w:t>
      </w:r>
    </w:p>
    <w:p w14:paraId="7B66FFE1" w14:textId="77777777" w:rsidR="0040300B" w:rsidRDefault="00BB2D44">
      <w:pPr>
        <w:spacing w:before="120"/>
        <w:ind w:hanging="360"/>
      </w:pPr>
      <w:r>
        <w:rPr>
          <w:rFonts w:ascii="Times New Roman" w:eastAsia="宋体" w:hAnsi="Times New Roman"/>
          <w:b/>
          <w:bCs/>
          <w:color w:val="000000"/>
          <w:sz w:val="20"/>
          <w:szCs w:val="20"/>
        </w:rPr>
        <w:t xml:space="preserve">(e)Equity Price Risk </w:t>
      </w:r>
    </w:p>
    <w:p w14:paraId="7B66FFE2" w14:textId="77777777" w:rsidR="0040300B" w:rsidRDefault="00BB2D44">
      <w:pPr>
        <w:spacing w:before="120"/>
        <w:jc w:val="both"/>
      </w:pPr>
      <w:r>
        <w:rPr>
          <w:rFonts w:ascii="Times New Roman" w:eastAsia="宋体" w:hAnsi="Times New Roman"/>
          <w:color w:val="000000"/>
          <w:sz w:val="20"/>
          <w:szCs w:val="20"/>
        </w:rPr>
        <w:t>We hold marketable equity securities in our portfolio that are subject to price risk. To diversify our overall portfolio, we also hold equity derivatives that are n</w:t>
      </w:r>
      <w:r>
        <w:rPr>
          <w:rFonts w:ascii="Times New Roman" w:eastAsia="宋体" w:hAnsi="Times New Roman"/>
          <w:color w:val="000000"/>
          <w:sz w:val="20"/>
          <w:szCs w:val="20"/>
        </w:rPr>
        <w:t xml:space="preserve">ot designated as accounting hedges. The change in the fair value of each of these investment types are included in other income (loss), net. </w:t>
      </w:r>
    </w:p>
    <w:p w14:paraId="7B66FFE3" w14:textId="77777777" w:rsidR="0040300B" w:rsidRDefault="00BB2D44">
      <w:pPr>
        <w:spacing w:before="120"/>
        <w:jc w:val="both"/>
      </w:pPr>
      <w:r>
        <w:rPr>
          <w:rFonts w:ascii="Times New Roman" w:eastAsia="宋体" w:hAnsi="Times New Roman"/>
          <w:color w:val="000000"/>
          <w:sz w:val="20"/>
          <w:szCs w:val="20"/>
        </w:rPr>
        <w:t>We are also exposed to variability in compensation charges related to certain deferred compensation obligations to</w:t>
      </w:r>
      <w:r>
        <w:rPr>
          <w:rFonts w:ascii="Times New Roman" w:eastAsia="宋体" w:hAnsi="Times New Roman"/>
          <w:color w:val="000000"/>
          <w:sz w:val="20"/>
          <w:szCs w:val="20"/>
        </w:rPr>
        <w:t xml:space="preserve"> employees. Although not designated as accounting hedges, we utilize derivatives such as total return swaps to economically hedge this exposure and offset the related compensation expense. </w:t>
      </w:r>
    </w:p>
    <w:p w14:paraId="7B66FFE4" w14:textId="77777777" w:rsidR="0040300B" w:rsidRDefault="0040300B">
      <w:pPr>
        <w:jc w:val="both"/>
      </w:pPr>
    </w:p>
    <w:p w14:paraId="7B66FFE5" w14:textId="77777777" w:rsidR="0040300B" w:rsidRDefault="0040300B"/>
    <w:p w14:paraId="7B66FFE6" w14:textId="77777777" w:rsidR="0040300B" w:rsidRDefault="00BB2D44">
      <w:pPr>
        <w:ind w:hanging="360"/>
      </w:pPr>
      <w:r>
        <w:rPr>
          <w:rFonts w:ascii="Times New Roman" w:eastAsia="宋体" w:hAnsi="Times New Roman"/>
          <w:b/>
          <w:bCs/>
          <w:color w:val="000000"/>
          <w:sz w:val="20"/>
          <w:szCs w:val="20"/>
        </w:rPr>
        <w:t xml:space="preserve">14.Commitments and Contingencies </w:t>
      </w:r>
    </w:p>
    <w:p w14:paraId="7B66FFE7" w14:textId="77777777" w:rsidR="0040300B" w:rsidRDefault="00BB2D44">
      <w:pPr>
        <w:spacing w:before="120"/>
        <w:ind w:hanging="360"/>
      </w:pPr>
      <w:r>
        <w:rPr>
          <w:rFonts w:ascii="Times New Roman" w:eastAsia="宋体" w:hAnsi="Times New Roman"/>
          <w:b/>
          <w:bCs/>
          <w:color w:val="000000"/>
          <w:sz w:val="20"/>
          <w:szCs w:val="20"/>
        </w:rPr>
        <w:t>(a)Purchase Commitments with C</w:t>
      </w:r>
      <w:r>
        <w:rPr>
          <w:rFonts w:ascii="Times New Roman" w:eastAsia="宋体" w:hAnsi="Times New Roman"/>
          <w:b/>
          <w:bCs/>
          <w:color w:val="000000"/>
          <w:sz w:val="20"/>
          <w:szCs w:val="20"/>
        </w:rPr>
        <w:t xml:space="preserve">ontract Manufacturers and Suppliers </w:t>
      </w:r>
    </w:p>
    <w:p w14:paraId="7B66FFE8" w14:textId="77777777" w:rsidR="0040300B" w:rsidRDefault="00BB2D44">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w:t>
      </w:r>
      <w:r>
        <w:rPr>
          <w:rFonts w:ascii="Times New Roman" w:eastAsia="宋体" w:hAnsi="Times New Roman"/>
          <w:color w:val="000000"/>
          <w:sz w:val="20"/>
          <w:szCs w:val="20"/>
        </w:rPr>
        <w:t>nt supply, we enter into agreements with contract manufacturers and suppliers that either allow them to procure inventory based upon criteria as defined by us or establish the parameters defining our requirements. A significant portion of our reported purc</w:t>
      </w:r>
      <w:r>
        <w:rPr>
          <w:rFonts w:ascii="Times New Roman" w:eastAsia="宋体" w:hAnsi="Times New Roman"/>
          <w:color w:val="000000"/>
          <w:sz w:val="20"/>
          <w:szCs w:val="20"/>
        </w:rPr>
        <w:t>hase commitments arising from these agreements consists of firm, noncancelable, and unconditional commitments. Certain of these purchase commitments with contract manufacturers and suppliers relate to arrangements to secure long-term supply and pricing for</w:t>
      </w:r>
      <w:r>
        <w:rPr>
          <w:rFonts w:ascii="Times New Roman" w:eastAsia="宋体" w:hAnsi="Times New Roman"/>
          <w:color w:val="000000"/>
          <w:sz w:val="20"/>
          <w:szCs w:val="20"/>
        </w:rPr>
        <w:t xml:space="preserve"> certain product components for multi-year periods. In certain instances, these agreements allow us the option to cancel, reschedule, and adjust our requirements based on our business needs prior to firm orders being placed. </w:t>
      </w:r>
    </w:p>
    <w:p w14:paraId="7B66FFE9" w14:textId="77777777" w:rsidR="0040300B" w:rsidRDefault="00BB2D44">
      <w:pPr>
        <w:spacing w:before="120"/>
        <w:jc w:val="both"/>
      </w:pPr>
      <w:r>
        <w:rPr>
          <w:rFonts w:ascii="Times New Roman" w:eastAsia="宋体" w:hAnsi="Times New Roman"/>
          <w:color w:val="000000"/>
          <w:sz w:val="20"/>
          <w:szCs w:val="20"/>
        </w:rPr>
        <w:t>The following table summarizes</w:t>
      </w:r>
      <w:r>
        <w:rPr>
          <w:rFonts w:ascii="Times New Roman" w:eastAsia="宋体" w:hAnsi="Times New Roman"/>
          <w:color w:val="000000"/>
          <w:sz w:val="20"/>
          <w:szCs w:val="20"/>
        </w:rPr>
        <w:t xml:space="preserve"> our purchase commitments with contract manufacturers and suppliers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6"/>
        <w:gridCol w:w="120"/>
        <w:gridCol w:w="1085"/>
        <w:gridCol w:w="36"/>
        <w:gridCol w:w="36"/>
        <w:gridCol w:w="36"/>
        <w:gridCol w:w="36"/>
        <w:gridCol w:w="120"/>
        <w:gridCol w:w="1050"/>
        <w:gridCol w:w="36"/>
      </w:tblGrid>
      <w:tr w:rsidR="0040300B" w14:paraId="7B66FFF6" w14:textId="77777777">
        <w:tc>
          <w:tcPr>
            <w:tcW w:w="50" w:type="pct"/>
            <w:shd w:val="clear" w:color="auto" w:fill="auto"/>
          </w:tcPr>
          <w:p w14:paraId="7B66FFEA" w14:textId="77777777" w:rsidR="0040300B" w:rsidRDefault="0040300B">
            <w:pPr>
              <w:rPr>
                <w:rFonts w:ascii="宋体"/>
              </w:rPr>
            </w:pPr>
          </w:p>
        </w:tc>
        <w:tc>
          <w:tcPr>
            <w:tcW w:w="3442" w:type="pct"/>
            <w:shd w:val="clear" w:color="auto" w:fill="auto"/>
          </w:tcPr>
          <w:p w14:paraId="7B66FFEB" w14:textId="77777777" w:rsidR="0040300B" w:rsidRDefault="0040300B">
            <w:pPr>
              <w:rPr>
                <w:rFonts w:ascii="宋体"/>
              </w:rPr>
            </w:pPr>
          </w:p>
        </w:tc>
        <w:tc>
          <w:tcPr>
            <w:tcW w:w="5" w:type="pct"/>
            <w:shd w:val="clear" w:color="auto" w:fill="auto"/>
          </w:tcPr>
          <w:p w14:paraId="7B66FFEC" w14:textId="77777777" w:rsidR="0040300B" w:rsidRDefault="0040300B">
            <w:pPr>
              <w:rPr>
                <w:rFonts w:ascii="宋体"/>
              </w:rPr>
            </w:pPr>
          </w:p>
        </w:tc>
        <w:tc>
          <w:tcPr>
            <w:tcW w:w="50" w:type="pct"/>
            <w:shd w:val="clear" w:color="auto" w:fill="auto"/>
          </w:tcPr>
          <w:p w14:paraId="7B66FFED" w14:textId="77777777" w:rsidR="0040300B" w:rsidRDefault="0040300B">
            <w:pPr>
              <w:rPr>
                <w:rFonts w:ascii="宋体"/>
              </w:rPr>
            </w:pPr>
          </w:p>
        </w:tc>
        <w:tc>
          <w:tcPr>
            <w:tcW w:w="678" w:type="pct"/>
            <w:shd w:val="clear" w:color="auto" w:fill="auto"/>
          </w:tcPr>
          <w:p w14:paraId="7B66FFEE" w14:textId="77777777" w:rsidR="0040300B" w:rsidRDefault="0040300B">
            <w:pPr>
              <w:rPr>
                <w:rFonts w:ascii="宋体"/>
              </w:rPr>
            </w:pPr>
          </w:p>
        </w:tc>
        <w:tc>
          <w:tcPr>
            <w:tcW w:w="5" w:type="pct"/>
            <w:shd w:val="clear" w:color="auto" w:fill="auto"/>
          </w:tcPr>
          <w:p w14:paraId="7B66FFEF" w14:textId="77777777" w:rsidR="0040300B" w:rsidRDefault="0040300B">
            <w:pPr>
              <w:rPr>
                <w:rFonts w:ascii="宋体"/>
              </w:rPr>
            </w:pPr>
          </w:p>
        </w:tc>
        <w:tc>
          <w:tcPr>
            <w:tcW w:w="5" w:type="pct"/>
            <w:shd w:val="clear" w:color="auto" w:fill="auto"/>
          </w:tcPr>
          <w:p w14:paraId="7B66FFF0" w14:textId="77777777" w:rsidR="0040300B" w:rsidRDefault="0040300B">
            <w:pPr>
              <w:rPr>
                <w:rFonts w:ascii="宋体"/>
              </w:rPr>
            </w:pPr>
          </w:p>
        </w:tc>
        <w:tc>
          <w:tcPr>
            <w:tcW w:w="26" w:type="pct"/>
            <w:shd w:val="clear" w:color="auto" w:fill="auto"/>
          </w:tcPr>
          <w:p w14:paraId="7B66FFF1" w14:textId="77777777" w:rsidR="0040300B" w:rsidRDefault="0040300B">
            <w:pPr>
              <w:rPr>
                <w:rFonts w:ascii="宋体"/>
              </w:rPr>
            </w:pPr>
          </w:p>
        </w:tc>
        <w:tc>
          <w:tcPr>
            <w:tcW w:w="5" w:type="pct"/>
            <w:shd w:val="clear" w:color="auto" w:fill="auto"/>
          </w:tcPr>
          <w:p w14:paraId="7B66FFF2" w14:textId="77777777" w:rsidR="0040300B" w:rsidRDefault="0040300B">
            <w:pPr>
              <w:rPr>
                <w:rFonts w:ascii="宋体"/>
              </w:rPr>
            </w:pPr>
          </w:p>
        </w:tc>
        <w:tc>
          <w:tcPr>
            <w:tcW w:w="50" w:type="pct"/>
            <w:shd w:val="clear" w:color="auto" w:fill="auto"/>
          </w:tcPr>
          <w:p w14:paraId="7B66FFF3" w14:textId="77777777" w:rsidR="0040300B" w:rsidRDefault="0040300B">
            <w:pPr>
              <w:rPr>
                <w:rFonts w:ascii="宋体"/>
              </w:rPr>
            </w:pPr>
          </w:p>
        </w:tc>
        <w:tc>
          <w:tcPr>
            <w:tcW w:w="678" w:type="pct"/>
            <w:shd w:val="clear" w:color="auto" w:fill="auto"/>
          </w:tcPr>
          <w:p w14:paraId="7B66FFF4" w14:textId="77777777" w:rsidR="0040300B" w:rsidRDefault="0040300B">
            <w:pPr>
              <w:rPr>
                <w:rFonts w:ascii="宋体"/>
              </w:rPr>
            </w:pPr>
          </w:p>
        </w:tc>
        <w:tc>
          <w:tcPr>
            <w:tcW w:w="5" w:type="pct"/>
            <w:shd w:val="clear" w:color="auto" w:fill="auto"/>
          </w:tcPr>
          <w:p w14:paraId="7B66FFF5" w14:textId="77777777" w:rsidR="0040300B" w:rsidRDefault="0040300B">
            <w:pPr>
              <w:rPr>
                <w:rFonts w:ascii="宋体"/>
              </w:rPr>
            </w:pPr>
          </w:p>
        </w:tc>
      </w:tr>
      <w:tr w:rsidR="0040300B" w14:paraId="7B66FFFB" w14:textId="77777777">
        <w:tc>
          <w:tcPr>
            <w:tcW w:w="0" w:type="auto"/>
            <w:gridSpan w:val="3"/>
            <w:shd w:val="clear" w:color="auto" w:fill="auto"/>
            <w:tcMar>
              <w:top w:w="40" w:type="dxa"/>
              <w:left w:w="20" w:type="dxa"/>
              <w:bottom w:w="40" w:type="dxa"/>
              <w:right w:w="20" w:type="dxa"/>
            </w:tcMar>
            <w:vAlign w:val="bottom"/>
          </w:tcPr>
          <w:p w14:paraId="7B66FFF7" w14:textId="77777777" w:rsidR="0040300B" w:rsidRDefault="00BB2D44">
            <w:pPr>
              <w:textAlignment w:val="bottom"/>
            </w:pPr>
            <w:r>
              <w:rPr>
                <w:rFonts w:ascii="Times New Roman" w:eastAsia="宋体" w:hAnsi="Times New Roman"/>
                <w:color w:val="000000"/>
                <w:sz w:val="16"/>
                <w:szCs w:val="16"/>
                <w:u w:val="single"/>
              </w:rPr>
              <w:t>Commitments by Period</w:t>
            </w:r>
          </w:p>
        </w:tc>
        <w:tc>
          <w:tcPr>
            <w:tcW w:w="0" w:type="auto"/>
            <w:gridSpan w:val="3"/>
            <w:shd w:val="clear" w:color="auto" w:fill="auto"/>
            <w:tcMar>
              <w:top w:w="40" w:type="dxa"/>
              <w:left w:w="20" w:type="dxa"/>
              <w:bottom w:w="40" w:type="dxa"/>
              <w:right w:w="20" w:type="dxa"/>
            </w:tcMar>
            <w:vAlign w:val="bottom"/>
          </w:tcPr>
          <w:p w14:paraId="7B66FFF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6FFF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6FFFA"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70004" w14:textId="77777777">
        <w:tc>
          <w:tcPr>
            <w:tcW w:w="0" w:type="auto"/>
            <w:gridSpan w:val="3"/>
            <w:shd w:val="clear" w:color="auto" w:fill="CCEEFF"/>
            <w:tcMar>
              <w:top w:w="40" w:type="dxa"/>
              <w:left w:w="35" w:type="dxa"/>
              <w:bottom w:w="40" w:type="dxa"/>
              <w:right w:w="20" w:type="dxa"/>
            </w:tcMar>
          </w:tcPr>
          <w:p w14:paraId="7B66FFFC" w14:textId="77777777" w:rsidR="0040300B" w:rsidRDefault="00BB2D44">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7B66FFF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6FFFE" w14:textId="77777777" w:rsidR="0040300B" w:rsidRDefault="00BB2D44">
            <w:pPr>
              <w:jc w:val="right"/>
              <w:textAlignment w:val="bottom"/>
            </w:pPr>
            <w:r>
              <w:rPr>
                <w:rFonts w:ascii="Times New Roman" w:eastAsia="宋体" w:hAnsi="Times New Roman"/>
                <w:color w:val="000000"/>
                <w:sz w:val="20"/>
                <w:szCs w:val="20"/>
              </w:rPr>
              <w:t>6,461 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6FFF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0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00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002" w14:textId="77777777" w:rsidR="0040300B" w:rsidRDefault="00BB2D44">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003" w14:textId="77777777" w:rsidR="0040300B" w:rsidRDefault="0040300B">
            <w:pPr>
              <w:jc w:val="right"/>
              <w:rPr>
                <w:rFonts w:ascii="宋体"/>
              </w:rPr>
            </w:pPr>
          </w:p>
        </w:tc>
      </w:tr>
      <w:tr w:rsidR="0040300B" w14:paraId="7B67000B" w14:textId="77777777">
        <w:tc>
          <w:tcPr>
            <w:tcW w:w="0" w:type="auto"/>
            <w:gridSpan w:val="3"/>
            <w:shd w:val="clear" w:color="auto" w:fill="FFFFFF"/>
            <w:tcMar>
              <w:top w:w="40" w:type="dxa"/>
              <w:left w:w="35" w:type="dxa"/>
              <w:bottom w:w="40" w:type="dxa"/>
              <w:right w:w="20" w:type="dxa"/>
            </w:tcMar>
            <w:vAlign w:val="bottom"/>
          </w:tcPr>
          <w:p w14:paraId="7B670005" w14:textId="77777777" w:rsidR="0040300B" w:rsidRDefault="00BB2D44">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7B670006" w14:textId="77777777" w:rsidR="0040300B" w:rsidRDefault="00BB2D44">
            <w:pPr>
              <w:jc w:val="right"/>
              <w:textAlignment w:val="bottom"/>
            </w:pPr>
            <w:r>
              <w:rPr>
                <w:rFonts w:ascii="Times New Roman" w:eastAsia="宋体" w:hAnsi="Times New Roman"/>
                <w:color w:val="000000"/>
                <w:sz w:val="20"/>
                <w:szCs w:val="20"/>
              </w:rPr>
              <w:t>1,615 </w:t>
            </w:r>
          </w:p>
        </w:tc>
        <w:tc>
          <w:tcPr>
            <w:tcW w:w="0" w:type="auto"/>
            <w:shd w:val="clear" w:color="auto" w:fill="FFFFFF"/>
            <w:tcMar>
              <w:top w:w="40" w:type="dxa"/>
              <w:left w:w="0" w:type="dxa"/>
              <w:bottom w:w="40" w:type="dxa"/>
              <w:right w:w="20" w:type="dxa"/>
            </w:tcMar>
            <w:vAlign w:val="bottom"/>
          </w:tcPr>
          <w:p w14:paraId="7B67000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00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009" w14:textId="77777777" w:rsidR="0040300B" w:rsidRDefault="00BB2D44">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7B67000A" w14:textId="77777777" w:rsidR="0040300B" w:rsidRDefault="0040300B">
            <w:pPr>
              <w:jc w:val="right"/>
              <w:rPr>
                <w:rFonts w:ascii="宋体"/>
              </w:rPr>
            </w:pPr>
          </w:p>
        </w:tc>
      </w:tr>
      <w:tr w:rsidR="0040300B" w14:paraId="7B670012" w14:textId="77777777">
        <w:tc>
          <w:tcPr>
            <w:tcW w:w="0" w:type="auto"/>
            <w:gridSpan w:val="3"/>
            <w:shd w:val="clear" w:color="auto" w:fill="CCEEFF"/>
            <w:tcMar>
              <w:top w:w="40" w:type="dxa"/>
              <w:left w:w="35" w:type="dxa"/>
              <w:bottom w:w="40" w:type="dxa"/>
              <w:right w:w="20" w:type="dxa"/>
            </w:tcMar>
          </w:tcPr>
          <w:p w14:paraId="7B67000C" w14:textId="77777777" w:rsidR="0040300B" w:rsidRDefault="00BB2D44">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7B67000D" w14:textId="77777777" w:rsidR="0040300B" w:rsidRDefault="00BB2D44">
            <w:pPr>
              <w:jc w:val="right"/>
              <w:textAlignment w:val="bottom"/>
            </w:pPr>
            <w:r>
              <w:rPr>
                <w:rFonts w:ascii="Times New Roman" w:eastAsia="宋体" w:hAnsi="Times New Roman"/>
                <w:color w:val="000000"/>
                <w:sz w:val="20"/>
                <w:szCs w:val="20"/>
              </w:rPr>
              <w:t>1,733 </w:t>
            </w:r>
          </w:p>
        </w:tc>
        <w:tc>
          <w:tcPr>
            <w:tcW w:w="0" w:type="auto"/>
            <w:shd w:val="clear" w:color="auto" w:fill="CCEEFF"/>
            <w:tcMar>
              <w:top w:w="40" w:type="dxa"/>
              <w:left w:w="0" w:type="dxa"/>
              <w:bottom w:w="40" w:type="dxa"/>
              <w:right w:w="20" w:type="dxa"/>
            </w:tcMar>
            <w:vAlign w:val="bottom"/>
          </w:tcPr>
          <w:p w14:paraId="7B67000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0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01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0011" w14:textId="77777777" w:rsidR="0040300B" w:rsidRDefault="0040300B">
            <w:pPr>
              <w:jc w:val="right"/>
              <w:rPr>
                <w:rFonts w:ascii="宋体"/>
              </w:rPr>
            </w:pPr>
          </w:p>
        </w:tc>
      </w:tr>
      <w:tr w:rsidR="0040300B" w14:paraId="7B67001B" w14:textId="77777777">
        <w:tc>
          <w:tcPr>
            <w:tcW w:w="0" w:type="auto"/>
            <w:gridSpan w:val="3"/>
            <w:shd w:val="clear" w:color="auto" w:fill="FFFFFF"/>
            <w:tcMar>
              <w:top w:w="40" w:type="dxa"/>
              <w:left w:w="380" w:type="dxa"/>
              <w:bottom w:w="40" w:type="dxa"/>
              <w:right w:w="20" w:type="dxa"/>
            </w:tcMar>
          </w:tcPr>
          <w:p w14:paraId="7B670013"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01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015" w14:textId="77777777" w:rsidR="0040300B" w:rsidRDefault="00BB2D44">
            <w:pPr>
              <w:jc w:val="right"/>
              <w:textAlignment w:val="bottom"/>
            </w:pPr>
            <w:r>
              <w:rPr>
                <w:rFonts w:ascii="Times New Roman" w:eastAsia="宋体" w:hAnsi="Times New Roman"/>
                <w:color w:val="000000"/>
                <w:sz w:val="20"/>
                <w:szCs w:val="20"/>
              </w:rPr>
              <w:t>9,809 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01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017"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01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019" w14:textId="77777777" w:rsidR="0040300B" w:rsidRDefault="00BB2D44">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01A" w14:textId="77777777" w:rsidR="0040300B" w:rsidRDefault="0040300B">
            <w:pPr>
              <w:jc w:val="right"/>
              <w:rPr>
                <w:rFonts w:ascii="宋体"/>
              </w:rPr>
            </w:pPr>
          </w:p>
        </w:tc>
      </w:tr>
    </w:tbl>
    <w:p w14:paraId="7B67001C" w14:textId="77777777" w:rsidR="0040300B" w:rsidRDefault="00BB2D44">
      <w:pPr>
        <w:spacing w:before="120"/>
        <w:jc w:val="both"/>
      </w:pPr>
      <w:r>
        <w:rPr>
          <w:rFonts w:ascii="Times New Roman" w:eastAsia="宋体" w:hAnsi="Times New Roman"/>
          <w:color w:val="000000"/>
          <w:sz w:val="20"/>
          <w:szCs w:val="20"/>
        </w:rPr>
        <w:t xml:space="preserve">We record a liability for firm, noncancelable, and unconditional purchase commitments for quantities in excess of our future demand forecasts consistent with the valuation of our excess and obsolete inventory. As of May 1, 2021 and </w:t>
      </w:r>
      <w:r>
        <w:rPr>
          <w:rFonts w:ascii="Times New Roman" w:eastAsia="宋体" w:hAnsi="Times New Roman"/>
          <w:color w:val="000000"/>
          <w:sz w:val="20"/>
          <w:szCs w:val="20"/>
        </w:rPr>
        <w:t>July 25, 2020, the liability for these purchase commitments was $129 million and $141 million, respectively, and was included in other current liabilities. The provision for the liability related to purchase commitments with contract manufacturers and supp</w:t>
      </w:r>
      <w:r>
        <w:rPr>
          <w:rFonts w:ascii="Times New Roman" w:eastAsia="宋体" w:hAnsi="Times New Roman"/>
          <w:color w:val="000000"/>
          <w:sz w:val="20"/>
          <w:szCs w:val="20"/>
        </w:rPr>
        <w:t>liers was $35 million and $131 million for the first nine months of fiscal 2021 and 2020, respectively.</w:t>
      </w:r>
    </w:p>
    <w:p w14:paraId="7B67001D" w14:textId="77777777" w:rsidR="0040300B" w:rsidRDefault="00BB2D44">
      <w:pPr>
        <w:jc w:val="center"/>
      </w:pPr>
      <w:r>
        <w:rPr>
          <w:rFonts w:ascii="Times New Roman" w:eastAsia="宋体" w:hAnsi="Times New Roman"/>
          <w:color w:val="000000"/>
          <w:sz w:val="20"/>
          <w:szCs w:val="20"/>
        </w:rPr>
        <w:t>31</w:t>
      </w:r>
    </w:p>
    <w:p w14:paraId="7B67001E" w14:textId="77777777" w:rsidR="0040300B" w:rsidRDefault="00BB2D44">
      <w:r>
        <w:pict w14:anchorId="7B671C2F">
          <v:rect id="_x0000_i1055" style="width:415.3pt;height:1.5pt" o:hralign="center" o:hrstd="t" o:hr="t" fillcolor="#a0a0a0" stroked="f"/>
        </w:pict>
      </w:r>
    </w:p>
    <w:p w14:paraId="7B67001F" w14:textId="77777777" w:rsidR="0040300B" w:rsidRDefault="00BB2D44">
      <w:hyperlink r:id="rId77" w:anchor="i52d5b40dbad7426a9806a2fd5167029f_7" w:history="1">
        <w:r>
          <w:rPr>
            <w:rStyle w:val="a5"/>
            <w:rFonts w:ascii="Times New Roman" w:eastAsia="宋体" w:hAnsi="Times New Roman"/>
            <w:sz w:val="18"/>
            <w:szCs w:val="18"/>
          </w:rPr>
          <w:t>Table of Contents</w:t>
        </w:r>
      </w:hyperlink>
    </w:p>
    <w:p w14:paraId="7B670020" w14:textId="77777777" w:rsidR="0040300B" w:rsidRDefault="00BB2D44">
      <w:pPr>
        <w:jc w:val="center"/>
      </w:pPr>
      <w:r>
        <w:rPr>
          <w:rFonts w:ascii="Times New Roman" w:eastAsia="宋体" w:hAnsi="Times New Roman"/>
          <w:b/>
          <w:bCs/>
          <w:color w:val="000000"/>
          <w:sz w:val="18"/>
          <w:szCs w:val="18"/>
        </w:rPr>
        <w:t>CISCO SYSTEMS, INC.</w:t>
      </w:r>
    </w:p>
    <w:p w14:paraId="7B670021"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022" w14:textId="77777777" w:rsidR="0040300B" w:rsidRDefault="00BB2D44">
      <w:pPr>
        <w:jc w:val="center"/>
      </w:pPr>
      <w:r>
        <w:rPr>
          <w:rFonts w:ascii="Times New Roman" w:eastAsia="宋体" w:hAnsi="Times New Roman"/>
          <w:b/>
          <w:bCs/>
          <w:color w:val="000000"/>
          <w:sz w:val="18"/>
          <w:szCs w:val="18"/>
        </w:rPr>
        <w:t xml:space="preserve">(Unaudited) </w:t>
      </w:r>
    </w:p>
    <w:p w14:paraId="7B670023" w14:textId="77777777" w:rsidR="0040300B" w:rsidRDefault="0040300B">
      <w:pPr>
        <w:jc w:val="center"/>
      </w:pPr>
    </w:p>
    <w:p w14:paraId="7B670024" w14:textId="77777777" w:rsidR="0040300B" w:rsidRDefault="0040300B">
      <w:pPr>
        <w:spacing w:before="120"/>
        <w:jc w:val="both"/>
      </w:pPr>
    </w:p>
    <w:p w14:paraId="7B670025" w14:textId="77777777" w:rsidR="0040300B" w:rsidRDefault="00BB2D44">
      <w:pPr>
        <w:spacing w:before="120"/>
        <w:ind w:hanging="360"/>
        <w:jc w:val="both"/>
      </w:pPr>
      <w:r>
        <w:rPr>
          <w:rFonts w:ascii="Times New Roman" w:eastAsia="宋体" w:hAnsi="Times New Roman"/>
          <w:b/>
          <w:bCs/>
          <w:color w:val="000000"/>
          <w:sz w:val="20"/>
          <w:szCs w:val="20"/>
        </w:rPr>
        <w:t>(b)Other Commitments</w:t>
      </w:r>
    </w:p>
    <w:p w14:paraId="7B670026" w14:textId="77777777" w:rsidR="0040300B" w:rsidRDefault="00BB2D44">
      <w:pPr>
        <w:spacing w:before="120"/>
        <w:jc w:val="both"/>
      </w:pPr>
      <w:r>
        <w:rPr>
          <w:rFonts w:ascii="Times New Roman" w:eastAsia="宋体" w:hAnsi="Times New Roman"/>
          <w:color w:val="000000"/>
          <w:sz w:val="20"/>
          <w:szCs w:val="20"/>
        </w:rPr>
        <w:t xml:space="preserve">In connection with our acquisitions, we have agreed to pay certain additional amounts contingent upon the achievement of certain agreed-upon technology, development, product, or other milestones or upon the continued employment with </w:t>
      </w:r>
      <w:r>
        <w:rPr>
          <w:rFonts w:ascii="Times New Roman" w:eastAsia="宋体" w:hAnsi="Times New Roman"/>
          <w:color w:val="000000"/>
          <w:sz w:val="20"/>
          <w:szCs w:val="20"/>
        </w:rPr>
        <w:t xml:space="preserve">Cisco of certain employees of the acquired entities. </w:t>
      </w:r>
    </w:p>
    <w:p w14:paraId="7B670027" w14:textId="77777777" w:rsidR="0040300B" w:rsidRDefault="00BB2D44">
      <w:pPr>
        <w:spacing w:before="120"/>
      </w:pPr>
      <w:r>
        <w:rPr>
          <w:rFonts w:ascii="Times New Roman" w:eastAsia="宋体" w:hAnsi="Times New Roman"/>
          <w:color w:val="000000"/>
          <w:sz w:val="20"/>
          <w:szCs w:val="20"/>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452"/>
        <w:gridCol w:w="36"/>
        <w:gridCol w:w="120"/>
        <w:gridCol w:w="747"/>
        <w:gridCol w:w="36"/>
        <w:gridCol w:w="36"/>
        <w:gridCol w:w="36"/>
        <w:gridCol w:w="36"/>
        <w:gridCol w:w="121"/>
        <w:gridCol w:w="704"/>
        <w:gridCol w:w="37"/>
        <w:gridCol w:w="36"/>
        <w:gridCol w:w="36"/>
        <w:gridCol w:w="36"/>
        <w:gridCol w:w="120"/>
        <w:gridCol w:w="704"/>
        <w:gridCol w:w="36"/>
        <w:gridCol w:w="36"/>
        <w:gridCol w:w="36"/>
        <w:gridCol w:w="36"/>
        <w:gridCol w:w="120"/>
        <w:gridCol w:w="706"/>
        <w:gridCol w:w="36"/>
      </w:tblGrid>
      <w:tr w:rsidR="0040300B" w14:paraId="7B670040" w14:textId="77777777">
        <w:trPr>
          <w:jc w:val="center"/>
        </w:trPr>
        <w:tc>
          <w:tcPr>
            <w:tcW w:w="50" w:type="pct"/>
            <w:shd w:val="clear" w:color="auto" w:fill="auto"/>
          </w:tcPr>
          <w:p w14:paraId="7B670028" w14:textId="77777777" w:rsidR="0040300B" w:rsidRDefault="0040300B">
            <w:pPr>
              <w:rPr>
                <w:rFonts w:ascii="宋体"/>
              </w:rPr>
            </w:pPr>
          </w:p>
        </w:tc>
        <w:tc>
          <w:tcPr>
            <w:tcW w:w="2700" w:type="pct"/>
            <w:shd w:val="clear" w:color="auto" w:fill="auto"/>
          </w:tcPr>
          <w:p w14:paraId="7B670029" w14:textId="77777777" w:rsidR="0040300B" w:rsidRDefault="0040300B">
            <w:pPr>
              <w:rPr>
                <w:rFonts w:ascii="宋体"/>
              </w:rPr>
            </w:pPr>
          </w:p>
        </w:tc>
        <w:tc>
          <w:tcPr>
            <w:tcW w:w="5" w:type="pct"/>
            <w:shd w:val="clear" w:color="auto" w:fill="auto"/>
          </w:tcPr>
          <w:p w14:paraId="7B67002A" w14:textId="77777777" w:rsidR="0040300B" w:rsidRDefault="0040300B">
            <w:pPr>
              <w:rPr>
                <w:rFonts w:ascii="宋体"/>
              </w:rPr>
            </w:pPr>
          </w:p>
        </w:tc>
        <w:tc>
          <w:tcPr>
            <w:tcW w:w="50" w:type="pct"/>
            <w:shd w:val="clear" w:color="auto" w:fill="auto"/>
          </w:tcPr>
          <w:p w14:paraId="7B67002B" w14:textId="77777777" w:rsidR="0040300B" w:rsidRDefault="0040300B">
            <w:pPr>
              <w:rPr>
                <w:rFonts w:ascii="宋体"/>
              </w:rPr>
            </w:pPr>
          </w:p>
        </w:tc>
        <w:tc>
          <w:tcPr>
            <w:tcW w:w="478" w:type="pct"/>
            <w:shd w:val="clear" w:color="auto" w:fill="auto"/>
          </w:tcPr>
          <w:p w14:paraId="7B67002C" w14:textId="77777777" w:rsidR="0040300B" w:rsidRDefault="0040300B">
            <w:pPr>
              <w:rPr>
                <w:rFonts w:ascii="宋体"/>
              </w:rPr>
            </w:pPr>
          </w:p>
        </w:tc>
        <w:tc>
          <w:tcPr>
            <w:tcW w:w="5" w:type="pct"/>
            <w:shd w:val="clear" w:color="auto" w:fill="auto"/>
          </w:tcPr>
          <w:p w14:paraId="7B67002D" w14:textId="77777777" w:rsidR="0040300B" w:rsidRDefault="0040300B">
            <w:pPr>
              <w:rPr>
                <w:rFonts w:ascii="宋体"/>
              </w:rPr>
            </w:pPr>
          </w:p>
        </w:tc>
        <w:tc>
          <w:tcPr>
            <w:tcW w:w="5" w:type="pct"/>
            <w:shd w:val="clear" w:color="auto" w:fill="auto"/>
          </w:tcPr>
          <w:p w14:paraId="7B67002E" w14:textId="77777777" w:rsidR="0040300B" w:rsidRDefault="0040300B">
            <w:pPr>
              <w:rPr>
                <w:rFonts w:ascii="宋体"/>
              </w:rPr>
            </w:pPr>
          </w:p>
        </w:tc>
        <w:tc>
          <w:tcPr>
            <w:tcW w:w="26" w:type="pct"/>
            <w:shd w:val="clear" w:color="auto" w:fill="auto"/>
          </w:tcPr>
          <w:p w14:paraId="7B67002F" w14:textId="77777777" w:rsidR="0040300B" w:rsidRDefault="0040300B">
            <w:pPr>
              <w:rPr>
                <w:rFonts w:ascii="宋体"/>
              </w:rPr>
            </w:pPr>
          </w:p>
        </w:tc>
        <w:tc>
          <w:tcPr>
            <w:tcW w:w="5" w:type="pct"/>
            <w:shd w:val="clear" w:color="auto" w:fill="auto"/>
          </w:tcPr>
          <w:p w14:paraId="7B670030" w14:textId="77777777" w:rsidR="0040300B" w:rsidRDefault="0040300B">
            <w:pPr>
              <w:rPr>
                <w:rFonts w:ascii="宋体"/>
              </w:rPr>
            </w:pPr>
          </w:p>
        </w:tc>
        <w:tc>
          <w:tcPr>
            <w:tcW w:w="50" w:type="pct"/>
            <w:shd w:val="clear" w:color="auto" w:fill="auto"/>
          </w:tcPr>
          <w:p w14:paraId="7B670031" w14:textId="77777777" w:rsidR="0040300B" w:rsidRDefault="0040300B">
            <w:pPr>
              <w:rPr>
                <w:rFonts w:ascii="宋体"/>
              </w:rPr>
            </w:pPr>
          </w:p>
        </w:tc>
        <w:tc>
          <w:tcPr>
            <w:tcW w:w="478" w:type="pct"/>
            <w:shd w:val="clear" w:color="auto" w:fill="auto"/>
          </w:tcPr>
          <w:p w14:paraId="7B670032" w14:textId="77777777" w:rsidR="0040300B" w:rsidRDefault="0040300B">
            <w:pPr>
              <w:rPr>
                <w:rFonts w:ascii="宋体"/>
              </w:rPr>
            </w:pPr>
          </w:p>
        </w:tc>
        <w:tc>
          <w:tcPr>
            <w:tcW w:w="5" w:type="pct"/>
            <w:shd w:val="clear" w:color="auto" w:fill="auto"/>
          </w:tcPr>
          <w:p w14:paraId="7B670033" w14:textId="77777777" w:rsidR="0040300B" w:rsidRDefault="0040300B">
            <w:pPr>
              <w:rPr>
                <w:rFonts w:ascii="宋体"/>
              </w:rPr>
            </w:pPr>
          </w:p>
        </w:tc>
        <w:tc>
          <w:tcPr>
            <w:tcW w:w="5" w:type="pct"/>
            <w:shd w:val="clear" w:color="auto" w:fill="auto"/>
          </w:tcPr>
          <w:p w14:paraId="7B670034" w14:textId="77777777" w:rsidR="0040300B" w:rsidRDefault="0040300B">
            <w:pPr>
              <w:rPr>
                <w:rFonts w:ascii="宋体"/>
              </w:rPr>
            </w:pPr>
          </w:p>
        </w:tc>
        <w:tc>
          <w:tcPr>
            <w:tcW w:w="26" w:type="pct"/>
            <w:shd w:val="clear" w:color="auto" w:fill="auto"/>
          </w:tcPr>
          <w:p w14:paraId="7B670035" w14:textId="77777777" w:rsidR="0040300B" w:rsidRDefault="0040300B">
            <w:pPr>
              <w:rPr>
                <w:rFonts w:ascii="宋体"/>
              </w:rPr>
            </w:pPr>
          </w:p>
        </w:tc>
        <w:tc>
          <w:tcPr>
            <w:tcW w:w="5" w:type="pct"/>
            <w:shd w:val="clear" w:color="auto" w:fill="auto"/>
          </w:tcPr>
          <w:p w14:paraId="7B670036" w14:textId="77777777" w:rsidR="0040300B" w:rsidRDefault="0040300B">
            <w:pPr>
              <w:rPr>
                <w:rFonts w:ascii="宋体"/>
              </w:rPr>
            </w:pPr>
          </w:p>
        </w:tc>
        <w:tc>
          <w:tcPr>
            <w:tcW w:w="50" w:type="pct"/>
            <w:shd w:val="clear" w:color="auto" w:fill="auto"/>
          </w:tcPr>
          <w:p w14:paraId="7B670037" w14:textId="77777777" w:rsidR="0040300B" w:rsidRDefault="0040300B">
            <w:pPr>
              <w:rPr>
                <w:rFonts w:ascii="宋体"/>
              </w:rPr>
            </w:pPr>
          </w:p>
        </w:tc>
        <w:tc>
          <w:tcPr>
            <w:tcW w:w="478" w:type="pct"/>
            <w:shd w:val="clear" w:color="auto" w:fill="auto"/>
          </w:tcPr>
          <w:p w14:paraId="7B670038" w14:textId="77777777" w:rsidR="0040300B" w:rsidRDefault="0040300B">
            <w:pPr>
              <w:rPr>
                <w:rFonts w:ascii="宋体"/>
              </w:rPr>
            </w:pPr>
          </w:p>
        </w:tc>
        <w:tc>
          <w:tcPr>
            <w:tcW w:w="5" w:type="pct"/>
            <w:shd w:val="clear" w:color="auto" w:fill="auto"/>
          </w:tcPr>
          <w:p w14:paraId="7B670039" w14:textId="77777777" w:rsidR="0040300B" w:rsidRDefault="0040300B">
            <w:pPr>
              <w:rPr>
                <w:rFonts w:ascii="宋体"/>
              </w:rPr>
            </w:pPr>
          </w:p>
        </w:tc>
        <w:tc>
          <w:tcPr>
            <w:tcW w:w="5" w:type="pct"/>
            <w:shd w:val="clear" w:color="auto" w:fill="auto"/>
          </w:tcPr>
          <w:p w14:paraId="7B67003A" w14:textId="77777777" w:rsidR="0040300B" w:rsidRDefault="0040300B">
            <w:pPr>
              <w:rPr>
                <w:rFonts w:ascii="宋体"/>
              </w:rPr>
            </w:pPr>
          </w:p>
        </w:tc>
        <w:tc>
          <w:tcPr>
            <w:tcW w:w="26" w:type="pct"/>
            <w:shd w:val="clear" w:color="auto" w:fill="auto"/>
          </w:tcPr>
          <w:p w14:paraId="7B67003B" w14:textId="77777777" w:rsidR="0040300B" w:rsidRDefault="0040300B">
            <w:pPr>
              <w:rPr>
                <w:rFonts w:ascii="宋体"/>
              </w:rPr>
            </w:pPr>
          </w:p>
        </w:tc>
        <w:tc>
          <w:tcPr>
            <w:tcW w:w="5" w:type="pct"/>
            <w:shd w:val="clear" w:color="auto" w:fill="auto"/>
          </w:tcPr>
          <w:p w14:paraId="7B67003C" w14:textId="77777777" w:rsidR="0040300B" w:rsidRDefault="0040300B">
            <w:pPr>
              <w:rPr>
                <w:rFonts w:ascii="宋体"/>
              </w:rPr>
            </w:pPr>
          </w:p>
        </w:tc>
        <w:tc>
          <w:tcPr>
            <w:tcW w:w="50" w:type="pct"/>
            <w:shd w:val="clear" w:color="auto" w:fill="auto"/>
          </w:tcPr>
          <w:p w14:paraId="7B67003D" w14:textId="77777777" w:rsidR="0040300B" w:rsidRDefault="0040300B">
            <w:pPr>
              <w:rPr>
                <w:rFonts w:ascii="宋体"/>
              </w:rPr>
            </w:pPr>
          </w:p>
        </w:tc>
        <w:tc>
          <w:tcPr>
            <w:tcW w:w="478" w:type="pct"/>
            <w:shd w:val="clear" w:color="auto" w:fill="auto"/>
          </w:tcPr>
          <w:p w14:paraId="7B67003E" w14:textId="77777777" w:rsidR="0040300B" w:rsidRDefault="0040300B">
            <w:pPr>
              <w:rPr>
                <w:rFonts w:ascii="宋体"/>
              </w:rPr>
            </w:pPr>
          </w:p>
        </w:tc>
        <w:tc>
          <w:tcPr>
            <w:tcW w:w="5" w:type="pct"/>
            <w:shd w:val="clear" w:color="auto" w:fill="auto"/>
          </w:tcPr>
          <w:p w14:paraId="7B67003F" w14:textId="77777777" w:rsidR="0040300B" w:rsidRDefault="0040300B">
            <w:pPr>
              <w:rPr>
                <w:rFonts w:ascii="宋体"/>
              </w:rPr>
            </w:pPr>
          </w:p>
        </w:tc>
      </w:tr>
      <w:tr w:rsidR="0040300B" w14:paraId="7B670045" w14:textId="77777777">
        <w:trPr>
          <w:jc w:val="center"/>
        </w:trPr>
        <w:tc>
          <w:tcPr>
            <w:tcW w:w="0" w:type="auto"/>
            <w:gridSpan w:val="3"/>
            <w:shd w:val="clear" w:color="auto" w:fill="auto"/>
            <w:tcMar>
              <w:top w:w="0" w:type="dxa"/>
              <w:left w:w="20" w:type="dxa"/>
              <w:bottom w:w="0" w:type="dxa"/>
              <w:right w:w="20" w:type="dxa"/>
            </w:tcMar>
          </w:tcPr>
          <w:p w14:paraId="7B670041"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04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043"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04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04E" w14:textId="77777777">
        <w:trPr>
          <w:jc w:val="center"/>
        </w:trPr>
        <w:tc>
          <w:tcPr>
            <w:tcW w:w="0" w:type="auto"/>
            <w:gridSpan w:val="3"/>
            <w:shd w:val="clear" w:color="auto" w:fill="auto"/>
            <w:tcMar>
              <w:top w:w="0" w:type="dxa"/>
              <w:left w:w="20" w:type="dxa"/>
              <w:bottom w:w="0" w:type="dxa"/>
              <w:right w:w="20" w:type="dxa"/>
            </w:tcMar>
          </w:tcPr>
          <w:p w14:paraId="7B67004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47"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04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49"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7004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4B"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04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4D"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7005F" w14:textId="77777777">
        <w:trPr>
          <w:jc w:val="center"/>
        </w:trPr>
        <w:tc>
          <w:tcPr>
            <w:tcW w:w="0" w:type="auto"/>
            <w:gridSpan w:val="3"/>
            <w:shd w:val="clear" w:color="auto" w:fill="CCEEFF"/>
            <w:tcMar>
              <w:top w:w="40" w:type="dxa"/>
              <w:left w:w="20" w:type="dxa"/>
              <w:bottom w:w="40" w:type="dxa"/>
              <w:right w:w="20" w:type="dxa"/>
            </w:tcMar>
          </w:tcPr>
          <w:p w14:paraId="7B67004F" w14:textId="77777777" w:rsidR="0040300B" w:rsidRDefault="00BB2D44">
            <w:pPr>
              <w:textAlignment w:val="top"/>
            </w:pPr>
            <w:r>
              <w:rPr>
                <w:rFonts w:ascii="Times New Roman" w:eastAsia="宋体" w:hAnsi="Times New Roman"/>
                <w:color w:val="000000"/>
                <w:sz w:val="20"/>
                <w:szCs w:val="20"/>
              </w:rPr>
              <w:t>Compensation expense related to acquisitions</w:t>
            </w:r>
          </w:p>
        </w:tc>
        <w:tc>
          <w:tcPr>
            <w:tcW w:w="0" w:type="auto"/>
            <w:tcBorders>
              <w:top w:val="single" w:sz="8" w:space="0" w:color="000000"/>
            </w:tcBorders>
            <w:shd w:val="clear" w:color="auto" w:fill="CCEEFF"/>
            <w:tcMar>
              <w:top w:w="40" w:type="dxa"/>
              <w:left w:w="20" w:type="dxa"/>
              <w:bottom w:w="40" w:type="dxa"/>
              <w:right w:w="0" w:type="dxa"/>
            </w:tcMar>
          </w:tcPr>
          <w:p w14:paraId="7B670050" w14:textId="77777777" w:rsidR="0040300B" w:rsidRDefault="00BB2D4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B670051" w14:textId="77777777" w:rsidR="0040300B" w:rsidRDefault="00BB2D44">
            <w:pPr>
              <w:jc w:val="right"/>
              <w:textAlignment w:val="top"/>
            </w:pPr>
            <w:r>
              <w:rPr>
                <w:rFonts w:ascii="Times New Roman" w:eastAsia="宋体" w:hAnsi="Times New Roman"/>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tcPr>
          <w:p w14:paraId="7B67005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5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7B670054" w14:textId="77777777" w:rsidR="0040300B" w:rsidRDefault="00BB2D4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B670055" w14:textId="77777777" w:rsidR="0040300B" w:rsidRDefault="00BB2D44">
            <w:pPr>
              <w:jc w:val="right"/>
              <w:textAlignment w:val="top"/>
            </w:pPr>
            <w:r>
              <w:rPr>
                <w:rFonts w:ascii="Times New Roman" w:eastAsia="宋体" w:hAnsi="Times New Roman"/>
                <w:color w:val="000000"/>
                <w:sz w:val="20"/>
                <w:szCs w:val="20"/>
              </w:rPr>
              <w:t>61 </w:t>
            </w:r>
          </w:p>
        </w:tc>
        <w:tc>
          <w:tcPr>
            <w:tcW w:w="0" w:type="auto"/>
            <w:tcBorders>
              <w:top w:val="single" w:sz="8" w:space="0" w:color="000000"/>
            </w:tcBorders>
            <w:shd w:val="clear" w:color="auto" w:fill="CCEEFF"/>
            <w:tcMar>
              <w:top w:w="40" w:type="dxa"/>
              <w:left w:w="0" w:type="dxa"/>
              <w:bottom w:w="40" w:type="dxa"/>
              <w:right w:w="20" w:type="dxa"/>
            </w:tcMar>
          </w:tcPr>
          <w:p w14:paraId="7B67005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5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7B670058" w14:textId="77777777" w:rsidR="0040300B" w:rsidRDefault="00BB2D4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B670059" w14:textId="77777777" w:rsidR="0040300B" w:rsidRDefault="00BB2D44">
            <w:pPr>
              <w:jc w:val="right"/>
              <w:textAlignment w:val="top"/>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tcPr>
          <w:p w14:paraId="7B67005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5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7B67005C" w14:textId="77777777" w:rsidR="0040300B" w:rsidRDefault="00BB2D4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7B67005D" w14:textId="77777777" w:rsidR="0040300B" w:rsidRDefault="00BB2D44">
            <w:pPr>
              <w:jc w:val="right"/>
              <w:textAlignment w:val="top"/>
            </w:pPr>
            <w:r>
              <w:rPr>
                <w:rFonts w:ascii="Times New Roman" w:eastAsia="宋体" w:hAnsi="Times New Roman"/>
                <w:color w:val="000000"/>
                <w:sz w:val="20"/>
                <w:szCs w:val="20"/>
              </w:rPr>
              <w:t>172 </w:t>
            </w:r>
          </w:p>
        </w:tc>
        <w:tc>
          <w:tcPr>
            <w:tcW w:w="0" w:type="auto"/>
            <w:tcBorders>
              <w:top w:val="single" w:sz="8" w:space="0" w:color="000000"/>
            </w:tcBorders>
            <w:shd w:val="clear" w:color="auto" w:fill="CCEEFF"/>
            <w:tcMar>
              <w:top w:w="40" w:type="dxa"/>
              <w:left w:w="0" w:type="dxa"/>
              <w:bottom w:w="40" w:type="dxa"/>
              <w:right w:w="20" w:type="dxa"/>
            </w:tcMar>
          </w:tcPr>
          <w:p w14:paraId="7B67005E" w14:textId="77777777" w:rsidR="0040300B" w:rsidRDefault="0040300B">
            <w:pPr>
              <w:jc w:val="right"/>
              <w:rPr>
                <w:rFonts w:ascii="宋体"/>
              </w:rPr>
            </w:pPr>
          </w:p>
        </w:tc>
      </w:tr>
    </w:tbl>
    <w:p w14:paraId="7B670060" w14:textId="77777777" w:rsidR="0040300B" w:rsidRDefault="00BB2D44">
      <w:pPr>
        <w:spacing w:before="120"/>
        <w:jc w:val="both"/>
      </w:pPr>
      <w:r>
        <w:rPr>
          <w:rFonts w:ascii="Times New Roman" w:eastAsia="宋体" w:hAnsi="Times New Roman"/>
          <w:color w:val="000000"/>
          <w:sz w:val="20"/>
          <w:szCs w:val="20"/>
        </w:rPr>
        <w:t>As of May 1, 2021, we estimated that future cash compensation expense of up to $616 million may be required to be recognized pursuant to the</w:t>
      </w:r>
      <w:r>
        <w:rPr>
          <w:rFonts w:ascii="Times New Roman" w:eastAsia="宋体" w:hAnsi="Times New Roman"/>
          <w:color w:val="000000"/>
          <w:sz w:val="20"/>
          <w:szCs w:val="20"/>
        </w:rPr>
        <w:t xml:space="preserve"> applicable business combination agreements. </w:t>
      </w:r>
    </w:p>
    <w:p w14:paraId="7B670061" w14:textId="77777777" w:rsidR="0040300B" w:rsidRDefault="00BB2D44">
      <w:pPr>
        <w:spacing w:before="120"/>
        <w:jc w:val="both"/>
      </w:pPr>
      <w:r>
        <w:rPr>
          <w:rFonts w:ascii="Times New Roman" w:eastAsia="宋体" w:hAnsi="Times New Roman"/>
          <w:color w:val="000000"/>
          <w:sz w:val="20"/>
          <w:szCs w:val="20"/>
        </w:rPr>
        <w:t>We also have certain funding commitments, primarily related to our non-marketable equity and other investments, some of which are based on the achievement of certain agreed-upon milestones, and some of which ar</w:t>
      </w:r>
      <w:r>
        <w:rPr>
          <w:rFonts w:ascii="Times New Roman" w:eastAsia="宋体" w:hAnsi="Times New Roman"/>
          <w:color w:val="000000"/>
          <w:sz w:val="20"/>
          <w:szCs w:val="20"/>
        </w:rPr>
        <w:t>e required to be funded on demand. The funding commitments were $0.2 billion and $0.3 billion as of May 1, 2021 and July 25, 2020, respectively.</w:t>
      </w:r>
    </w:p>
    <w:p w14:paraId="7B670062" w14:textId="77777777" w:rsidR="0040300B" w:rsidRDefault="00BB2D44">
      <w:pPr>
        <w:spacing w:before="120"/>
        <w:ind w:hanging="360"/>
        <w:jc w:val="both"/>
      </w:pPr>
      <w:r>
        <w:rPr>
          <w:rFonts w:ascii="Times New Roman" w:eastAsia="宋体" w:hAnsi="Times New Roman"/>
          <w:b/>
          <w:bCs/>
          <w:color w:val="000000"/>
          <w:sz w:val="20"/>
          <w:szCs w:val="20"/>
        </w:rPr>
        <w:t>(c)Product Warranties</w:t>
      </w:r>
    </w:p>
    <w:p w14:paraId="7B670063" w14:textId="77777777" w:rsidR="0040300B" w:rsidRDefault="00BB2D44">
      <w:pPr>
        <w:spacing w:before="120"/>
      </w:pPr>
      <w:r>
        <w:rPr>
          <w:rFonts w:ascii="Times New Roman" w:eastAsia="宋体" w:hAnsi="Times New Roman"/>
          <w:color w:val="000000"/>
          <w:sz w:val="20"/>
          <w:szCs w:val="20"/>
        </w:rPr>
        <w:t>The following table summarizes the activity related to the product warranty liability (in</w:t>
      </w:r>
      <w:r>
        <w:rPr>
          <w:rFonts w:ascii="Times New Roman" w:eastAsia="宋体" w:hAnsi="Times New Roman"/>
          <w:color w:val="000000"/>
          <w:sz w:val="20"/>
          <w:szCs w:val="20"/>
        </w:rPr>
        <w:t xml:space="preserve">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40300B" w14:paraId="7B670070" w14:textId="77777777">
        <w:tc>
          <w:tcPr>
            <w:tcW w:w="50" w:type="pct"/>
            <w:shd w:val="clear" w:color="auto" w:fill="auto"/>
          </w:tcPr>
          <w:p w14:paraId="7B670064" w14:textId="77777777" w:rsidR="0040300B" w:rsidRDefault="0040300B">
            <w:pPr>
              <w:rPr>
                <w:rFonts w:ascii="宋体"/>
              </w:rPr>
            </w:pPr>
          </w:p>
        </w:tc>
        <w:tc>
          <w:tcPr>
            <w:tcW w:w="3446" w:type="pct"/>
            <w:shd w:val="clear" w:color="auto" w:fill="auto"/>
          </w:tcPr>
          <w:p w14:paraId="7B670065" w14:textId="77777777" w:rsidR="0040300B" w:rsidRDefault="0040300B">
            <w:pPr>
              <w:rPr>
                <w:rFonts w:ascii="宋体"/>
              </w:rPr>
            </w:pPr>
          </w:p>
        </w:tc>
        <w:tc>
          <w:tcPr>
            <w:tcW w:w="5" w:type="pct"/>
            <w:shd w:val="clear" w:color="auto" w:fill="auto"/>
          </w:tcPr>
          <w:p w14:paraId="7B670066" w14:textId="77777777" w:rsidR="0040300B" w:rsidRDefault="0040300B">
            <w:pPr>
              <w:rPr>
                <w:rFonts w:ascii="宋体"/>
              </w:rPr>
            </w:pPr>
          </w:p>
        </w:tc>
        <w:tc>
          <w:tcPr>
            <w:tcW w:w="50" w:type="pct"/>
            <w:shd w:val="clear" w:color="auto" w:fill="auto"/>
          </w:tcPr>
          <w:p w14:paraId="7B670067" w14:textId="77777777" w:rsidR="0040300B" w:rsidRDefault="0040300B">
            <w:pPr>
              <w:rPr>
                <w:rFonts w:ascii="宋体"/>
              </w:rPr>
            </w:pPr>
          </w:p>
        </w:tc>
        <w:tc>
          <w:tcPr>
            <w:tcW w:w="675" w:type="pct"/>
            <w:shd w:val="clear" w:color="auto" w:fill="auto"/>
          </w:tcPr>
          <w:p w14:paraId="7B670068" w14:textId="77777777" w:rsidR="0040300B" w:rsidRDefault="0040300B">
            <w:pPr>
              <w:rPr>
                <w:rFonts w:ascii="宋体"/>
              </w:rPr>
            </w:pPr>
          </w:p>
        </w:tc>
        <w:tc>
          <w:tcPr>
            <w:tcW w:w="5" w:type="pct"/>
            <w:shd w:val="clear" w:color="auto" w:fill="auto"/>
          </w:tcPr>
          <w:p w14:paraId="7B670069" w14:textId="77777777" w:rsidR="0040300B" w:rsidRDefault="0040300B">
            <w:pPr>
              <w:rPr>
                <w:rFonts w:ascii="宋体"/>
              </w:rPr>
            </w:pPr>
          </w:p>
        </w:tc>
        <w:tc>
          <w:tcPr>
            <w:tcW w:w="5" w:type="pct"/>
            <w:shd w:val="clear" w:color="auto" w:fill="auto"/>
          </w:tcPr>
          <w:p w14:paraId="7B67006A" w14:textId="77777777" w:rsidR="0040300B" w:rsidRDefault="0040300B">
            <w:pPr>
              <w:rPr>
                <w:rFonts w:ascii="宋体"/>
              </w:rPr>
            </w:pPr>
          </w:p>
        </w:tc>
        <w:tc>
          <w:tcPr>
            <w:tcW w:w="26" w:type="pct"/>
            <w:shd w:val="clear" w:color="auto" w:fill="auto"/>
          </w:tcPr>
          <w:p w14:paraId="7B67006B" w14:textId="77777777" w:rsidR="0040300B" w:rsidRDefault="0040300B">
            <w:pPr>
              <w:rPr>
                <w:rFonts w:ascii="宋体"/>
              </w:rPr>
            </w:pPr>
          </w:p>
        </w:tc>
        <w:tc>
          <w:tcPr>
            <w:tcW w:w="5" w:type="pct"/>
            <w:shd w:val="clear" w:color="auto" w:fill="auto"/>
          </w:tcPr>
          <w:p w14:paraId="7B67006C" w14:textId="77777777" w:rsidR="0040300B" w:rsidRDefault="0040300B">
            <w:pPr>
              <w:rPr>
                <w:rFonts w:ascii="宋体"/>
              </w:rPr>
            </w:pPr>
          </w:p>
        </w:tc>
        <w:tc>
          <w:tcPr>
            <w:tcW w:w="50" w:type="pct"/>
            <w:shd w:val="clear" w:color="auto" w:fill="auto"/>
          </w:tcPr>
          <w:p w14:paraId="7B67006D" w14:textId="77777777" w:rsidR="0040300B" w:rsidRDefault="0040300B">
            <w:pPr>
              <w:rPr>
                <w:rFonts w:ascii="宋体"/>
              </w:rPr>
            </w:pPr>
          </w:p>
        </w:tc>
        <w:tc>
          <w:tcPr>
            <w:tcW w:w="676" w:type="pct"/>
            <w:shd w:val="clear" w:color="auto" w:fill="auto"/>
          </w:tcPr>
          <w:p w14:paraId="7B67006E" w14:textId="77777777" w:rsidR="0040300B" w:rsidRDefault="0040300B">
            <w:pPr>
              <w:rPr>
                <w:rFonts w:ascii="宋体"/>
              </w:rPr>
            </w:pPr>
          </w:p>
        </w:tc>
        <w:tc>
          <w:tcPr>
            <w:tcW w:w="5" w:type="pct"/>
            <w:shd w:val="clear" w:color="auto" w:fill="auto"/>
          </w:tcPr>
          <w:p w14:paraId="7B67006F" w14:textId="77777777" w:rsidR="0040300B" w:rsidRDefault="0040300B">
            <w:pPr>
              <w:rPr>
                <w:rFonts w:ascii="宋体"/>
              </w:rPr>
            </w:pPr>
          </w:p>
        </w:tc>
      </w:tr>
      <w:tr w:rsidR="0040300B" w14:paraId="7B670073" w14:textId="77777777">
        <w:tc>
          <w:tcPr>
            <w:tcW w:w="0" w:type="auto"/>
            <w:gridSpan w:val="3"/>
            <w:shd w:val="clear" w:color="auto" w:fill="auto"/>
            <w:tcMar>
              <w:top w:w="0" w:type="dxa"/>
              <w:left w:w="20" w:type="dxa"/>
              <w:bottom w:w="0" w:type="dxa"/>
              <w:right w:w="20" w:type="dxa"/>
            </w:tcMar>
          </w:tcPr>
          <w:p w14:paraId="7B670071"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072"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078" w14:textId="77777777">
        <w:tc>
          <w:tcPr>
            <w:tcW w:w="0" w:type="auto"/>
            <w:gridSpan w:val="3"/>
            <w:shd w:val="clear" w:color="auto" w:fill="auto"/>
            <w:tcMar>
              <w:top w:w="0" w:type="dxa"/>
              <w:left w:w="20" w:type="dxa"/>
              <w:bottom w:w="0" w:type="dxa"/>
              <w:right w:w="20" w:type="dxa"/>
            </w:tcMar>
          </w:tcPr>
          <w:p w14:paraId="7B67007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75"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07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077"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081" w14:textId="77777777">
        <w:tc>
          <w:tcPr>
            <w:tcW w:w="0" w:type="auto"/>
            <w:gridSpan w:val="3"/>
            <w:shd w:val="clear" w:color="auto" w:fill="CCEEFF"/>
            <w:tcMar>
              <w:top w:w="40" w:type="dxa"/>
              <w:left w:w="20" w:type="dxa"/>
              <w:bottom w:w="40" w:type="dxa"/>
              <w:right w:w="20" w:type="dxa"/>
            </w:tcMar>
          </w:tcPr>
          <w:p w14:paraId="7B670079" w14:textId="77777777" w:rsidR="0040300B" w:rsidRDefault="00BB2D44">
            <w:pPr>
              <w:textAlignment w:val="top"/>
            </w:pPr>
            <w:r>
              <w:rPr>
                <w:rFonts w:ascii="Times New Roman" w:eastAsia="宋体" w:hAnsi="Times New Roman"/>
                <w:color w:val="000000"/>
                <w:sz w:val="20"/>
                <w:szCs w:val="20"/>
              </w:rPr>
              <w:t>Balance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07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07B" w14:textId="77777777" w:rsidR="0040300B" w:rsidRDefault="00BB2D44">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07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7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07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07F" w14:textId="77777777" w:rsidR="0040300B" w:rsidRDefault="00BB2D44">
            <w:pPr>
              <w:jc w:val="right"/>
              <w:textAlignment w:val="bottom"/>
            </w:pPr>
            <w:r>
              <w:rPr>
                <w:rFonts w:ascii="Times New Roman" w:eastAsia="宋体" w:hAnsi="Times New Roman"/>
                <w:color w:val="000000"/>
                <w:sz w:val="20"/>
                <w:szCs w:val="20"/>
              </w:rPr>
              <w:t>342 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080" w14:textId="77777777" w:rsidR="0040300B" w:rsidRDefault="0040300B">
            <w:pPr>
              <w:jc w:val="right"/>
              <w:rPr>
                <w:rFonts w:ascii="宋体"/>
              </w:rPr>
            </w:pPr>
          </w:p>
        </w:tc>
      </w:tr>
      <w:tr w:rsidR="0040300B" w14:paraId="7B670088" w14:textId="77777777">
        <w:tc>
          <w:tcPr>
            <w:tcW w:w="0" w:type="auto"/>
            <w:gridSpan w:val="3"/>
            <w:shd w:val="clear" w:color="auto" w:fill="FFFFFF"/>
            <w:tcMar>
              <w:top w:w="40" w:type="dxa"/>
              <w:left w:w="20" w:type="dxa"/>
              <w:bottom w:w="40" w:type="dxa"/>
              <w:right w:w="20" w:type="dxa"/>
            </w:tcMar>
          </w:tcPr>
          <w:p w14:paraId="7B670082" w14:textId="77777777" w:rsidR="0040300B" w:rsidRDefault="00BB2D44">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7B670083" w14:textId="77777777" w:rsidR="0040300B" w:rsidRDefault="00BB2D44">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7B67008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08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086" w14:textId="77777777" w:rsidR="0040300B" w:rsidRDefault="00BB2D44">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left w:w="0" w:type="dxa"/>
              <w:bottom w:w="40" w:type="dxa"/>
              <w:right w:w="20" w:type="dxa"/>
            </w:tcMar>
            <w:vAlign w:val="bottom"/>
          </w:tcPr>
          <w:p w14:paraId="7B670087" w14:textId="77777777" w:rsidR="0040300B" w:rsidRDefault="0040300B">
            <w:pPr>
              <w:jc w:val="right"/>
              <w:rPr>
                <w:rFonts w:ascii="宋体"/>
              </w:rPr>
            </w:pPr>
          </w:p>
        </w:tc>
      </w:tr>
      <w:tr w:rsidR="0040300B" w14:paraId="7B67008F" w14:textId="77777777">
        <w:tc>
          <w:tcPr>
            <w:tcW w:w="0" w:type="auto"/>
            <w:gridSpan w:val="3"/>
            <w:shd w:val="clear" w:color="auto" w:fill="CCEEFF"/>
            <w:tcMar>
              <w:top w:w="40" w:type="dxa"/>
              <w:left w:w="20" w:type="dxa"/>
              <w:bottom w:w="40" w:type="dxa"/>
              <w:right w:w="20" w:type="dxa"/>
            </w:tcMar>
          </w:tcPr>
          <w:p w14:paraId="7B670089" w14:textId="77777777" w:rsidR="0040300B" w:rsidRDefault="00BB2D44">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7B67008A"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B67008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8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08D" w14:textId="77777777" w:rsidR="0040300B" w:rsidRDefault="00BB2D4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7B67008E" w14:textId="77777777" w:rsidR="0040300B" w:rsidRDefault="0040300B">
            <w:pPr>
              <w:jc w:val="right"/>
              <w:rPr>
                <w:rFonts w:ascii="宋体"/>
              </w:rPr>
            </w:pPr>
          </w:p>
        </w:tc>
      </w:tr>
      <w:tr w:rsidR="0040300B" w14:paraId="7B670096" w14:textId="77777777">
        <w:tc>
          <w:tcPr>
            <w:tcW w:w="0" w:type="auto"/>
            <w:gridSpan w:val="3"/>
            <w:shd w:val="clear" w:color="auto" w:fill="FFFFFF"/>
            <w:tcMar>
              <w:top w:w="40" w:type="dxa"/>
              <w:left w:w="20" w:type="dxa"/>
              <w:bottom w:w="40" w:type="dxa"/>
              <w:right w:w="20" w:type="dxa"/>
            </w:tcMar>
          </w:tcPr>
          <w:p w14:paraId="7B670090" w14:textId="77777777" w:rsidR="0040300B" w:rsidRDefault="00BB2D44">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7B670091" w14:textId="77777777" w:rsidR="0040300B" w:rsidRDefault="00BB2D44">
            <w:pPr>
              <w:jc w:val="right"/>
              <w:textAlignment w:val="bottom"/>
            </w:pPr>
            <w:r>
              <w:rPr>
                <w:rFonts w:ascii="Times New Roman" w:eastAsia="宋体" w:hAnsi="Times New Roman"/>
                <w:color w:val="000000"/>
                <w:sz w:val="20"/>
                <w:szCs w:val="20"/>
              </w:rPr>
              <w:t>(373)</w:t>
            </w:r>
          </w:p>
        </w:tc>
        <w:tc>
          <w:tcPr>
            <w:tcW w:w="0" w:type="auto"/>
            <w:shd w:val="clear" w:color="auto" w:fill="FFFFFF"/>
            <w:tcMar>
              <w:top w:w="40" w:type="dxa"/>
              <w:left w:w="0" w:type="dxa"/>
              <w:bottom w:w="40" w:type="dxa"/>
              <w:right w:w="20" w:type="dxa"/>
            </w:tcMar>
            <w:vAlign w:val="bottom"/>
          </w:tcPr>
          <w:p w14:paraId="7B67009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09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094" w14:textId="77777777" w:rsidR="0040300B" w:rsidRDefault="00BB2D44">
            <w:pPr>
              <w:jc w:val="right"/>
              <w:textAlignment w:val="bottom"/>
            </w:pPr>
            <w:r>
              <w:rPr>
                <w:rFonts w:ascii="Times New Roman" w:eastAsia="宋体" w:hAnsi="Times New Roman"/>
                <w:color w:val="000000"/>
                <w:sz w:val="20"/>
                <w:szCs w:val="20"/>
              </w:rPr>
              <w:t>(436)</w:t>
            </w:r>
          </w:p>
        </w:tc>
        <w:tc>
          <w:tcPr>
            <w:tcW w:w="0" w:type="auto"/>
            <w:shd w:val="clear" w:color="auto" w:fill="FFFFFF"/>
            <w:tcMar>
              <w:top w:w="40" w:type="dxa"/>
              <w:left w:w="0" w:type="dxa"/>
              <w:bottom w:w="40" w:type="dxa"/>
              <w:right w:w="20" w:type="dxa"/>
            </w:tcMar>
            <w:vAlign w:val="bottom"/>
          </w:tcPr>
          <w:p w14:paraId="7B670095" w14:textId="77777777" w:rsidR="0040300B" w:rsidRDefault="0040300B">
            <w:pPr>
              <w:jc w:val="right"/>
              <w:rPr>
                <w:rFonts w:ascii="宋体"/>
              </w:rPr>
            </w:pPr>
          </w:p>
        </w:tc>
      </w:tr>
      <w:tr w:rsidR="0040300B" w14:paraId="7B67009F" w14:textId="77777777">
        <w:tc>
          <w:tcPr>
            <w:tcW w:w="0" w:type="auto"/>
            <w:gridSpan w:val="3"/>
            <w:shd w:val="clear" w:color="auto" w:fill="CCEEFF"/>
            <w:tcMar>
              <w:top w:w="40" w:type="dxa"/>
              <w:left w:w="20" w:type="dxa"/>
              <w:bottom w:w="40" w:type="dxa"/>
              <w:right w:w="20" w:type="dxa"/>
            </w:tcMar>
          </w:tcPr>
          <w:p w14:paraId="7B670097" w14:textId="77777777" w:rsidR="0040300B" w:rsidRDefault="00BB2D44">
            <w:pPr>
              <w:textAlignment w:val="top"/>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09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099" w14:textId="77777777" w:rsidR="0040300B" w:rsidRDefault="00BB2D44">
            <w:pPr>
              <w:jc w:val="right"/>
              <w:textAlignment w:val="bottom"/>
            </w:pPr>
            <w:r>
              <w:rPr>
                <w:rFonts w:ascii="Times New Roman" w:eastAsia="宋体" w:hAnsi="Times New Roman"/>
                <w:color w:val="000000"/>
                <w:sz w:val="20"/>
                <w:szCs w:val="20"/>
              </w:rPr>
              <w:t>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09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9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09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09D" w14:textId="77777777" w:rsidR="0040300B" w:rsidRDefault="00BB2D44">
            <w:pPr>
              <w:jc w:val="right"/>
              <w:textAlignment w:val="bottom"/>
            </w:pPr>
            <w:r>
              <w:rPr>
                <w:rFonts w:ascii="Times New Roman" w:eastAsia="宋体" w:hAnsi="Times New Roman"/>
                <w:color w:val="000000"/>
                <w:sz w:val="20"/>
                <w:szCs w:val="20"/>
              </w:rPr>
              <w:t>324 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09E" w14:textId="77777777" w:rsidR="0040300B" w:rsidRDefault="0040300B">
            <w:pPr>
              <w:jc w:val="right"/>
              <w:rPr>
                <w:rFonts w:ascii="宋体"/>
              </w:rPr>
            </w:pPr>
          </w:p>
        </w:tc>
      </w:tr>
    </w:tbl>
    <w:p w14:paraId="7B6700A0" w14:textId="77777777" w:rsidR="0040300B" w:rsidRDefault="00BB2D44">
      <w:pPr>
        <w:spacing w:before="120"/>
        <w:jc w:val="both"/>
      </w:pPr>
      <w:r>
        <w:rPr>
          <w:rFonts w:ascii="Times New Roman" w:eastAsia="宋体" w:hAnsi="Times New Roman"/>
          <w:color w:val="000000"/>
          <w:sz w:val="20"/>
          <w:szCs w:val="20"/>
        </w:rPr>
        <w:t xml:space="preserve">We accrue for warranty costs as part of our cost of sales based on associated material product costs, labor costs for technical support staff, and associated overhead. Our products are generally covered by a </w:t>
      </w:r>
      <w:r>
        <w:rPr>
          <w:rFonts w:ascii="Times New Roman" w:eastAsia="宋体" w:hAnsi="Times New Roman"/>
          <w:color w:val="000000"/>
          <w:sz w:val="20"/>
          <w:szCs w:val="20"/>
        </w:rPr>
        <w:t>warranty for periods ranging from 90 days to five years, and for some products we provide a limited lifetime warranty.</w:t>
      </w:r>
    </w:p>
    <w:p w14:paraId="7B6700A1" w14:textId="77777777" w:rsidR="0040300B" w:rsidRDefault="00BB2D44">
      <w:pPr>
        <w:spacing w:before="120"/>
        <w:ind w:hanging="360"/>
        <w:jc w:val="both"/>
      </w:pPr>
      <w:r>
        <w:rPr>
          <w:rFonts w:ascii="Times New Roman" w:eastAsia="宋体" w:hAnsi="Times New Roman"/>
          <w:b/>
          <w:bCs/>
          <w:color w:val="000000"/>
          <w:sz w:val="20"/>
          <w:szCs w:val="20"/>
        </w:rPr>
        <w:t>(d)Financing and Other Guarantees</w:t>
      </w:r>
    </w:p>
    <w:p w14:paraId="7B6700A2" w14:textId="77777777" w:rsidR="0040300B" w:rsidRDefault="00BB2D44">
      <w:pPr>
        <w:spacing w:before="120"/>
        <w:jc w:val="both"/>
      </w:pPr>
      <w:r>
        <w:rPr>
          <w:rFonts w:ascii="Times New Roman" w:eastAsia="宋体" w:hAnsi="Times New Roman"/>
          <w:color w:val="000000"/>
          <w:sz w:val="20"/>
          <w:szCs w:val="20"/>
        </w:rPr>
        <w:t xml:space="preserve">In the ordinary course of business, we provide financing guarantees for various third-party </w:t>
      </w:r>
      <w:r>
        <w:rPr>
          <w:rFonts w:ascii="Times New Roman" w:eastAsia="宋体" w:hAnsi="Times New Roman"/>
          <w:color w:val="000000"/>
          <w:sz w:val="20"/>
          <w:szCs w:val="20"/>
        </w:rPr>
        <w:t>financing arrangements extended to channel partners and end-user customers. Payments under these financing guarantee arrangements were not material for the periods presented.</w:t>
      </w:r>
    </w:p>
    <w:p w14:paraId="7B6700A3" w14:textId="77777777" w:rsidR="0040300B" w:rsidRDefault="00BB2D44">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w:t>
      </w:r>
      <w:r>
        <w:rPr>
          <w:rFonts w:ascii="Times New Roman" w:eastAsia="宋体" w:hAnsi="Times New Roman"/>
          <w:color w:val="000000"/>
          <w:sz w:val="20"/>
          <w:szCs w:val="20"/>
        </w:rPr>
        <w:t xml:space="preserve"> financing extended to channel partners, consisting of revolving short-term financing, with payment terms generally ranging from 60 to 90 days. During fiscal 2020, we expanded the payment terms on certain of our channel partner financing programs by 30 day</w:t>
      </w:r>
      <w:r>
        <w:rPr>
          <w:rFonts w:ascii="Times New Roman" w:eastAsia="宋体" w:hAnsi="Times New Roman"/>
          <w:color w:val="000000"/>
          <w:sz w:val="20"/>
          <w:szCs w:val="20"/>
        </w:rPr>
        <w:t>s in response to the COVID-19 pandemic. These financing arrangements facilitate the working capital requirements of the channel partners, and, in some cases, we guarantee a portion of these arrangements. The volume of channel partner financing was $6.6 bil</w:t>
      </w:r>
      <w:r>
        <w:rPr>
          <w:rFonts w:ascii="Times New Roman" w:eastAsia="宋体" w:hAnsi="Times New Roman"/>
          <w:color w:val="000000"/>
          <w:sz w:val="20"/>
          <w:szCs w:val="20"/>
        </w:rPr>
        <w:t>lion and $6.3 billion for the third quarter of fiscal 2021 and 2020, respectively, and was $19.5 billion and $20.5 billion for the first nine months of fiscal 2021 and 2020, respectively. The balance of the channel partner financing subject to guarantees w</w:t>
      </w:r>
      <w:r>
        <w:rPr>
          <w:rFonts w:ascii="Times New Roman" w:eastAsia="宋体" w:hAnsi="Times New Roman"/>
          <w:color w:val="000000"/>
          <w:sz w:val="20"/>
          <w:szCs w:val="20"/>
        </w:rPr>
        <w:t>as $1.3 billion and $1.1 billion as of May 1, 2021 and July 25, 2020, respectively.</w:t>
      </w:r>
    </w:p>
    <w:p w14:paraId="7B6700A4" w14:textId="77777777" w:rsidR="0040300B" w:rsidRDefault="00BB2D44">
      <w:pPr>
        <w:spacing w:before="120"/>
        <w:jc w:val="both"/>
      </w:pPr>
      <w:r>
        <w:rPr>
          <w:rFonts w:ascii="Times New Roman" w:eastAsia="宋体" w:hAnsi="Times New Roman"/>
          <w:color w:val="000000"/>
          <w:sz w:val="20"/>
          <w:szCs w:val="20"/>
          <w:u w:val="single"/>
        </w:rPr>
        <w:t>End-User Financing Guarantees</w:t>
      </w:r>
      <w:r>
        <w:rPr>
          <w:rFonts w:ascii="Times New Roman" w:eastAsia="宋体" w:hAnsi="Times New Roman"/>
          <w:color w:val="000000"/>
          <w:sz w:val="20"/>
          <w:szCs w:val="20"/>
        </w:rPr>
        <w:t xml:space="preserve">   We also provide financing guarantees for third-party financing arrangements extended to end-user customers related to leases and loans, which typically have terms of up to three years. The volume of financing provided by third parties for leases and loa</w:t>
      </w:r>
      <w:r>
        <w:rPr>
          <w:rFonts w:ascii="Times New Roman" w:eastAsia="宋体" w:hAnsi="Times New Roman"/>
          <w:color w:val="000000"/>
          <w:sz w:val="20"/>
          <w:szCs w:val="20"/>
        </w:rPr>
        <w:t>ns as to which we had provided guarantees was $1 million and $2 million for the third quarter of fiscal 2021 and 2020, respectively, and was $8 million for each of the first nine months of fiscal 2021 and 2020.</w:t>
      </w:r>
    </w:p>
    <w:p w14:paraId="7B6700A5" w14:textId="77777777" w:rsidR="0040300B" w:rsidRDefault="00BB2D44">
      <w:pPr>
        <w:jc w:val="center"/>
      </w:pPr>
      <w:r>
        <w:rPr>
          <w:rFonts w:ascii="Times New Roman" w:eastAsia="宋体" w:hAnsi="Times New Roman"/>
          <w:color w:val="000000"/>
          <w:sz w:val="20"/>
          <w:szCs w:val="20"/>
        </w:rPr>
        <w:t>32</w:t>
      </w:r>
    </w:p>
    <w:p w14:paraId="7B6700A6" w14:textId="77777777" w:rsidR="0040300B" w:rsidRDefault="00BB2D44">
      <w:r>
        <w:pict w14:anchorId="7B671C30">
          <v:rect id="_x0000_i1056" style="width:415.3pt;height:1.5pt" o:hralign="center" o:hrstd="t" o:hr="t" fillcolor="#a0a0a0" stroked="f"/>
        </w:pict>
      </w:r>
    </w:p>
    <w:p w14:paraId="7B6700A7" w14:textId="77777777" w:rsidR="0040300B" w:rsidRDefault="00BB2D44">
      <w:hyperlink r:id="rId78" w:anchor="i52d5b40dbad7426a9806a2fd5167029f_7" w:history="1">
        <w:r>
          <w:rPr>
            <w:rStyle w:val="a5"/>
            <w:rFonts w:ascii="Times New Roman" w:eastAsia="宋体" w:hAnsi="Times New Roman"/>
            <w:sz w:val="18"/>
            <w:szCs w:val="18"/>
          </w:rPr>
          <w:t>Table of Contents</w:t>
        </w:r>
      </w:hyperlink>
    </w:p>
    <w:p w14:paraId="7B6700A8" w14:textId="77777777" w:rsidR="0040300B" w:rsidRDefault="00BB2D44">
      <w:pPr>
        <w:jc w:val="center"/>
      </w:pPr>
      <w:r>
        <w:rPr>
          <w:rFonts w:ascii="Times New Roman" w:eastAsia="宋体" w:hAnsi="Times New Roman"/>
          <w:b/>
          <w:bCs/>
          <w:color w:val="000000"/>
          <w:sz w:val="18"/>
          <w:szCs w:val="18"/>
        </w:rPr>
        <w:t>CISCO SYSTEMS, INC.</w:t>
      </w:r>
    </w:p>
    <w:p w14:paraId="7B6700A9"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0AA" w14:textId="77777777" w:rsidR="0040300B" w:rsidRDefault="00BB2D44">
      <w:pPr>
        <w:jc w:val="center"/>
      </w:pPr>
      <w:r>
        <w:rPr>
          <w:rFonts w:ascii="Times New Roman" w:eastAsia="宋体" w:hAnsi="Times New Roman"/>
          <w:b/>
          <w:bCs/>
          <w:color w:val="000000"/>
          <w:sz w:val="18"/>
          <w:szCs w:val="18"/>
        </w:rPr>
        <w:t xml:space="preserve">(Unaudited) </w:t>
      </w:r>
    </w:p>
    <w:p w14:paraId="7B6700AB" w14:textId="77777777" w:rsidR="0040300B" w:rsidRDefault="0040300B">
      <w:pPr>
        <w:jc w:val="center"/>
      </w:pPr>
    </w:p>
    <w:p w14:paraId="7B6700AC" w14:textId="77777777" w:rsidR="0040300B" w:rsidRDefault="00BB2D44">
      <w:pPr>
        <w:spacing w:before="120"/>
        <w:jc w:val="both"/>
      </w:pPr>
      <w:r>
        <w:rPr>
          <w:rFonts w:ascii="Times New Roman" w:eastAsia="宋体" w:hAnsi="Times New Roman"/>
          <w:color w:val="000000"/>
          <w:sz w:val="20"/>
          <w:szCs w:val="20"/>
          <w:u w:val="single"/>
        </w:rPr>
        <w:t>Financing Guarantee Summary</w:t>
      </w:r>
      <w:r>
        <w:rPr>
          <w:rFonts w:ascii="Times New Roman" w:eastAsia="宋体" w:hAnsi="Times New Roman"/>
          <w:color w:val="000000"/>
          <w:sz w:val="20"/>
          <w:szCs w:val="20"/>
        </w:rPr>
        <w:t xml:space="preserve">   The aggreg</w:t>
      </w:r>
      <w:r>
        <w:rPr>
          <w:rFonts w:ascii="Times New Roman" w:eastAsia="宋体" w:hAnsi="Times New Roman"/>
          <w:color w:val="000000"/>
          <w:sz w:val="20"/>
          <w:szCs w:val="20"/>
        </w:rPr>
        <w:t>ate amounts of financing guarantees outstanding at May 1, 2021 and July 25, 2020, representing the total maximum potential future payments under financing arrangements with third parties along with the related deferred revenue, are summarized in the follow</w:t>
      </w:r>
      <w:r>
        <w:rPr>
          <w:rFonts w:ascii="Times New Roman" w:eastAsia="宋体" w:hAnsi="Times New Roman"/>
          <w:color w:val="000000"/>
          <w:sz w:val="20"/>
          <w:szCs w:val="20"/>
        </w:rPr>
        <w:t>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0"/>
        <w:gridCol w:w="1083"/>
        <w:gridCol w:w="36"/>
        <w:gridCol w:w="36"/>
        <w:gridCol w:w="36"/>
        <w:gridCol w:w="36"/>
        <w:gridCol w:w="120"/>
        <w:gridCol w:w="1050"/>
        <w:gridCol w:w="36"/>
      </w:tblGrid>
      <w:tr w:rsidR="0040300B" w14:paraId="7B6700B9" w14:textId="77777777">
        <w:trPr>
          <w:jc w:val="center"/>
        </w:trPr>
        <w:tc>
          <w:tcPr>
            <w:tcW w:w="50" w:type="pct"/>
            <w:shd w:val="clear" w:color="auto" w:fill="auto"/>
          </w:tcPr>
          <w:p w14:paraId="7B6700AD" w14:textId="77777777" w:rsidR="0040300B" w:rsidRDefault="0040300B">
            <w:pPr>
              <w:rPr>
                <w:rFonts w:ascii="宋体"/>
              </w:rPr>
            </w:pPr>
          </w:p>
        </w:tc>
        <w:tc>
          <w:tcPr>
            <w:tcW w:w="3446" w:type="pct"/>
            <w:shd w:val="clear" w:color="auto" w:fill="auto"/>
          </w:tcPr>
          <w:p w14:paraId="7B6700AE" w14:textId="77777777" w:rsidR="0040300B" w:rsidRDefault="0040300B">
            <w:pPr>
              <w:rPr>
                <w:rFonts w:ascii="宋体"/>
              </w:rPr>
            </w:pPr>
          </w:p>
        </w:tc>
        <w:tc>
          <w:tcPr>
            <w:tcW w:w="5" w:type="pct"/>
            <w:shd w:val="clear" w:color="auto" w:fill="auto"/>
          </w:tcPr>
          <w:p w14:paraId="7B6700AF" w14:textId="77777777" w:rsidR="0040300B" w:rsidRDefault="0040300B">
            <w:pPr>
              <w:rPr>
                <w:rFonts w:ascii="宋体"/>
              </w:rPr>
            </w:pPr>
          </w:p>
        </w:tc>
        <w:tc>
          <w:tcPr>
            <w:tcW w:w="50" w:type="pct"/>
            <w:shd w:val="clear" w:color="auto" w:fill="auto"/>
          </w:tcPr>
          <w:p w14:paraId="7B6700B0" w14:textId="77777777" w:rsidR="0040300B" w:rsidRDefault="0040300B">
            <w:pPr>
              <w:rPr>
                <w:rFonts w:ascii="宋体"/>
              </w:rPr>
            </w:pPr>
          </w:p>
        </w:tc>
        <w:tc>
          <w:tcPr>
            <w:tcW w:w="675" w:type="pct"/>
            <w:shd w:val="clear" w:color="auto" w:fill="auto"/>
          </w:tcPr>
          <w:p w14:paraId="7B6700B1" w14:textId="77777777" w:rsidR="0040300B" w:rsidRDefault="0040300B">
            <w:pPr>
              <w:rPr>
                <w:rFonts w:ascii="宋体"/>
              </w:rPr>
            </w:pPr>
          </w:p>
        </w:tc>
        <w:tc>
          <w:tcPr>
            <w:tcW w:w="5" w:type="pct"/>
            <w:shd w:val="clear" w:color="auto" w:fill="auto"/>
          </w:tcPr>
          <w:p w14:paraId="7B6700B2" w14:textId="77777777" w:rsidR="0040300B" w:rsidRDefault="0040300B">
            <w:pPr>
              <w:rPr>
                <w:rFonts w:ascii="宋体"/>
              </w:rPr>
            </w:pPr>
          </w:p>
        </w:tc>
        <w:tc>
          <w:tcPr>
            <w:tcW w:w="5" w:type="pct"/>
            <w:shd w:val="clear" w:color="auto" w:fill="auto"/>
          </w:tcPr>
          <w:p w14:paraId="7B6700B3" w14:textId="77777777" w:rsidR="0040300B" w:rsidRDefault="0040300B">
            <w:pPr>
              <w:rPr>
                <w:rFonts w:ascii="宋体"/>
              </w:rPr>
            </w:pPr>
          </w:p>
        </w:tc>
        <w:tc>
          <w:tcPr>
            <w:tcW w:w="26" w:type="pct"/>
            <w:shd w:val="clear" w:color="auto" w:fill="auto"/>
          </w:tcPr>
          <w:p w14:paraId="7B6700B4" w14:textId="77777777" w:rsidR="0040300B" w:rsidRDefault="0040300B">
            <w:pPr>
              <w:rPr>
                <w:rFonts w:ascii="宋体"/>
              </w:rPr>
            </w:pPr>
          </w:p>
        </w:tc>
        <w:tc>
          <w:tcPr>
            <w:tcW w:w="5" w:type="pct"/>
            <w:shd w:val="clear" w:color="auto" w:fill="auto"/>
          </w:tcPr>
          <w:p w14:paraId="7B6700B5" w14:textId="77777777" w:rsidR="0040300B" w:rsidRDefault="0040300B">
            <w:pPr>
              <w:rPr>
                <w:rFonts w:ascii="宋体"/>
              </w:rPr>
            </w:pPr>
          </w:p>
        </w:tc>
        <w:tc>
          <w:tcPr>
            <w:tcW w:w="50" w:type="pct"/>
            <w:shd w:val="clear" w:color="auto" w:fill="auto"/>
          </w:tcPr>
          <w:p w14:paraId="7B6700B6" w14:textId="77777777" w:rsidR="0040300B" w:rsidRDefault="0040300B">
            <w:pPr>
              <w:rPr>
                <w:rFonts w:ascii="宋体"/>
              </w:rPr>
            </w:pPr>
          </w:p>
        </w:tc>
        <w:tc>
          <w:tcPr>
            <w:tcW w:w="676" w:type="pct"/>
            <w:shd w:val="clear" w:color="auto" w:fill="auto"/>
          </w:tcPr>
          <w:p w14:paraId="7B6700B7" w14:textId="77777777" w:rsidR="0040300B" w:rsidRDefault="0040300B">
            <w:pPr>
              <w:rPr>
                <w:rFonts w:ascii="宋体"/>
              </w:rPr>
            </w:pPr>
          </w:p>
        </w:tc>
        <w:tc>
          <w:tcPr>
            <w:tcW w:w="5" w:type="pct"/>
            <w:shd w:val="clear" w:color="auto" w:fill="auto"/>
          </w:tcPr>
          <w:p w14:paraId="7B6700B8" w14:textId="77777777" w:rsidR="0040300B" w:rsidRDefault="0040300B">
            <w:pPr>
              <w:rPr>
                <w:rFonts w:ascii="宋体"/>
              </w:rPr>
            </w:pPr>
          </w:p>
        </w:tc>
      </w:tr>
      <w:tr w:rsidR="0040300B" w14:paraId="7B6700BE" w14:textId="77777777">
        <w:trPr>
          <w:jc w:val="center"/>
        </w:trPr>
        <w:tc>
          <w:tcPr>
            <w:tcW w:w="0" w:type="auto"/>
            <w:gridSpan w:val="3"/>
            <w:shd w:val="clear" w:color="auto" w:fill="auto"/>
            <w:tcMar>
              <w:top w:w="0" w:type="dxa"/>
              <w:left w:w="20" w:type="dxa"/>
              <w:bottom w:w="0" w:type="dxa"/>
              <w:right w:w="20" w:type="dxa"/>
            </w:tcMar>
          </w:tcPr>
          <w:p w14:paraId="7B6700B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0BB"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00B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0BD"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700C3" w14:textId="77777777">
        <w:trPr>
          <w:jc w:val="center"/>
        </w:trPr>
        <w:tc>
          <w:tcPr>
            <w:tcW w:w="0" w:type="auto"/>
            <w:gridSpan w:val="3"/>
            <w:shd w:val="clear" w:color="auto" w:fill="CCEEFF"/>
            <w:tcMar>
              <w:top w:w="40" w:type="dxa"/>
              <w:left w:w="20" w:type="dxa"/>
              <w:bottom w:w="40" w:type="dxa"/>
              <w:right w:w="20" w:type="dxa"/>
            </w:tcMar>
          </w:tcPr>
          <w:p w14:paraId="7B6700BF" w14:textId="77777777" w:rsidR="0040300B" w:rsidRDefault="00BB2D44">
            <w:pPr>
              <w:textAlignment w:val="top"/>
            </w:pPr>
            <w:r>
              <w:rPr>
                <w:rFonts w:ascii="Times New Roman" w:eastAsia="宋体" w:hAnsi="Times New Roman"/>
                <w:color w:val="000000"/>
                <w:sz w:val="20"/>
                <w:szCs w:val="20"/>
              </w:rPr>
              <w:t>Maximum potential future payments relating to financing guarantees:</w:t>
            </w:r>
          </w:p>
        </w:tc>
        <w:tc>
          <w:tcPr>
            <w:tcW w:w="0" w:type="auto"/>
            <w:gridSpan w:val="3"/>
            <w:tcBorders>
              <w:top w:val="single" w:sz="8" w:space="0" w:color="000000"/>
            </w:tcBorders>
            <w:shd w:val="clear" w:color="auto" w:fill="CCEEFF"/>
            <w:tcMar>
              <w:top w:w="0" w:type="dxa"/>
              <w:left w:w="20" w:type="dxa"/>
              <w:bottom w:w="0" w:type="dxa"/>
              <w:right w:w="20" w:type="dxa"/>
            </w:tcMar>
          </w:tcPr>
          <w:p w14:paraId="7B6700C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0C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0C2" w14:textId="77777777" w:rsidR="0040300B" w:rsidRDefault="0040300B">
            <w:pPr>
              <w:rPr>
                <w:rFonts w:ascii="宋体"/>
              </w:rPr>
            </w:pPr>
          </w:p>
        </w:tc>
      </w:tr>
      <w:tr w:rsidR="0040300B" w14:paraId="7B6700CC" w14:textId="77777777">
        <w:trPr>
          <w:jc w:val="center"/>
        </w:trPr>
        <w:tc>
          <w:tcPr>
            <w:tcW w:w="0" w:type="auto"/>
            <w:gridSpan w:val="3"/>
            <w:shd w:val="clear" w:color="auto" w:fill="auto"/>
            <w:tcMar>
              <w:top w:w="40" w:type="dxa"/>
              <w:left w:w="380" w:type="dxa"/>
              <w:bottom w:w="40" w:type="dxa"/>
              <w:right w:w="20" w:type="dxa"/>
            </w:tcMar>
          </w:tcPr>
          <w:p w14:paraId="7B6700C4" w14:textId="77777777" w:rsidR="0040300B" w:rsidRDefault="00BB2D44">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7B6700C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0C6" w14:textId="77777777" w:rsidR="0040300B" w:rsidRDefault="00BB2D44">
            <w:pPr>
              <w:jc w:val="right"/>
              <w:textAlignment w:val="bottom"/>
            </w:pPr>
            <w:r>
              <w:rPr>
                <w:rFonts w:ascii="Times New Roman" w:eastAsia="宋体" w:hAnsi="Times New Roman"/>
                <w:color w:val="000000"/>
                <w:sz w:val="20"/>
                <w:szCs w:val="20"/>
              </w:rPr>
              <w:t>165 </w:t>
            </w:r>
          </w:p>
        </w:tc>
        <w:tc>
          <w:tcPr>
            <w:tcW w:w="0" w:type="auto"/>
            <w:shd w:val="clear" w:color="auto" w:fill="auto"/>
            <w:tcMar>
              <w:top w:w="40" w:type="dxa"/>
              <w:left w:w="0" w:type="dxa"/>
              <w:bottom w:w="40" w:type="dxa"/>
              <w:right w:w="20" w:type="dxa"/>
            </w:tcMar>
            <w:vAlign w:val="bottom"/>
          </w:tcPr>
          <w:p w14:paraId="7B6700C7"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0C8"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0C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0CA" w14:textId="77777777" w:rsidR="0040300B" w:rsidRDefault="00BB2D44">
            <w:pPr>
              <w:jc w:val="right"/>
              <w:textAlignment w:val="bottom"/>
            </w:pPr>
            <w:r>
              <w:rPr>
                <w:rFonts w:ascii="Times New Roman" w:eastAsia="宋体" w:hAnsi="Times New Roman"/>
                <w:color w:val="000000"/>
                <w:sz w:val="20"/>
                <w:szCs w:val="20"/>
              </w:rPr>
              <w:t>198 </w:t>
            </w:r>
          </w:p>
        </w:tc>
        <w:tc>
          <w:tcPr>
            <w:tcW w:w="0" w:type="auto"/>
            <w:shd w:val="clear" w:color="auto" w:fill="auto"/>
            <w:tcMar>
              <w:top w:w="40" w:type="dxa"/>
              <w:left w:w="0" w:type="dxa"/>
              <w:bottom w:w="40" w:type="dxa"/>
              <w:right w:w="20" w:type="dxa"/>
            </w:tcMar>
            <w:vAlign w:val="bottom"/>
          </w:tcPr>
          <w:p w14:paraId="7B6700CB" w14:textId="77777777" w:rsidR="0040300B" w:rsidRDefault="0040300B">
            <w:pPr>
              <w:jc w:val="right"/>
              <w:rPr>
                <w:rFonts w:ascii="宋体"/>
              </w:rPr>
            </w:pPr>
          </w:p>
        </w:tc>
      </w:tr>
      <w:tr w:rsidR="0040300B" w14:paraId="7B6700D3" w14:textId="77777777">
        <w:trPr>
          <w:jc w:val="center"/>
        </w:trPr>
        <w:tc>
          <w:tcPr>
            <w:tcW w:w="0" w:type="auto"/>
            <w:gridSpan w:val="3"/>
            <w:shd w:val="clear" w:color="auto" w:fill="CCEEFF"/>
            <w:tcMar>
              <w:top w:w="40" w:type="dxa"/>
              <w:left w:w="380" w:type="dxa"/>
              <w:bottom w:w="40" w:type="dxa"/>
              <w:right w:w="20" w:type="dxa"/>
            </w:tcMar>
          </w:tcPr>
          <w:p w14:paraId="7B6700CD" w14:textId="77777777" w:rsidR="0040300B" w:rsidRDefault="00BB2D44">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7B6700CE"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700C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D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0D1"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B6700D2" w14:textId="77777777" w:rsidR="0040300B" w:rsidRDefault="0040300B">
            <w:pPr>
              <w:jc w:val="right"/>
              <w:rPr>
                <w:rFonts w:ascii="宋体"/>
              </w:rPr>
            </w:pPr>
          </w:p>
        </w:tc>
      </w:tr>
      <w:tr w:rsidR="0040300B" w14:paraId="7B6700DC" w14:textId="77777777">
        <w:trPr>
          <w:jc w:val="center"/>
        </w:trPr>
        <w:tc>
          <w:tcPr>
            <w:tcW w:w="0" w:type="auto"/>
            <w:gridSpan w:val="3"/>
            <w:shd w:val="clear" w:color="auto" w:fill="auto"/>
            <w:tcMar>
              <w:top w:w="40" w:type="dxa"/>
              <w:left w:w="740" w:type="dxa"/>
              <w:bottom w:w="40" w:type="dxa"/>
              <w:right w:w="20" w:type="dxa"/>
            </w:tcMar>
          </w:tcPr>
          <w:p w14:paraId="7B6700D4"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7B6700D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B6700D6" w14:textId="77777777" w:rsidR="0040300B" w:rsidRDefault="00BB2D44">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0D7"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0D8" w14:textId="77777777" w:rsidR="0040300B" w:rsidRDefault="0040300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B6700D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B6700DA" w14:textId="77777777" w:rsidR="0040300B" w:rsidRDefault="00BB2D44">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0DB" w14:textId="77777777" w:rsidR="0040300B" w:rsidRDefault="0040300B">
            <w:pPr>
              <w:jc w:val="right"/>
              <w:rPr>
                <w:rFonts w:ascii="宋体"/>
              </w:rPr>
            </w:pPr>
          </w:p>
        </w:tc>
      </w:tr>
      <w:tr w:rsidR="0040300B" w14:paraId="7B6700E1" w14:textId="77777777">
        <w:trPr>
          <w:jc w:val="center"/>
        </w:trPr>
        <w:tc>
          <w:tcPr>
            <w:tcW w:w="0" w:type="auto"/>
            <w:gridSpan w:val="3"/>
            <w:shd w:val="clear" w:color="auto" w:fill="CCEEFF"/>
            <w:tcMar>
              <w:top w:w="40" w:type="dxa"/>
              <w:left w:w="20" w:type="dxa"/>
              <w:bottom w:w="40" w:type="dxa"/>
              <w:right w:w="20" w:type="dxa"/>
            </w:tcMar>
          </w:tcPr>
          <w:p w14:paraId="7B6700DD" w14:textId="77777777" w:rsidR="0040300B" w:rsidRDefault="00BB2D44">
            <w:pPr>
              <w:textAlignment w:val="top"/>
            </w:pPr>
            <w:r>
              <w:rPr>
                <w:rFonts w:ascii="Times New Roman" w:eastAsia="宋体" w:hAnsi="Times New Roman"/>
                <w:color w:val="000000"/>
                <w:sz w:val="20"/>
                <w:szCs w:val="20"/>
              </w:rPr>
              <w:t xml:space="preserve">Deferred revenue associated with </w:t>
            </w:r>
            <w:r>
              <w:rPr>
                <w:rFonts w:ascii="Times New Roman" w:eastAsia="宋体" w:hAnsi="Times New Roman"/>
                <w:color w:val="000000"/>
                <w:sz w:val="20"/>
                <w:szCs w:val="20"/>
              </w:rPr>
              <w:t>financing guarantees:</w:t>
            </w:r>
          </w:p>
        </w:tc>
        <w:tc>
          <w:tcPr>
            <w:tcW w:w="0" w:type="auto"/>
            <w:gridSpan w:val="3"/>
            <w:tcBorders>
              <w:top w:val="single" w:sz="8" w:space="0" w:color="000000"/>
            </w:tcBorders>
            <w:shd w:val="clear" w:color="auto" w:fill="CCEEFF"/>
            <w:tcMar>
              <w:top w:w="0" w:type="dxa"/>
              <w:left w:w="20" w:type="dxa"/>
              <w:bottom w:w="0" w:type="dxa"/>
              <w:right w:w="20" w:type="dxa"/>
            </w:tcMar>
          </w:tcPr>
          <w:p w14:paraId="7B6700D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0D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0E0" w14:textId="77777777" w:rsidR="0040300B" w:rsidRDefault="0040300B">
            <w:pPr>
              <w:rPr>
                <w:rFonts w:ascii="宋体"/>
              </w:rPr>
            </w:pPr>
          </w:p>
        </w:tc>
      </w:tr>
      <w:tr w:rsidR="0040300B" w14:paraId="7B6700EA" w14:textId="77777777">
        <w:trPr>
          <w:jc w:val="center"/>
        </w:trPr>
        <w:tc>
          <w:tcPr>
            <w:tcW w:w="0" w:type="auto"/>
            <w:gridSpan w:val="3"/>
            <w:shd w:val="clear" w:color="auto" w:fill="auto"/>
            <w:tcMar>
              <w:top w:w="40" w:type="dxa"/>
              <w:left w:w="380" w:type="dxa"/>
              <w:bottom w:w="40" w:type="dxa"/>
              <w:right w:w="20" w:type="dxa"/>
            </w:tcMar>
          </w:tcPr>
          <w:p w14:paraId="7B6700E2" w14:textId="77777777" w:rsidR="0040300B" w:rsidRDefault="00BB2D44">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7B6700E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0E4" w14:textId="77777777" w:rsidR="0040300B" w:rsidRDefault="00BB2D44">
            <w:pPr>
              <w:jc w:val="right"/>
              <w:textAlignment w:val="bottom"/>
            </w:pPr>
            <w:r>
              <w:rPr>
                <w:rFonts w:ascii="Times New Roman" w:eastAsia="宋体" w:hAnsi="Times New Roman"/>
                <w:color w:val="000000"/>
                <w:sz w:val="20"/>
                <w:szCs w:val="20"/>
              </w:rPr>
              <w:t>(16)</w:t>
            </w:r>
          </w:p>
        </w:tc>
        <w:tc>
          <w:tcPr>
            <w:tcW w:w="0" w:type="auto"/>
            <w:shd w:val="clear" w:color="auto" w:fill="auto"/>
            <w:tcMar>
              <w:top w:w="40" w:type="dxa"/>
              <w:left w:w="0" w:type="dxa"/>
              <w:bottom w:w="40" w:type="dxa"/>
              <w:right w:w="20" w:type="dxa"/>
            </w:tcMar>
            <w:vAlign w:val="bottom"/>
          </w:tcPr>
          <w:p w14:paraId="7B6700E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0E6"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0E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0E8" w14:textId="77777777" w:rsidR="0040300B" w:rsidRDefault="00BB2D44">
            <w:pPr>
              <w:jc w:val="right"/>
              <w:textAlignment w:val="bottom"/>
            </w:pPr>
            <w:r>
              <w:rPr>
                <w:rFonts w:ascii="Times New Roman" w:eastAsia="宋体" w:hAnsi="Times New Roman"/>
                <w:color w:val="000000"/>
                <w:sz w:val="20"/>
                <w:szCs w:val="20"/>
              </w:rPr>
              <w:t>(19)</w:t>
            </w:r>
          </w:p>
        </w:tc>
        <w:tc>
          <w:tcPr>
            <w:tcW w:w="0" w:type="auto"/>
            <w:shd w:val="clear" w:color="auto" w:fill="auto"/>
            <w:tcMar>
              <w:top w:w="40" w:type="dxa"/>
              <w:left w:w="0" w:type="dxa"/>
              <w:bottom w:w="40" w:type="dxa"/>
              <w:right w:w="20" w:type="dxa"/>
            </w:tcMar>
            <w:vAlign w:val="bottom"/>
          </w:tcPr>
          <w:p w14:paraId="7B6700E9" w14:textId="77777777" w:rsidR="0040300B" w:rsidRDefault="0040300B">
            <w:pPr>
              <w:jc w:val="right"/>
              <w:rPr>
                <w:rFonts w:ascii="宋体"/>
              </w:rPr>
            </w:pPr>
          </w:p>
        </w:tc>
      </w:tr>
      <w:tr w:rsidR="0040300B" w14:paraId="7B6700F1" w14:textId="77777777">
        <w:trPr>
          <w:jc w:val="center"/>
        </w:trPr>
        <w:tc>
          <w:tcPr>
            <w:tcW w:w="0" w:type="auto"/>
            <w:gridSpan w:val="3"/>
            <w:shd w:val="clear" w:color="auto" w:fill="CCEEFF"/>
            <w:tcMar>
              <w:top w:w="40" w:type="dxa"/>
              <w:left w:w="380" w:type="dxa"/>
              <w:bottom w:w="40" w:type="dxa"/>
              <w:right w:w="20" w:type="dxa"/>
            </w:tcMar>
          </w:tcPr>
          <w:p w14:paraId="7B6700EB" w14:textId="77777777" w:rsidR="0040300B" w:rsidRDefault="00BB2D44">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7B6700EC"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B6700E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E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0EF" w14:textId="77777777" w:rsidR="0040300B" w:rsidRDefault="00BB2D44">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7B6700F0" w14:textId="77777777" w:rsidR="0040300B" w:rsidRDefault="0040300B">
            <w:pPr>
              <w:jc w:val="right"/>
              <w:rPr>
                <w:rFonts w:ascii="宋体"/>
              </w:rPr>
            </w:pPr>
          </w:p>
        </w:tc>
      </w:tr>
      <w:tr w:rsidR="0040300B" w14:paraId="7B6700FA" w14:textId="77777777">
        <w:trPr>
          <w:jc w:val="center"/>
        </w:trPr>
        <w:tc>
          <w:tcPr>
            <w:tcW w:w="0" w:type="auto"/>
            <w:gridSpan w:val="3"/>
            <w:shd w:val="clear" w:color="auto" w:fill="auto"/>
            <w:tcMar>
              <w:top w:w="40" w:type="dxa"/>
              <w:left w:w="740" w:type="dxa"/>
              <w:bottom w:w="40" w:type="dxa"/>
              <w:right w:w="20" w:type="dxa"/>
            </w:tcMar>
          </w:tcPr>
          <w:p w14:paraId="7B6700F2"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7B6700F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B6700F4" w14:textId="77777777" w:rsidR="0040300B" w:rsidRDefault="00BB2D44">
            <w:pPr>
              <w:jc w:val="right"/>
              <w:textAlignment w:val="bottom"/>
            </w:pPr>
            <w:r>
              <w:rPr>
                <w:rFonts w:ascii="Times New Roman" w:eastAsia="宋体" w:hAnsi="Times New Roman"/>
                <w:color w:val="000000"/>
                <w:sz w:val="20"/>
                <w:szCs w:val="20"/>
              </w:rPr>
              <w:t>(22)</w:t>
            </w:r>
          </w:p>
        </w:tc>
        <w:tc>
          <w:tcPr>
            <w:tcW w:w="0" w:type="auto"/>
            <w:tcBorders>
              <w:top w:val="single" w:sz="8" w:space="0" w:color="000000"/>
            </w:tcBorders>
            <w:shd w:val="clear" w:color="auto" w:fill="auto"/>
            <w:tcMar>
              <w:top w:w="40" w:type="dxa"/>
              <w:left w:w="0" w:type="dxa"/>
              <w:bottom w:w="40" w:type="dxa"/>
              <w:right w:w="20" w:type="dxa"/>
            </w:tcMar>
            <w:vAlign w:val="bottom"/>
          </w:tcPr>
          <w:p w14:paraId="7B6700F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0F6" w14:textId="77777777" w:rsidR="0040300B" w:rsidRDefault="0040300B">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7B6700F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7B6700F8" w14:textId="77777777" w:rsidR="0040300B" w:rsidRDefault="00BB2D44">
            <w:pPr>
              <w:jc w:val="right"/>
              <w:textAlignment w:val="bottom"/>
            </w:pPr>
            <w:r>
              <w:rPr>
                <w:rFonts w:ascii="Times New Roman" w:eastAsia="宋体" w:hAnsi="Times New Roman"/>
                <w:color w:val="000000"/>
                <w:sz w:val="20"/>
                <w:szCs w:val="20"/>
              </w:rPr>
              <w:t>(28)</w:t>
            </w:r>
          </w:p>
        </w:tc>
        <w:tc>
          <w:tcPr>
            <w:tcW w:w="0" w:type="auto"/>
            <w:tcBorders>
              <w:top w:val="single" w:sz="8" w:space="0" w:color="000000"/>
            </w:tcBorders>
            <w:shd w:val="clear" w:color="auto" w:fill="auto"/>
            <w:tcMar>
              <w:top w:w="40" w:type="dxa"/>
              <w:left w:w="0" w:type="dxa"/>
              <w:bottom w:w="40" w:type="dxa"/>
              <w:right w:w="20" w:type="dxa"/>
            </w:tcMar>
            <w:vAlign w:val="bottom"/>
          </w:tcPr>
          <w:p w14:paraId="7B6700F9" w14:textId="77777777" w:rsidR="0040300B" w:rsidRDefault="0040300B">
            <w:pPr>
              <w:jc w:val="right"/>
              <w:rPr>
                <w:rFonts w:ascii="宋体"/>
              </w:rPr>
            </w:pPr>
          </w:p>
        </w:tc>
      </w:tr>
      <w:tr w:rsidR="0040300B" w14:paraId="7B670103" w14:textId="77777777">
        <w:trPr>
          <w:jc w:val="center"/>
        </w:trPr>
        <w:tc>
          <w:tcPr>
            <w:tcW w:w="0" w:type="auto"/>
            <w:gridSpan w:val="3"/>
            <w:shd w:val="clear" w:color="auto" w:fill="CCEEFF"/>
            <w:tcMar>
              <w:top w:w="40" w:type="dxa"/>
              <w:left w:w="1100" w:type="dxa"/>
              <w:bottom w:w="40" w:type="dxa"/>
              <w:right w:w="20" w:type="dxa"/>
            </w:tcMar>
          </w:tcPr>
          <w:p w14:paraId="7B6700FB"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0F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0FD" w14:textId="77777777" w:rsidR="0040300B" w:rsidRDefault="00BB2D44">
            <w:pPr>
              <w:jc w:val="right"/>
              <w:textAlignment w:val="bottom"/>
            </w:pPr>
            <w:r>
              <w:rPr>
                <w:rFonts w:ascii="Times New Roman" w:eastAsia="宋体" w:hAnsi="Times New Roman"/>
                <w:color w:val="000000"/>
                <w:sz w:val="20"/>
                <w:szCs w:val="20"/>
              </w:rPr>
              <w:t>149 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0F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0F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10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101" w14:textId="77777777" w:rsidR="0040300B" w:rsidRDefault="00BB2D44">
            <w:pPr>
              <w:jc w:val="right"/>
              <w:textAlignment w:val="bottom"/>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102" w14:textId="77777777" w:rsidR="0040300B" w:rsidRDefault="0040300B">
            <w:pPr>
              <w:jc w:val="right"/>
              <w:rPr>
                <w:rFonts w:ascii="宋体"/>
              </w:rPr>
            </w:pPr>
          </w:p>
        </w:tc>
      </w:tr>
    </w:tbl>
    <w:p w14:paraId="7B670104" w14:textId="77777777" w:rsidR="0040300B" w:rsidRDefault="00BB2D44">
      <w:pPr>
        <w:spacing w:before="120"/>
        <w:ind w:hanging="360"/>
        <w:jc w:val="both"/>
      </w:pPr>
      <w:r>
        <w:rPr>
          <w:rFonts w:ascii="Times New Roman" w:eastAsia="宋体" w:hAnsi="Times New Roman"/>
          <w:b/>
          <w:bCs/>
          <w:color w:val="000000"/>
          <w:sz w:val="20"/>
          <w:szCs w:val="20"/>
        </w:rPr>
        <w:t>(e)Indemnifications</w:t>
      </w:r>
    </w:p>
    <w:p w14:paraId="7B670105" w14:textId="77777777" w:rsidR="0040300B" w:rsidRDefault="00BB2D44">
      <w:pPr>
        <w:spacing w:before="120"/>
        <w:jc w:val="both"/>
      </w:pPr>
      <w:r>
        <w:rPr>
          <w:rFonts w:ascii="Times New Roman" w:eastAsia="宋体" w:hAnsi="Times New Roman"/>
          <w:color w:val="000000"/>
          <w:sz w:val="20"/>
          <w:szCs w:val="20"/>
        </w:rPr>
        <w:t>In the normal course of business, we have indemnification obligations to other parties, including customers, lessors, and parties to other transactions with us, with respect to certain matters. We have agreed to indemnify against losses arising from a brea</w:t>
      </w:r>
      <w:r>
        <w:rPr>
          <w:rFonts w:ascii="Times New Roman" w:eastAsia="宋体" w:hAnsi="Times New Roman"/>
          <w:color w:val="000000"/>
          <w:sz w:val="20"/>
          <w:szCs w:val="20"/>
        </w:rPr>
        <w:t>ch of representations or covenants or out of intellectual property infringement or other claims made against certain parties. These agreements may limit the time or circumstances within which an indemnification claim can be made and the amount of the claim</w:t>
      </w:r>
      <w:r>
        <w:rPr>
          <w:rFonts w:ascii="Times New Roman" w:eastAsia="宋体" w:hAnsi="Times New Roman"/>
          <w:color w:val="000000"/>
          <w:sz w:val="20"/>
          <w:szCs w:val="20"/>
        </w:rPr>
        <w:t xml:space="preserve">. </w:t>
      </w:r>
    </w:p>
    <w:p w14:paraId="7B670106" w14:textId="77777777" w:rsidR="0040300B" w:rsidRDefault="00BB2D44">
      <w:pPr>
        <w:spacing w:before="120"/>
        <w:jc w:val="both"/>
      </w:pPr>
      <w:r>
        <w:rPr>
          <w:rFonts w:ascii="Times New Roman" w:eastAsia="宋体" w:hAnsi="Times New Roman"/>
          <w:color w:val="000000"/>
          <w:sz w:val="20"/>
          <w:szCs w:val="20"/>
        </w:rPr>
        <w:t>It is not possible to determine the maximum potential amount for claims made under the indemnification obligations discussed in this section (e) due to uncertainties in the litigation process, coordination with and contributions by other parties and the</w:t>
      </w:r>
      <w:r>
        <w:rPr>
          <w:rFonts w:ascii="Times New Roman" w:eastAsia="宋体" w:hAnsi="Times New Roman"/>
          <w:color w:val="000000"/>
          <w:sz w:val="20"/>
          <w:szCs w:val="20"/>
        </w:rPr>
        <w:t xml:space="preserve"> defendants in these cases, and the unique facts and circumstances involved in each particular case and agreement. We are unable to reasonably estimate the ultimate outcome of the cases discussed below in this section (e), but we do not believe that any po</w:t>
      </w:r>
      <w:r>
        <w:rPr>
          <w:rFonts w:ascii="Times New Roman" w:eastAsia="宋体" w:hAnsi="Times New Roman"/>
          <w:color w:val="000000"/>
          <w:sz w:val="20"/>
          <w:szCs w:val="20"/>
        </w:rPr>
        <w:t>tential indemnity liability would be material, and historically, indemnity payments made by us have not had a material effect on our operating results, financial position, or cash flows.</w:t>
      </w:r>
    </w:p>
    <w:p w14:paraId="7B670107" w14:textId="77777777" w:rsidR="0040300B" w:rsidRDefault="00BB2D44">
      <w:pPr>
        <w:spacing w:before="120"/>
        <w:jc w:val="both"/>
      </w:pPr>
      <w:r>
        <w:rPr>
          <w:rFonts w:ascii="Times New Roman" w:eastAsia="宋体" w:hAnsi="Times New Roman"/>
          <w:color w:val="000000"/>
          <w:sz w:val="20"/>
          <w:szCs w:val="20"/>
        </w:rPr>
        <w:t xml:space="preserve">Charter Communications, Inc. (“Charter”), which acquired Time Warner </w:t>
      </w:r>
      <w:r>
        <w:rPr>
          <w:rFonts w:ascii="Times New Roman" w:eastAsia="宋体" w:hAnsi="Times New Roman"/>
          <w:color w:val="000000"/>
          <w:sz w:val="20"/>
          <w:szCs w:val="20"/>
        </w:rPr>
        <w:t>Cable (“TWC”) in May 2016, sought indemnification from us for a final judgment obtained by Sprint Communications Company, L.P. (“Sprint”) against TWC in federal court in Kansas. Following a trial on March 3, 2017, the jury found that TWC willfully infringe</w:t>
      </w:r>
      <w:r>
        <w:rPr>
          <w:rFonts w:ascii="Times New Roman" w:eastAsia="宋体" w:hAnsi="Times New Roman"/>
          <w:color w:val="000000"/>
          <w:sz w:val="20"/>
          <w:szCs w:val="20"/>
        </w:rPr>
        <w:t>d five patents and awarded Sprint $140 million in damages, as well as pre- and post-judgment interest of approximately $10 million. After the judgment was affirmed on appeal, Charter reported that it paid the judgment in full. We resolved Charter’s indemni</w:t>
      </w:r>
      <w:r>
        <w:rPr>
          <w:rFonts w:ascii="Times New Roman" w:eastAsia="宋体" w:hAnsi="Times New Roman"/>
          <w:color w:val="000000"/>
          <w:sz w:val="20"/>
          <w:szCs w:val="20"/>
        </w:rPr>
        <w:t>ty claim effective February 4, 2021 for an amount that does not have a material effect on our financial position.</w:t>
      </w:r>
    </w:p>
    <w:p w14:paraId="7B670108" w14:textId="77777777" w:rsidR="0040300B" w:rsidRDefault="00BB2D44">
      <w:pPr>
        <w:spacing w:before="120"/>
        <w:jc w:val="both"/>
      </w:pPr>
      <w:r>
        <w:rPr>
          <w:rFonts w:ascii="Times New Roman" w:eastAsia="宋体" w:hAnsi="Times New Roman"/>
          <w:color w:val="000000"/>
          <w:sz w:val="20"/>
          <w:szCs w:val="20"/>
        </w:rPr>
        <w:t xml:space="preserve">We have been asked to indemnify certain of our service provider customers that have been subject to patent infringement claims </w:t>
      </w:r>
      <w:r>
        <w:rPr>
          <w:rFonts w:ascii="Times New Roman" w:eastAsia="宋体" w:hAnsi="Times New Roman"/>
          <w:color w:val="000000"/>
          <w:sz w:val="20"/>
          <w:szCs w:val="20"/>
        </w:rPr>
        <w:t xml:space="preserve">asserted by ChanBond, LLC (“ChanBond”) in federal court in Delaware on September 21, 2015. ChanBond alleges that 13 service provider defendants, including among others, Comcast Corporation, Charter Communications, Inc. (“Charter”), Time Warner Cable, Inc. </w:t>
      </w:r>
      <w:r>
        <w:rPr>
          <w:rFonts w:ascii="Times New Roman" w:eastAsia="宋体" w:hAnsi="Times New Roman"/>
          <w:color w:val="000000"/>
          <w:sz w:val="20"/>
          <w:szCs w:val="20"/>
        </w:rPr>
        <w:t>(subsequently acquired by Charter), Cox Communications, Inc. (“Cox”), and Cablevision Systems Corporation (subsequently acquired by Altice USA, Inc.), infringe three patents by providing high speed cable internet services to their customers utilizing cable</w:t>
      </w:r>
      <w:r>
        <w:rPr>
          <w:rFonts w:ascii="Times New Roman" w:eastAsia="宋体" w:hAnsi="Times New Roman"/>
          <w:color w:val="000000"/>
          <w:sz w:val="20"/>
          <w:szCs w:val="20"/>
        </w:rPr>
        <w:t xml:space="preserve"> modems and cable modem termination systems, consistent with the DOCSIS 3.0 standard, provided by us and other manufacturers generally used in combination with each other. ChanBond seeks monetary damages and injunctive relief against the service provider c</w:t>
      </w:r>
      <w:r>
        <w:rPr>
          <w:rFonts w:ascii="Times New Roman" w:eastAsia="宋体" w:hAnsi="Times New Roman"/>
          <w:color w:val="000000"/>
          <w:sz w:val="20"/>
          <w:szCs w:val="20"/>
        </w:rPr>
        <w:t xml:space="preserve">ustomers, although two of the asserted patents expire on June 19, 2021, and the third expires on September 17, 2021. The Court has set ChanBond’s case against Cox for trial on May 20, 2021. The other cases against the remaining service provider defendants </w:t>
      </w:r>
      <w:r>
        <w:rPr>
          <w:rFonts w:ascii="Times New Roman" w:eastAsia="宋体" w:hAnsi="Times New Roman"/>
          <w:color w:val="000000"/>
          <w:sz w:val="20"/>
          <w:szCs w:val="20"/>
        </w:rPr>
        <w:t>have not yet been set for trial. We believe that the service provider defendants have strong non-infringement, invalidity and other defenses and that ChanBond will not be able to meet its burden required for injunctive relief.</w:t>
      </w:r>
    </w:p>
    <w:p w14:paraId="7B670109" w14:textId="77777777" w:rsidR="0040300B" w:rsidRDefault="00BB2D44">
      <w:pPr>
        <w:spacing w:before="120"/>
        <w:jc w:val="both"/>
      </w:pPr>
      <w:r>
        <w:rPr>
          <w:rFonts w:ascii="Times New Roman" w:eastAsia="宋体" w:hAnsi="Times New Roman"/>
          <w:color w:val="000000"/>
          <w:sz w:val="20"/>
          <w:szCs w:val="20"/>
        </w:rPr>
        <w:t>Verizon Communications Inc. h</w:t>
      </w:r>
      <w:r>
        <w:rPr>
          <w:rFonts w:ascii="Times New Roman" w:eastAsia="宋体" w:hAnsi="Times New Roman"/>
          <w:color w:val="000000"/>
          <w:sz w:val="20"/>
          <w:szCs w:val="20"/>
        </w:rPr>
        <w:t>as requested that we indemnify it and seven of its subsidiaries (collectively, “Verizon”) for a subset of the patent infringement claims asserted by Huawei Technologies Co. Ltd. (“Huawei”) in lawsuits filed against Verizon on February 5, 2020, in the Unite</w:t>
      </w:r>
      <w:r>
        <w:rPr>
          <w:rFonts w:ascii="Times New Roman" w:eastAsia="宋体" w:hAnsi="Times New Roman"/>
          <w:color w:val="000000"/>
          <w:sz w:val="20"/>
          <w:szCs w:val="20"/>
        </w:rPr>
        <w:t>d States District Court for the Eastern District of Texas (“E.D. Tex”) and the United States District Court for the Western District of Texas (“W.D. Tex”). In the E.D. Tex case, Huawei alleges infringement of four patents required to operate the G.709 stan</w:t>
      </w:r>
      <w:r>
        <w:rPr>
          <w:rFonts w:ascii="Times New Roman" w:eastAsia="宋体" w:hAnsi="Times New Roman"/>
          <w:color w:val="000000"/>
          <w:sz w:val="20"/>
          <w:szCs w:val="20"/>
        </w:rPr>
        <w:t>dard adopted by the Telecommunication Standardization Sector of the International Telecommunications Union by using products supplied by us. Huawei seeks monetary damages. The E.D. Tex court has set a trial date for July 9, 2021. In the W.D. Tex case, Huaw</w:t>
      </w:r>
      <w:r>
        <w:rPr>
          <w:rFonts w:ascii="Times New Roman" w:eastAsia="宋体" w:hAnsi="Times New Roman"/>
          <w:color w:val="000000"/>
          <w:sz w:val="20"/>
          <w:szCs w:val="20"/>
        </w:rPr>
        <w:t xml:space="preserve">ei alleges infringement of four patents, two patents involving Cisco </w:t>
      </w:r>
    </w:p>
    <w:p w14:paraId="7B67010A" w14:textId="77777777" w:rsidR="0040300B" w:rsidRDefault="00BB2D44">
      <w:pPr>
        <w:jc w:val="center"/>
      </w:pPr>
      <w:r>
        <w:rPr>
          <w:rFonts w:ascii="Times New Roman" w:eastAsia="宋体" w:hAnsi="Times New Roman"/>
          <w:color w:val="000000"/>
          <w:sz w:val="20"/>
          <w:szCs w:val="20"/>
        </w:rPr>
        <w:t>33</w:t>
      </w:r>
    </w:p>
    <w:p w14:paraId="7B67010B" w14:textId="77777777" w:rsidR="0040300B" w:rsidRDefault="00BB2D44">
      <w:r>
        <w:pict w14:anchorId="7B671C31">
          <v:rect id="_x0000_i1057" style="width:415.3pt;height:1.5pt" o:hralign="center" o:hrstd="t" o:hr="t" fillcolor="#a0a0a0" stroked="f"/>
        </w:pict>
      </w:r>
    </w:p>
    <w:p w14:paraId="7B67010C" w14:textId="77777777" w:rsidR="0040300B" w:rsidRDefault="00BB2D44">
      <w:hyperlink r:id="rId79" w:anchor="i52d5b40dbad7426a9806a2fd5167029f_7" w:history="1">
        <w:r>
          <w:rPr>
            <w:rStyle w:val="a5"/>
            <w:rFonts w:ascii="Times New Roman" w:eastAsia="宋体" w:hAnsi="Times New Roman"/>
            <w:sz w:val="18"/>
            <w:szCs w:val="18"/>
          </w:rPr>
          <w:t>Table of Contents</w:t>
        </w:r>
      </w:hyperlink>
    </w:p>
    <w:p w14:paraId="7B67010D" w14:textId="77777777" w:rsidR="0040300B" w:rsidRDefault="00BB2D44">
      <w:pPr>
        <w:jc w:val="center"/>
      </w:pPr>
      <w:r>
        <w:rPr>
          <w:rFonts w:ascii="Times New Roman" w:eastAsia="宋体" w:hAnsi="Times New Roman"/>
          <w:b/>
          <w:bCs/>
          <w:color w:val="000000"/>
          <w:sz w:val="18"/>
          <w:szCs w:val="18"/>
        </w:rPr>
        <w:t>CISCO SYSTEMS,</w:t>
      </w:r>
      <w:r>
        <w:rPr>
          <w:rFonts w:ascii="Times New Roman" w:eastAsia="宋体" w:hAnsi="Times New Roman"/>
          <w:b/>
          <w:bCs/>
          <w:color w:val="000000"/>
          <w:sz w:val="18"/>
          <w:szCs w:val="18"/>
        </w:rPr>
        <w:t xml:space="preserve"> INC.</w:t>
      </w:r>
    </w:p>
    <w:p w14:paraId="7B67010E"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10F" w14:textId="77777777" w:rsidR="0040300B" w:rsidRDefault="00BB2D44">
      <w:pPr>
        <w:jc w:val="center"/>
      </w:pPr>
      <w:r>
        <w:rPr>
          <w:rFonts w:ascii="Times New Roman" w:eastAsia="宋体" w:hAnsi="Times New Roman"/>
          <w:b/>
          <w:bCs/>
          <w:color w:val="000000"/>
          <w:sz w:val="18"/>
          <w:szCs w:val="18"/>
        </w:rPr>
        <w:t xml:space="preserve">(Unaudited) </w:t>
      </w:r>
    </w:p>
    <w:p w14:paraId="7B670110" w14:textId="77777777" w:rsidR="0040300B" w:rsidRDefault="0040300B">
      <w:pPr>
        <w:jc w:val="center"/>
      </w:pPr>
    </w:p>
    <w:p w14:paraId="7B670111" w14:textId="77777777" w:rsidR="0040300B" w:rsidRDefault="00BB2D44">
      <w:pPr>
        <w:spacing w:before="120"/>
        <w:jc w:val="both"/>
      </w:pPr>
      <w:r>
        <w:rPr>
          <w:rFonts w:ascii="Times New Roman" w:eastAsia="宋体" w:hAnsi="Times New Roman"/>
          <w:color w:val="000000"/>
          <w:sz w:val="20"/>
          <w:szCs w:val="20"/>
        </w:rPr>
        <w:t>Webex and Cisco video endpoints that allow content sharing in a video conference, and two patents involving Cisco routers that support Ethernet Flow Point functionality and/or speci</w:t>
      </w:r>
      <w:r>
        <w:rPr>
          <w:rFonts w:ascii="Times New Roman" w:eastAsia="宋体" w:hAnsi="Times New Roman"/>
          <w:color w:val="000000"/>
          <w:sz w:val="20"/>
          <w:szCs w:val="20"/>
        </w:rPr>
        <w:t>fic network convergence functionalities. Huawei seeks monetary damages and injunctive relief in the W.D. Tex case. The W.D. Tex court has set a trial date for October 4, 2021. We believe that Verizon has strong defenses in the cases and that Huawei will no</w:t>
      </w:r>
      <w:r>
        <w:rPr>
          <w:rFonts w:ascii="Times New Roman" w:eastAsia="宋体" w:hAnsi="Times New Roman"/>
          <w:color w:val="000000"/>
          <w:sz w:val="20"/>
          <w:szCs w:val="20"/>
        </w:rPr>
        <w:t>t be able to meet its burden required for injunctive relief in the W.D. Tex case.</w:t>
      </w:r>
    </w:p>
    <w:p w14:paraId="7B670112" w14:textId="77777777" w:rsidR="0040300B" w:rsidRDefault="00BB2D44">
      <w:pPr>
        <w:spacing w:before="120"/>
        <w:jc w:val="both"/>
      </w:pPr>
      <w:r>
        <w:rPr>
          <w:rFonts w:ascii="Times New Roman" w:eastAsia="宋体" w:hAnsi="Times New Roman"/>
          <w:color w:val="000000"/>
          <w:sz w:val="20"/>
          <w:szCs w:val="20"/>
        </w:rPr>
        <w:t xml:space="preserve">In addition, we have entered into indemnification agreements with our officers and directors, and our Amended and Restated Bylaws contain similar indemnification obligations </w:t>
      </w:r>
      <w:r>
        <w:rPr>
          <w:rFonts w:ascii="Times New Roman" w:eastAsia="宋体" w:hAnsi="Times New Roman"/>
          <w:color w:val="000000"/>
          <w:sz w:val="20"/>
          <w:szCs w:val="20"/>
        </w:rPr>
        <w:t xml:space="preserve">to our agents. </w:t>
      </w:r>
    </w:p>
    <w:p w14:paraId="7B670113" w14:textId="77777777" w:rsidR="0040300B" w:rsidRDefault="00BB2D44">
      <w:pPr>
        <w:spacing w:before="120"/>
        <w:ind w:hanging="360"/>
        <w:jc w:val="both"/>
      </w:pPr>
      <w:r>
        <w:rPr>
          <w:rFonts w:ascii="Times New Roman" w:eastAsia="宋体" w:hAnsi="Times New Roman"/>
          <w:b/>
          <w:bCs/>
          <w:color w:val="000000"/>
          <w:sz w:val="20"/>
          <w:szCs w:val="20"/>
        </w:rPr>
        <w:t>(f)Legal Proceedings</w:t>
      </w:r>
    </w:p>
    <w:p w14:paraId="7B670114" w14:textId="77777777" w:rsidR="0040300B" w:rsidRDefault="00BB2D44">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Brazilian authorities have investigated our Brazilian subsidiary and certain of its former employees, as well as a Brazilian importer of our products, and its affiliates and employees, relating to alleged evasion</w:t>
      </w:r>
      <w:r>
        <w:rPr>
          <w:rFonts w:ascii="Times New Roman" w:eastAsia="宋体" w:hAnsi="Times New Roman"/>
          <w:color w:val="000000"/>
          <w:sz w:val="20"/>
          <w:szCs w:val="20"/>
        </w:rPr>
        <w:t xml:space="preserve"> of import taxes and alleged improper transactions involving the subsidiary and the importer. Brazilian tax authorities have assessed claims against our Brazilian subsidiary based on a theory of joint liability with the Brazilian importer for import taxes,</w:t>
      </w:r>
      <w:r>
        <w:rPr>
          <w:rFonts w:ascii="Times New Roman" w:eastAsia="宋体" w:hAnsi="Times New Roman"/>
          <w:color w:val="000000"/>
          <w:sz w:val="20"/>
          <w:szCs w:val="20"/>
        </w:rPr>
        <w:t xml:space="preserve"> interest, and penalties. In addition to claims asserted by the Brazilian federal tax authorities in prior fiscal years, tax authorities from the Brazilian state of Sao Paulo have asserted similar claims on the same legal basis in prior fiscal years. The a</w:t>
      </w:r>
      <w:r>
        <w:rPr>
          <w:rFonts w:ascii="Times New Roman" w:eastAsia="宋体" w:hAnsi="Times New Roman"/>
          <w:color w:val="000000"/>
          <w:sz w:val="20"/>
          <w:szCs w:val="20"/>
        </w:rPr>
        <w:t xml:space="preserve">sserted claims by Brazilian federal tax authorities are for calendar years 2003 through 2007, and the asserted claims by the tax authorities from the state of Sao Paulo are for calendar years 2005 through 2007. The total asserted claims by Brazilian state </w:t>
      </w:r>
      <w:r>
        <w:rPr>
          <w:rFonts w:ascii="Times New Roman" w:eastAsia="宋体" w:hAnsi="Times New Roman"/>
          <w:color w:val="000000"/>
          <w:sz w:val="20"/>
          <w:szCs w:val="20"/>
        </w:rPr>
        <w:t xml:space="preserve">and federal tax authorities aggregate to $149 million for the alleged evasion of import and other taxes, $735 million for interest, and $368 million for various penalties, all determined using an exchange rate as of May 1, 2021. </w:t>
      </w:r>
    </w:p>
    <w:p w14:paraId="7B670115" w14:textId="77777777" w:rsidR="0040300B" w:rsidRDefault="00BB2D44">
      <w:pPr>
        <w:spacing w:before="120"/>
        <w:jc w:val="both"/>
      </w:pPr>
      <w:r>
        <w:rPr>
          <w:rFonts w:ascii="Times New Roman" w:eastAsia="宋体" w:hAnsi="Times New Roman"/>
          <w:color w:val="000000"/>
          <w:sz w:val="20"/>
          <w:szCs w:val="20"/>
        </w:rPr>
        <w:t xml:space="preserve">We have completed a </w:t>
      </w:r>
      <w:r>
        <w:rPr>
          <w:rFonts w:ascii="Times New Roman" w:eastAsia="宋体" w:hAnsi="Times New Roman"/>
          <w:color w:val="000000"/>
          <w:sz w:val="20"/>
          <w:szCs w:val="20"/>
        </w:rPr>
        <w:t>thorough review of the matters and believe the asserted claims against our Brazilian subsidiary are without merit, and we are defending the claims vigorously. While we believe there is no legal basis for the alleged liability, due to the complexities and u</w:t>
      </w:r>
      <w:r>
        <w:rPr>
          <w:rFonts w:ascii="Times New Roman" w:eastAsia="宋体" w:hAnsi="Times New Roman"/>
          <w:color w:val="000000"/>
          <w:sz w:val="20"/>
          <w:szCs w:val="20"/>
        </w:rPr>
        <w:t>ncertainty surrounding the judicial process in Brazil and the nature of the claims asserting joint liability with the importer, we are unable to determine the likelihood of an unfavorable outcome against our Brazilian subsidiary and are unable to reasonabl</w:t>
      </w:r>
      <w:r>
        <w:rPr>
          <w:rFonts w:ascii="Times New Roman" w:eastAsia="宋体" w:hAnsi="Times New Roman"/>
          <w:color w:val="000000"/>
          <w:sz w:val="20"/>
          <w:szCs w:val="20"/>
        </w:rPr>
        <w:t>y estimate a range of loss, if any. We do not expect a final judicial determination for several years.</w:t>
      </w:r>
    </w:p>
    <w:p w14:paraId="7B670116" w14:textId="77777777" w:rsidR="0040300B" w:rsidRDefault="00BB2D44">
      <w:pPr>
        <w:spacing w:before="120"/>
        <w:jc w:val="both"/>
      </w:pPr>
      <w:r>
        <w:rPr>
          <w:rFonts w:ascii="Times New Roman" w:eastAsia="宋体" w:hAnsi="Times New Roman"/>
          <w:color w:val="000000"/>
          <w:sz w:val="20"/>
          <w:szCs w:val="20"/>
          <w:u w:val="single"/>
        </w:rPr>
        <w:t>China</w:t>
      </w:r>
      <w:r>
        <w:rPr>
          <w:rFonts w:ascii="Times New Roman" w:eastAsia="宋体" w:hAnsi="Times New Roman"/>
          <w:color w:val="000000"/>
          <w:sz w:val="20"/>
          <w:szCs w:val="20"/>
        </w:rPr>
        <w:t xml:space="preserve"> We are investigating allegations of a self-enrichment scheme involving now-former employees in China. Some of those employees are also alleged to h</w:t>
      </w:r>
      <w:r>
        <w:rPr>
          <w:rFonts w:ascii="Times New Roman" w:eastAsia="宋体" w:hAnsi="Times New Roman"/>
          <w:color w:val="000000"/>
          <w:sz w:val="20"/>
          <w:szCs w:val="20"/>
        </w:rPr>
        <w:t>ave made or directed payments from the funds they received to various third parties, including employees of state-owned enterprises. We voluntarily disclosed this investigation to the Department of Justice (“DOJ”) and Securities and Exchange Commission (“S</w:t>
      </w:r>
      <w:r>
        <w:rPr>
          <w:rFonts w:ascii="Times New Roman" w:eastAsia="宋体" w:hAnsi="Times New Roman"/>
          <w:color w:val="000000"/>
          <w:sz w:val="20"/>
          <w:szCs w:val="20"/>
        </w:rPr>
        <w:t>EC”). We take such allegations very seriously and we are providing results of our investigation to the DOJ and SEC. While the outcome of our investigation is currently not determinable, we do not expect that it will have a material adverse effect on our co</w:t>
      </w:r>
      <w:r>
        <w:rPr>
          <w:rFonts w:ascii="Times New Roman" w:eastAsia="宋体" w:hAnsi="Times New Roman"/>
          <w:color w:val="000000"/>
          <w:sz w:val="20"/>
          <w:szCs w:val="20"/>
        </w:rPr>
        <w:t>nsolidated financial position, results of operations, or cash flows.</w:t>
      </w:r>
    </w:p>
    <w:p w14:paraId="7B670117" w14:textId="77777777" w:rsidR="0040300B" w:rsidRDefault="00BB2D44">
      <w:pPr>
        <w:spacing w:before="120"/>
        <w:jc w:val="both"/>
      </w:pPr>
      <w:r>
        <w:rPr>
          <w:rFonts w:ascii="Times New Roman" w:eastAsia="宋体" w:hAnsi="Times New Roman"/>
          <w:color w:val="000000"/>
          <w:sz w:val="20"/>
          <w:szCs w:val="20"/>
          <w:u w:val="single"/>
        </w:rPr>
        <w:t xml:space="preserve">SRI International </w:t>
      </w:r>
      <w:r>
        <w:rPr>
          <w:rFonts w:ascii="Times New Roman" w:eastAsia="宋体" w:hAnsi="Times New Roman"/>
          <w:color w:val="000000"/>
          <w:sz w:val="20"/>
          <w:szCs w:val="20"/>
        </w:rPr>
        <w:t>On September 4, 2013, SRI International, Inc. (“SRI”) asserted patent infringement claims against us in the U.S. District Court for the District of Delaware (“D. Del.”),</w:t>
      </w:r>
      <w:r>
        <w:rPr>
          <w:rFonts w:ascii="Times New Roman" w:eastAsia="宋体" w:hAnsi="Times New Roman"/>
          <w:color w:val="000000"/>
          <w:sz w:val="20"/>
          <w:szCs w:val="20"/>
        </w:rPr>
        <w:t xml:space="preserve"> accusing our products and services in the area of network intrusion detection of infringing two patents. SRI sought monetary damages of at least a reasonable royalty and enhanced damages. On May 12, 2016, a jury returned a verdict finding willful infringe</w:t>
      </w:r>
      <w:r>
        <w:rPr>
          <w:rFonts w:ascii="Times New Roman" w:eastAsia="宋体" w:hAnsi="Times New Roman"/>
          <w:color w:val="000000"/>
          <w:sz w:val="20"/>
          <w:szCs w:val="20"/>
        </w:rPr>
        <w:t>ment. The jury awarded SRI damages of $24 million. On May 25, 2017, the district court awarded SRI enhanced damages and attorneys’ fees, entered judgment in the new amount of $57 million, and ordered an ongoing royalty of 3.5% through the expiration of the</w:t>
      </w:r>
      <w:r>
        <w:rPr>
          <w:rFonts w:ascii="Times New Roman" w:eastAsia="宋体" w:hAnsi="Times New Roman"/>
          <w:color w:val="000000"/>
          <w:sz w:val="20"/>
          <w:szCs w:val="20"/>
        </w:rPr>
        <w:t xml:space="preserve"> patents in 2018. We appealed to the United States Court of Appeals for the Federal Circuit (“Federal Circuit”) on various grounds, and after various proceedings, on July 12, 2019, the Federal Circuit vacated the enhanced damages award; vacated and remande</w:t>
      </w:r>
      <w:r>
        <w:rPr>
          <w:rFonts w:ascii="Times New Roman" w:eastAsia="宋体" w:hAnsi="Times New Roman"/>
          <w:color w:val="000000"/>
          <w:sz w:val="20"/>
          <w:szCs w:val="20"/>
        </w:rPr>
        <w:t>d in part the willful infringement finding; vacated and remanded the attorneys’ fees award for further proceedings; and affirmed the district court’s other findings. On April 1, 2020, the district court issued a final judgment on the remanded issues, findi</w:t>
      </w:r>
      <w:r>
        <w:rPr>
          <w:rFonts w:ascii="Times New Roman" w:eastAsia="宋体" w:hAnsi="Times New Roman"/>
          <w:color w:val="000000"/>
          <w:sz w:val="20"/>
          <w:szCs w:val="20"/>
        </w:rPr>
        <w:t>ng no evidence of willful infringement and reinstating the $8 million award of attorneys’ fees. SRI appealed the judgment of no willful infringement to the Federal Circuit on April 3, 2020, and Cisco filed a cross-appeal on the attorneys’ fees award on Apr</w:t>
      </w:r>
      <w:r>
        <w:rPr>
          <w:rFonts w:ascii="Times New Roman" w:eastAsia="宋体" w:hAnsi="Times New Roman"/>
          <w:color w:val="000000"/>
          <w:sz w:val="20"/>
          <w:szCs w:val="20"/>
        </w:rPr>
        <w:t>il 9, 2020. Cisco has paid SRI $28 million, representing the portion of the judgment that the Federal Circuit previously affirmed, plus interest and royalties on post-verdict sales. While the remaining proceedings may result in an additional loss, we do no</w:t>
      </w:r>
      <w:r>
        <w:rPr>
          <w:rFonts w:ascii="Times New Roman" w:eastAsia="宋体" w:hAnsi="Times New Roman"/>
          <w:color w:val="000000"/>
          <w:sz w:val="20"/>
          <w:szCs w:val="20"/>
        </w:rPr>
        <w:t>t expect it to be material.</w:t>
      </w:r>
    </w:p>
    <w:p w14:paraId="7B670118" w14:textId="77777777" w:rsidR="0040300B" w:rsidRDefault="00BB2D44">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On February 13, 2018, Centripetal Networks, Inc. (“Centripetal”) asserted patent infringement claims against us in the U.S. District Court for the Eastern District of Virginia, alleging that several Cisco product</w:t>
      </w:r>
      <w:r>
        <w:rPr>
          <w:rFonts w:ascii="Times New Roman" w:eastAsia="宋体" w:hAnsi="Times New Roman"/>
          <w:color w:val="000000"/>
          <w:sz w:val="20"/>
          <w:szCs w:val="20"/>
        </w:rPr>
        <w:t>s and services (including Cisco’s Catalyst switches, ASR and ISR series routers, ASAs with FirePOWER services, and Stealthwatch products) infringe eleven Centripetal patents. Cisco thereafter petitioned the Patent Trial and Appeal Board (“PTAB”) of the Uni</w:t>
      </w:r>
      <w:r>
        <w:rPr>
          <w:rFonts w:ascii="Times New Roman" w:eastAsia="宋体" w:hAnsi="Times New Roman"/>
          <w:color w:val="000000"/>
          <w:sz w:val="20"/>
          <w:szCs w:val="20"/>
        </w:rPr>
        <w:t>ted States Patent and Trademark Office (“PTO”) to review the validity of nine of the asserted patents. The PTAB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review proceedings (“IPR Proceedings”) on six asserted patents and certain claims of another asserted patent. The PTAB h</w:t>
      </w:r>
      <w:r>
        <w:rPr>
          <w:rFonts w:ascii="Times New Roman" w:eastAsia="宋体" w:hAnsi="Times New Roman"/>
          <w:color w:val="000000"/>
          <w:sz w:val="20"/>
          <w:szCs w:val="20"/>
        </w:rPr>
        <w:t>as issued Final Written Decisions for seven patents in the instituted IPR Proceedings, and all claims of five patents have been found unpatentable and several of the claims of the other two patents have been found unpatentable. Centripetal appealed the PTA</w:t>
      </w:r>
      <w:r>
        <w:rPr>
          <w:rFonts w:ascii="Times New Roman" w:eastAsia="宋体" w:hAnsi="Times New Roman"/>
          <w:color w:val="000000"/>
          <w:sz w:val="20"/>
          <w:szCs w:val="20"/>
        </w:rPr>
        <w:t xml:space="preserve">B’s findings of unpatentability to the Federal Circuit. The Federal Circuit affirmed the PTAB’s findings of unpatentability as to </w:t>
      </w:r>
    </w:p>
    <w:p w14:paraId="7B670119" w14:textId="77777777" w:rsidR="0040300B" w:rsidRDefault="00BB2D44">
      <w:pPr>
        <w:jc w:val="center"/>
      </w:pPr>
      <w:r>
        <w:rPr>
          <w:rFonts w:ascii="Times New Roman" w:eastAsia="宋体" w:hAnsi="Times New Roman"/>
          <w:color w:val="000000"/>
          <w:sz w:val="20"/>
          <w:szCs w:val="20"/>
        </w:rPr>
        <w:t>34</w:t>
      </w:r>
    </w:p>
    <w:p w14:paraId="7B67011A" w14:textId="77777777" w:rsidR="0040300B" w:rsidRDefault="00BB2D44">
      <w:r>
        <w:pict w14:anchorId="7B671C32">
          <v:rect id="_x0000_i1058" style="width:415.3pt;height:1.5pt" o:hralign="center" o:hrstd="t" o:hr="t" fillcolor="#a0a0a0" stroked="f"/>
        </w:pict>
      </w:r>
    </w:p>
    <w:p w14:paraId="7B67011B" w14:textId="77777777" w:rsidR="0040300B" w:rsidRDefault="00BB2D44">
      <w:hyperlink r:id="rId80" w:anchor="i52d5b40dbad7426a9806a2fd5167029f_7" w:history="1">
        <w:r>
          <w:rPr>
            <w:rStyle w:val="a5"/>
            <w:rFonts w:ascii="Times New Roman" w:eastAsia="宋体" w:hAnsi="Times New Roman"/>
            <w:sz w:val="18"/>
            <w:szCs w:val="18"/>
          </w:rPr>
          <w:t>Table of Contents</w:t>
        </w:r>
      </w:hyperlink>
    </w:p>
    <w:p w14:paraId="7B67011C" w14:textId="77777777" w:rsidR="0040300B" w:rsidRDefault="00BB2D44">
      <w:pPr>
        <w:jc w:val="center"/>
      </w:pPr>
      <w:r>
        <w:rPr>
          <w:rFonts w:ascii="Times New Roman" w:eastAsia="宋体" w:hAnsi="Times New Roman"/>
          <w:b/>
          <w:bCs/>
          <w:color w:val="000000"/>
          <w:sz w:val="18"/>
          <w:szCs w:val="18"/>
        </w:rPr>
        <w:t>CISCO SYSTEMS, INC.</w:t>
      </w:r>
    </w:p>
    <w:p w14:paraId="7B67011D"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11E" w14:textId="77777777" w:rsidR="0040300B" w:rsidRDefault="00BB2D44">
      <w:pPr>
        <w:jc w:val="center"/>
      </w:pPr>
      <w:r>
        <w:rPr>
          <w:rFonts w:ascii="Times New Roman" w:eastAsia="宋体" w:hAnsi="Times New Roman"/>
          <w:b/>
          <w:bCs/>
          <w:color w:val="000000"/>
          <w:sz w:val="18"/>
          <w:szCs w:val="18"/>
        </w:rPr>
        <w:t xml:space="preserve">(Unaudited) </w:t>
      </w:r>
    </w:p>
    <w:p w14:paraId="7B67011F" w14:textId="77777777" w:rsidR="0040300B" w:rsidRDefault="0040300B">
      <w:pPr>
        <w:jc w:val="center"/>
      </w:pPr>
    </w:p>
    <w:p w14:paraId="7B670120" w14:textId="77777777" w:rsidR="0040300B" w:rsidRDefault="00BB2D44">
      <w:pPr>
        <w:spacing w:before="120"/>
        <w:jc w:val="both"/>
      </w:pPr>
      <w:r>
        <w:rPr>
          <w:rFonts w:ascii="Times New Roman" w:eastAsia="宋体" w:hAnsi="Times New Roman"/>
          <w:color w:val="000000"/>
          <w:sz w:val="20"/>
          <w:szCs w:val="20"/>
        </w:rPr>
        <w:t xml:space="preserve">three of the patents on March 10, 2021, and affirmed the PTAB’s findings of unpatentability as to the remaining four patents on May 11, 2021. </w:t>
      </w:r>
    </w:p>
    <w:p w14:paraId="7B670121" w14:textId="77777777" w:rsidR="0040300B" w:rsidRDefault="00BB2D44">
      <w:pPr>
        <w:spacing w:before="120"/>
        <w:jc w:val="both"/>
      </w:pPr>
      <w:r>
        <w:rPr>
          <w:rFonts w:ascii="Times New Roman" w:eastAsia="宋体" w:hAnsi="Times New Roman"/>
          <w:color w:val="000000"/>
          <w:sz w:val="20"/>
          <w:szCs w:val="20"/>
        </w:rPr>
        <w:t>From May 6, 2020 to June 25, 2020, the district court conducted a bench trial by videoconference on the claims in</w:t>
      </w:r>
      <w:r>
        <w:rPr>
          <w:rFonts w:ascii="Times New Roman" w:eastAsia="宋体" w:hAnsi="Times New Roman"/>
          <w:color w:val="000000"/>
          <w:sz w:val="20"/>
          <w:szCs w:val="20"/>
        </w:rPr>
        <w:t xml:space="preserve"> the five patents not subject to the IPR Proceedings. On October 5, 2020, the district court issued a judgment finding validity and willful infringement of four of the asserted patents and non-infringement of the fifth patent. The district court awarded Ce</w:t>
      </w:r>
      <w:r>
        <w:rPr>
          <w:rFonts w:ascii="Times New Roman" w:eastAsia="宋体" w:hAnsi="Times New Roman"/>
          <w:color w:val="000000"/>
          <w:sz w:val="20"/>
          <w:szCs w:val="20"/>
        </w:rPr>
        <w:t>ntripetal $1.9 billion, comprised of $756 million in damages, $1.1 billion in enhanced damages for willful infringement, and pre-judgment interest in the amount of $14 million. The district court declined to issue an injunction but, instead, awarded Centri</w:t>
      </w:r>
      <w:r>
        <w:rPr>
          <w:rFonts w:ascii="Times New Roman" w:eastAsia="宋体" w:hAnsi="Times New Roman"/>
          <w:color w:val="000000"/>
          <w:sz w:val="20"/>
          <w:szCs w:val="20"/>
        </w:rPr>
        <w:t>petal a running royalty against revenue from the products found to infringe for an initial three-year term at a rate of 10%, with a minimum annual royalty of $168 million and a maximum annual royalty of $300 million, and for a second three-year term at a r</w:t>
      </w:r>
      <w:r>
        <w:rPr>
          <w:rFonts w:ascii="Times New Roman" w:eastAsia="宋体" w:hAnsi="Times New Roman"/>
          <w:color w:val="000000"/>
          <w:sz w:val="20"/>
          <w:szCs w:val="20"/>
        </w:rPr>
        <w:t>ate of 5%, with a minimum annual royalty of $84 million and a maximum annual royalty of $150 million. We believe that the district court’s findings of validity, infringement, and willful infringement, its award of damages, including enhanced damages, and i</w:t>
      </w:r>
      <w:r>
        <w:rPr>
          <w:rFonts w:ascii="Times New Roman" w:eastAsia="宋体" w:hAnsi="Times New Roman"/>
          <w:color w:val="000000"/>
          <w:sz w:val="20"/>
          <w:szCs w:val="20"/>
        </w:rPr>
        <w:t>ts award of an ongoing royalty are not supported by either the law or the evidence presented at trial. We have appealed the district court’s judgment as to the four patents found valid and infringed to the Federal Circuit, and we believe that any relief ul</w:t>
      </w:r>
      <w:r>
        <w:rPr>
          <w:rFonts w:ascii="Times New Roman" w:eastAsia="宋体" w:hAnsi="Times New Roman"/>
          <w:color w:val="000000"/>
          <w:sz w:val="20"/>
          <w:szCs w:val="20"/>
        </w:rPr>
        <w:t>timately awarded would not be material. On October 28, 2020, by agreement of the parties, the district court stayed execution of the judgment until after resolution of any appeal in the matter and waived the requirement of any bond or security; accordingly</w:t>
      </w:r>
      <w:r>
        <w:rPr>
          <w:rFonts w:ascii="Times New Roman" w:eastAsia="宋体" w:hAnsi="Times New Roman"/>
          <w:color w:val="000000"/>
          <w:sz w:val="20"/>
          <w:szCs w:val="20"/>
        </w:rPr>
        <w:t xml:space="preserve">, no money is currently due under the judgment. </w:t>
      </w:r>
    </w:p>
    <w:p w14:paraId="7B670122" w14:textId="77777777" w:rsidR="0040300B" w:rsidRDefault="00BB2D44">
      <w:pPr>
        <w:spacing w:before="120"/>
        <w:jc w:val="both"/>
      </w:pPr>
      <w:r>
        <w:rPr>
          <w:rFonts w:ascii="Times New Roman" w:eastAsia="宋体" w:hAnsi="Times New Roman"/>
          <w:color w:val="000000"/>
          <w:sz w:val="20"/>
          <w:szCs w:val="20"/>
        </w:rPr>
        <w:t>On April 29, 2020 and April 30, 2020, Centripetal submitted complaints in the District Court of Dusseldorf in Germany against Cisco Systems GmbH and Cisco Systems, Inc., asserting three European patents seek</w:t>
      </w:r>
      <w:r>
        <w:rPr>
          <w:rFonts w:ascii="Times New Roman" w:eastAsia="宋体" w:hAnsi="Times New Roman"/>
          <w:color w:val="000000"/>
          <w:sz w:val="20"/>
          <w:szCs w:val="20"/>
        </w:rPr>
        <w:t xml:space="preserve">ing both injunctive relief and damages. Two of the three European patents are counterparts to two U.S. patents Centripetal asserted against us in the U.S. district court proceedings, one of which has been invalidated by the PTAB. We believe we have strong </w:t>
      </w:r>
      <w:r>
        <w:rPr>
          <w:rFonts w:ascii="Times New Roman" w:eastAsia="宋体" w:hAnsi="Times New Roman"/>
          <w:color w:val="000000"/>
          <w:sz w:val="20"/>
          <w:szCs w:val="20"/>
        </w:rPr>
        <w:t>defenses. Due to uncertainty surrounding patent litigation processes in the U.S. and Europe, however, we are unable to reasonably estimate the ultimate outcome of the cases at this time.</w:t>
      </w:r>
    </w:p>
    <w:p w14:paraId="7B670123" w14:textId="77777777" w:rsidR="0040300B" w:rsidRDefault="00BB2D44">
      <w:pPr>
        <w:spacing w:before="120"/>
        <w:jc w:val="both"/>
      </w:pPr>
      <w:r>
        <w:rPr>
          <w:rFonts w:ascii="Times New Roman" w:eastAsia="宋体" w:hAnsi="Times New Roman"/>
          <w:color w:val="000000"/>
          <w:sz w:val="20"/>
          <w:szCs w:val="20"/>
          <w:u w:val="single"/>
        </w:rPr>
        <w:t>Finjan</w:t>
      </w:r>
      <w:r>
        <w:rPr>
          <w:rFonts w:ascii="Times New Roman" w:eastAsia="宋体" w:hAnsi="Times New Roman"/>
          <w:color w:val="000000"/>
          <w:sz w:val="20"/>
          <w:szCs w:val="20"/>
        </w:rPr>
        <w:t xml:space="preserve"> On January 6, 2017, Finjan, Inc. (“Finjan”) asserted patent in</w:t>
      </w:r>
      <w:r>
        <w:rPr>
          <w:rFonts w:ascii="Times New Roman" w:eastAsia="宋体" w:hAnsi="Times New Roman"/>
          <w:color w:val="000000"/>
          <w:sz w:val="20"/>
          <w:szCs w:val="20"/>
        </w:rPr>
        <w:t>fringement claims against us in the U.S. District Court for the Northern District of California, originally seeking injunctive relief and damages, including enhanced damages for allegations of willful infringement. Finjan alleged that Cisco’s AMP and Threa</w:t>
      </w:r>
      <w:r>
        <w:rPr>
          <w:rFonts w:ascii="Times New Roman" w:eastAsia="宋体" w:hAnsi="Times New Roman"/>
          <w:color w:val="000000"/>
          <w:sz w:val="20"/>
          <w:szCs w:val="20"/>
        </w:rPr>
        <w:t>tGrid products and the URL rewrite feature of Cisco’s ESA Outbreak Filter product infringe five patents. On May 24, 2021, we resolved all claims for an amount that does not have a material effect on our financial position.</w:t>
      </w:r>
    </w:p>
    <w:p w14:paraId="7B670124" w14:textId="77777777" w:rsidR="0040300B" w:rsidRDefault="00BB2D44">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 at Tel Aviv University Ltd. (“Ramot”) asserted patent infringement claims against us in E.D. Tex, seeking damages, including enhanced damages for allegations of willful infringement, and a running royalty on future sales. Ramot all</w:t>
      </w:r>
      <w:r>
        <w:rPr>
          <w:rFonts w:ascii="Times New Roman" w:eastAsia="宋体" w:hAnsi="Times New Roman"/>
          <w:color w:val="000000"/>
          <w:sz w:val="20"/>
          <w:szCs w:val="20"/>
        </w:rPr>
        <w:t>eges that certain Cisco optical transceiver modules and line cards infringe three patents. As of November 27, 2020, the PTO preliminarily found all asserted claims unpatentable in ex parte reexamination proceedings. On January 13, 2021, the court entered a</w:t>
      </w:r>
      <w:r>
        <w:rPr>
          <w:rFonts w:ascii="Times New Roman" w:eastAsia="宋体" w:hAnsi="Times New Roman"/>
          <w:color w:val="000000"/>
          <w:sz w:val="20"/>
          <w:szCs w:val="20"/>
        </w:rPr>
        <w:t xml:space="preserve">n order staying the case pending the conclusion of the ex parte reexamination proceedings. While we believe that we have strong non-infringement and invalidity arguments, and that Ramot’s damages theories are not supported by prevailing law, we are unable </w:t>
      </w:r>
      <w:r>
        <w:rPr>
          <w:rFonts w:ascii="Times New Roman" w:eastAsia="宋体" w:hAnsi="Times New Roman"/>
          <w:color w:val="000000"/>
          <w:sz w:val="20"/>
          <w:szCs w:val="20"/>
        </w:rPr>
        <w:t>to reasonably estimate the ultimate outcome of this litigation at this time due to uncertainties in the litigation processes. If we do not prevail in court, we believe that any damages ultimately assessed would not be material.</w:t>
      </w:r>
    </w:p>
    <w:p w14:paraId="7B670125" w14:textId="77777777" w:rsidR="0040300B" w:rsidRDefault="00BB2D44">
      <w:pPr>
        <w:spacing w:before="120"/>
        <w:jc w:val="both"/>
      </w:pPr>
      <w:r>
        <w:rPr>
          <w:rFonts w:ascii="Times New Roman" w:eastAsia="宋体" w:hAnsi="Times New Roman"/>
          <w:color w:val="000000"/>
          <w:sz w:val="20"/>
          <w:szCs w:val="20"/>
        </w:rPr>
        <w:t xml:space="preserve">On February 26, 2021, Ramot </w:t>
      </w:r>
      <w:r>
        <w:rPr>
          <w:rFonts w:ascii="Times New Roman" w:eastAsia="宋体" w:hAnsi="Times New Roman"/>
          <w:color w:val="000000"/>
          <w:sz w:val="20"/>
          <w:szCs w:val="20"/>
        </w:rPr>
        <w:t>asserted patent infringement claims against Acacia Communications, Inc. (“Acacia”) (which we subsequently acquired) in D. Del, seeking damages, including enhanced damages for allegations of willful infringement, and a running royalty on future sales. Ramot</w:t>
      </w:r>
      <w:r>
        <w:rPr>
          <w:rFonts w:ascii="Times New Roman" w:eastAsia="宋体" w:hAnsi="Times New Roman"/>
          <w:color w:val="000000"/>
          <w:sz w:val="20"/>
          <w:szCs w:val="20"/>
        </w:rPr>
        <w:t xml:space="preserve"> alleges that certain Acacia optical transceiver modules and integrated circuits infringe two of the three patents that Ramot has asserted in its E.D. Tex case. We are currently assessing this case. Due to the early stage of the litigation as well as uncer</w:t>
      </w:r>
      <w:r>
        <w:rPr>
          <w:rFonts w:ascii="Times New Roman" w:eastAsia="宋体" w:hAnsi="Times New Roman"/>
          <w:color w:val="000000"/>
          <w:sz w:val="20"/>
          <w:szCs w:val="20"/>
        </w:rPr>
        <w:t>tainties in the litigation processes, we are unable, at this time, to reasonably estimate a potential range of loss, if any, or the ultimate outcome of this litigation.</w:t>
      </w:r>
    </w:p>
    <w:p w14:paraId="7B670126" w14:textId="77777777" w:rsidR="0040300B" w:rsidRDefault="00BB2D44">
      <w:pPr>
        <w:spacing w:before="120"/>
        <w:jc w:val="both"/>
      </w:pPr>
      <w:r>
        <w:rPr>
          <w:rFonts w:ascii="Times New Roman" w:eastAsia="宋体" w:hAnsi="Times New Roman"/>
          <w:color w:val="000000"/>
          <w:sz w:val="20"/>
          <w:szCs w:val="20"/>
          <w:u w:val="single"/>
        </w:rPr>
        <w:t>Monarch</w:t>
      </w:r>
      <w:r>
        <w:rPr>
          <w:rFonts w:ascii="Times New Roman" w:eastAsia="宋体" w:hAnsi="Times New Roman"/>
          <w:color w:val="000000"/>
          <w:sz w:val="20"/>
          <w:szCs w:val="20"/>
        </w:rPr>
        <w:t xml:space="preserve"> On January 21, 2020, Monarch Networking Solutions LLC (“Monarch”) asserted pate</w:t>
      </w:r>
      <w:r>
        <w:rPr>
          <w:rFonts w:ascii="Times New Roman" w:eastAsia="宋体" w:hAnsi="Times New Roman"/>
          <w:color w:val="000000"/>
          <w:sz w:val="20"/>
          <w:szCs w:val="20"/>
        </w:rPr>
        <w:t>nt infringement claims against us in E.D. Tex alleging that certain Cisco routers and firewalls infringe three U.S. patents. Monarch seeks damages, including enhanced damages for alleged willful infringement, and a running royalty on future sales. The E.D.</w:t>
      </w:r>
      <w:r>
        <w:rPr>
          <w:rFonts w:ascii="Times New Roman" w:eastAsia="宋体" w:hAnsi="Times New Roman"/>
          <w:color w:val="000000"/>
          <w:sz w:val="20"/>
          <w:szCs w:val="20"/>
        </w:rPr>
        <w:t xml:space="preserve"> Tex court set trial to begin on July 12, 2021. On May 13, 2020, Monarch filed a second action against us in W.D. Tex, alleging that two factor authentication functionality in Duo and Meraki MR and MX access point products infringe one U.S. patent. Monarch</w:t>
      </w:r>
      <w:r>
        <w:rPr>
          <w:rFonts w:ascii="Times New Roman" w:eastAsia="宋体" w:hAnsi="Times New Roman"/>
          <w:color w:val="000000"/>
          <w:sz w:val="20"/>
          <w:szCs w:val="20"/>
        </w:rPr>
        <w:t xml:space="preserve"> seeks damages, including enhanced damages for alleged willful infringement, and a running royalty on future sales. The W.D. Tex court set trial to begin on November 14, 2021. While we believe that we have strong non-infringement and invalidity arguments, </w:t>
      </w:r>
      <w:r>
        <w:rPr>
          <w:rFonts w:ascii="Times New Roman" w:eastAsia="宋体" w:hAnsi="Times New Roman"/>
          <w:color w:val="000000"/>
          <w:sz w:val="20"/>
          <w:szCs w:val="20"/>
        </w:rPr>
        <w:t>and that Monarch’s damages theories are not supported by prevailing law, we are unable to reasonably estimate the ultimate outcome of these litigations at this time due to uncertainties in the litigation processes. If we do not prevail in court, we believe</w:t>
      </w:r>
      <w:r>
        <w:rPr>
          <w:rFonts w:ascii="Times New Roman" w:eastAsia="宋体" w:hAnsi="Times New Roman"/>
          <w:color w:val="000000"/>
          <w:sz w:val="20"/>
          <w:szCs w:val="20"/>
        </w:rPr>
        <w:t xml:space="preserve"> that any damages ultimately assessed would not be material.</w:t>
      </w:r>
    </w:p>
    <w:p w14:paraId="7B670127" w14:textId="77777777" w:rsidR="0040300B" w:rsidRDefault="00BB2D44">
      <w:pPr>
        <w:spacing w:before="120"/>
        <w:jc w:val="both"/>
      </w:pPr>
      <w:r>
        <w:rPr>
          <w:rFonts w:ascii="Times New Roman" w:eastAsia="宋体" w:hAnsi="Times New Roman"/>
          <w:color w:val="000000"/>
          <w:sz w:val="20"/>
          <w:szCs w:val="20"/>
          <w:u w:val="single"/>
        </w:rPr>
        <w:t>Viasat</w:t>
      </w:r>
      <w:r>
        <w:rPr>
          <w:rFonts w:ascii="Times New Roman" w:eastAsia="宋体" w:hAnsi="Times New Roman"/>
          <w:color w:val="000000"/>
          <w:sz w:val="20"/>
          <w:szCs w:val="20"/>
        </w:rPr>
        <w:t xml:space="preserve"> On January 21, 2016, Viasat, Inc. (“Viasat”) filed suit against Acacia (which we subsequently acquired) in the California Superior Court for San Diego County (“SDSC”) seeking unpaid royalt</w:t>
      </w:r>
      <w:r>
        <w:rPr>
          <w:rFonts w:ascii="Times New Roman" w:eastAsia="宋体" w:hAnsi="Times New Roman"/>
          <w:color w:val="000000"/>
          <w:sz w:val="20"/>
          <w:szCs w:val="20"/>
        </w:rPr>
        <w:t xml:space="preserve">ies for breach of contract and the implied </w:t>
      </w:r>
    </w:p>
    <w:p w14:paraId="7B670128" w14:textId="77777777" w:rsidR="0040300B" w:rsidRDefault="00BB2D44">
      <w:pPr>
        <w:jc w:val="center"/>
      </w:pPr>
      <w:r>
        <w:rPr>
          <w:rFonts w:ascii="Times New Roman" w:eastAsia="宋体" w:hAnsi="Times New Roman"/>
          <w:color w:val="000000"/>
          <w:sz w:val="20"/>
          <w:szCs w:val="20"/>
        </w:rPr>
        <w:t>35</w:t>
      </w:r>
    </w:p>
    <w:p w14:paraId="7B670129" w14:textId="77777777" w:rsidR="0040300B" w:rsidRDefault="00BB2D44">
      <w:r>
        <w:pict w14:anchorId="7B671C33">
          <v:rect id="_x0000_i1059" style="width:415.3pt;height:1.5pt" o:hralign="center" o:hrstd="t" o:hr="t" fillcolor="#a0a0a0" stroked="f"/>
        </w:pict>
      </w:r>
    </w:p>
    <w:p w14:paraId="7B67012A" w14:textId="77777777" w:rsidR="0040300B" w:rsidRDefault="00BB2D44">
      <w:hyperlink r:id="rId81" w:anchor="i52d5b40dbad7426a9806a2fd5167029f_7" w:history="1">
        <w:r>
          <w:rPr>
            <w:rStyle w:val="a5"/>
            <w:rFonts w:ascii="Times New Roman" w:eastAsia="宋体" w:hAnsi="Times New Roman"/>
            <w:sz w:val="18"/>
            <w:szCs w:val="18"/>
          </w:rPr>
          <w:t>Table of Contents</w:t>
        </w:r>
      </w:hyperlink>
    </w:p>
    <w:p w14:paraId="7B67012B" w14:textId="77777777" w:rsidR="0040300B" w:rsidRDefault="00BB2D44">
      <w:pPr>
        <w:jc w:val="center"/>
      </w:pPr>
      <w:r>
        <w:rPr>
          <w:rFonts w:ascii="Times New Roman" w:eastAsia="宋体" w:hAnsi="Times New Roman"/>
          <w:b/>
          <w:bCs/>
          <w:color w:val="000000"/>
          <w:sz w:val="18"/>
          <w:szCs w:val="18"/>
        </w:rPr>
        <w:t>CISCO SYSTEMS, INC.</w:t>
      </w:r>
    </w:p>
    <w:p w14:paraId="7B67012C" w14:textId="77777777" w:rsidR="0040300B" w:rsidRDefault="00BB2D44">
      <w:pPr>
        <w:jc w:val="center"/>
      </w:pPr>
      <w:r>
        <w:rPr>
          <w:rFonts w:ascii="Times New Roman" w:eastAsia="宋体" w:hAnsi="Times New Roman"/>
          <w:b/>
          <w:bCs/>
          <w:color w:val="000000"/>
          <w:sz w:val="18"/>
          <w:szCs w:val="18"/>
        </w:rPr>
        <w:t>NOTES TO CONSOLIDATE</w:t>
      </w:r>
      <w:r>
        <w:rPr>
          <w:rFonts w:ascii="Times New Roman" w:eastAsia="宋体" w:hAnsi="Times New Roman"/>
          <w:b/>
          <w:bCs/>
          <w:color w:val="000000"/>
          <w:sz w:val="18"/>
          <w:szCs w:val="18"/>
        </w:rPr>
        <w:t>D FINANCIAL STATEMENTS (Continued)</w:t>
      </w:r>
    </w:p>
    <w:p w14:paraId="7B67012D" w14:textId="77777777" w:rsidR="0040300B" w:rsidRDefault="00BB2D44">
      <w:pPr>
        <w:jc w:val="center"/>
      </w:pPr>
      <w:r>
        <w:rPr>
          <w:rFonts w:ascii="Times New Roman" w:eastAsia="宋体" w:hAnsi="Times New Roman"/>
          <w:b/>
          <w:bCs/>
          <w:color w:val="000000"/>
          <w:sz w:val="18"/>
          <w:szCs w:val="18"/>
        </w:rPr>
        <w:t xml:space="preserve">(Unaudited) </w:t>
      </w:r>
    </w:p>
    <w:p w14:paraId="7B67012E" w14:textId="77777777" w:rsidR="0040300B" w:rsidRDefault="0040300B">
      <w:pPr>
        <w:jc w:val="center"/>
      </w:pPr>
    </w:p>
    <w:p w14:paraId="7B67012F" w14:textId="77777777" w:rsidR="0040300B" w:rsidRDefault="00BB2D44">
      <w:pPr>
        <w:spacing w:before="120"/>
        <w:jc w:val="both"/>
      </w:pPr>
      <w:r>
        <w:rPr>
          <w:rFonts w:ascii="Times New Roman" w:eastAsia="宋体" w:hAnsi="Times New Roman"/>
          <w:color w:val="000000"/>
          <w:sz w:val="20"/>
          <w:szCs w:val="20"/>
        </w:rPr>
        <w:t>covenant of good faith and fair dealing, and damages for trade secret misappropriation for certain products (“Viasat 1”). Acacia counterclaimed for patent and trade secret misappropriation, contract, and unf</w:t>
      </w:r>
      <w:r>
        <w:rPr>
          <w:rFonts w:ascii="Times New Roman" w:eastAsia="宋体" w:hAnsi="Times New Roman"/>
          <w:color w:val="000000"/>
          <w:sz w:val="20"/>
          <w:szCs w:val="20"/>
        </w:rPr>
        <w:t>air competition claims. On July 17, 2019, the jury found for Viasat on its contract claims, and awarded Viasat $49 million for unpaid royalties through 2018. The jury further found that Acacia willfully misappropriated Viasat’s trade secrets and awarded Vi</w:t>
      </w:r>
      <w:r>
        <w:rPr>
          <w:rFonts w:ascii="Times New Roman" w:eastAsia="宋体" w:hAnsi="Times New Roman"/>
          <w:color w:val="000000"/>
          <w:sz w:val="20"/>
          <w:szCs w:val="20"/>
        </w:rPr>
        <w:t>asat $1. On Acacia’s counterclaims, the jury found for Acacia on its contract and trade secret claims and awarded Acacia $1. Both Acacia and Viasat have pending appeals to the California Court of Appeal. On November 6, 2019, Viasat filed a second suit in S</w:t>
      </w:r>
      <w:r>
        <w:rPr>
          <w:rFonts w:ascii="Times New Roman" w:eastAsia="宋体" w:hAnsi="Times New Roman"/>
          <w:color w:val="000000"/>
          <w:sz w:val="20"/>
          <w:szCs w:val="20"/>
        </w:rPr>
        <w:t>DSC, alleging contract and trade secret claims for Acacia products sold from January 1, 2019 forward (“Viasat 2”). On February 28, 2020, the court stayed Viasat 2 pending the appeal in Viasat 1. On June 9, 2020, Viasat filed a third suit in SDSC (“Viasat 3</w:t>
      </w:r>
      <w:r>
        <w:rPr>
          <w:rFonts w:ascii="Times New Roman" w:eastAsia="宋体" w:hAnsi="Times New Roman"/>
          <w:color w:val="000000"/>
          <w:sz w:val="20"/>
          <w:szCs w:val="20"/>
        </w:rPr>
        <w:t>”). In Viasat 3, Viasat alleges contract and trade secrets claims for sales of additional Acacia products. On August 11, 2020, the court stayed Viasat 3 pending the appeal in Viasat 1.</w:t>
      </w:r>
    </w:p>
    <w:p w14:paraId="7B670130" w14:textId="77777777" w:rsidR="0040300B" w:rsidRDefault="00BB2D44">
      <w:pPr>
        <w:spacing w:before="120"/>
        <w:jc w:val="both"/>
      </w:pPr>
      <w:r>
        <w:rPr>
          <w:rFonts w:ascii="Times New Roman" w:eastAsia="宋体" w:hAnsi="Times New Roman"/>
          <w:color w:val="000000"/>
          <w:sz w:val="20"/>
          <w:szCs w:val="20"/>
        </w:rPr>
        <w:t>On July 28, 2017, Acacia filed suit in the Commonwealth of Massachusett</w:t>
      </w:r>
      <w:r>
        <w:rPr>
          <w:rFonts w:ascii="Times New Roman" w:eastAsia="宋体" w:hAnsi="Times New Roman"/>
          <w:color w:val="000000"/>
          <w:sz w:val="20"/>
          <w:szCs w:val="20"/>
        </w:rPr>
        <w:t>s Superior Court - Business Litigation Session against ViaSat alleging claims for defamation, unfair competition, business torts, and declaratory judgment of no trade secret misappropriation. On April 5, 2018, ViaSat counterclaimed with contract, trade sec</w:t>
      </w:r>
      <w:r>
        <w:rPr>
          <w:rFonts w:ascii="Times New Roman" w:eastAsia="宋体" w:hAnsi="Times New Roman"/>
          <w:color w:val="000000"/>
          <w:sz w:val="20"/>
          <w:szCs w:val="20"/>
        </w:rPr>
        <w:t>ret, and unfair competition claims (collectively, with Viasat 1, Viasat 2 and Viasat 3, the “Viasat Cases”). On December 13, 2018, the Massachusetts court entered an order staying the Massachusetts litigation, which has been extended to June 30, 2021.</w:t>
      </w:r>
    </w:p>
    <w:p w14:paraId="7B670131" w14:textId="77777777" w:rsidR="0040300B" w:rsidRDefault="00BB2D44">
      <w:pPr>
        <w:spacing w:before="120"/>
        <w:jc w:val="both"/>
      </w:pPr>
      <w:r>
        <w:rPr>
          <w:rFonts w:ascii="Times New Roman" w:eastAsia="宋体" w:hAnsi="Times New Roman"/>
          <w:color w:val="000000"/>
          <w:sz w:val="20"/>
          <w:szCs w:val="20"/>
        </w:rPr>
        <w:t>Whil</w:t>
      </w:r>
      <w:r>
        <w:rPr>
          <w:rFonts w:ascii="Times New Roman" w:eastAsia="宋体" w:hAnsi="Times New Roman"/>
          <w:color w:val="000000"/>
          <w:sz w:val="20"/>
          <w:szCs w:val="20"/>
        </w:rPr>
        <w:t xml:space="preserve">e we believe Acacia has strong defenses in each of the Viasat Cases, we are unable to reasonably estimate the ultimate outcome of any of the Viasat Cases at this time due to uncertainties in the litigation processes. If Acacia does not prevail, we believe </w:t>
      </w:r>
      <w:r>
        <w:rPr>
          <w:rFonts w:ascii="Times New Roman" w:eastAsia="宋体" w:hAnsi="Times New Roman"/>
          <w:color w:val="000000"/>
          <w:sz w:val="20"/>
          <w:szCs w:val="20"/>
        </w:rPr>
        <w:t>that any relief ultimately assessed in any of the Viasat Cases would not be material.</w:t>
      </w:r>
    </w:p>
    <w:p w14:paraId="7B670132" w14:textId="77777777" w:rsidR="0040300B" w:rsidRDefault="00BB2D44">
      <w:pPr>
        <w:spacing w:before="120"/>
        <w:jc w:val="both"/>
      </w:pPr>
      <w:r>
        <w:rPr>
          <w:rFonts w:ascii="Times New Roman" w:eastAsia="宋体" w:hAnsi="Times New Roman"/>
          <w:color w:val="000000"/>
          <w:sz w:val="20"/>
          <w:szCs w:val="20"/>
        </w:rPr>
        <w:t>In addition, we are subject to legal proceedings, claims, and litigation arising in the ordinary course of business, including intellectual property litigation. While the</w:t>
      </w:r>
      <w:r>
        <w:rPr>
          <w:rFonts w:ascii="Times New Roman" w:eastAsia="宋体" w:hAnsi="Times New Roman"/>
          <w:color w:val="000000"/>
          <w:sz w:val="20"/>
          <w:szCs w:val="20"/>
        </w:rPr>
        <w:t xml:space="preserve"> outcome of these matters is currently not determinable, we do not expect that the ultimate costs to resolve these matters will have a material adverse effect on our consolidated financial position, results of operations, or cash flows. For additional info</w:t>
      </w:r>
      <w:r>
        <w:rPr>
          <w:rFonts w:ascii="Times New Roman" w:eastAsia="宋体" w:hAnsi="Times New Roman"/>
          <w:color w:val="000000"/>
          <w:sz w:val="20"/>
          <w:szCs w:val="20"/>
        </w:rPr>
        <w:t>rmation regarding intellectual property litigation, see “Part II, Item 1A. Risk Factors—We may be found to infringe on intellectual property rights of others” herein. </w:t>
      </w:r>
    </w:p>
    <w:p w14:paraId="7B670133" w14:textId="77777777" w:rsidR="0040300B" w:rsidRDefault="0040300B">
      <w:pPr>
        <w:spacing w:before="120"/>
        <w:jc w:val="both"/>
      </w:pPr>
    </w:p>
    <w:p w14:paraId="7B670134" w14:textId="77777777" w:rsidR="0040300B" w:rsidRDefault="00BB2D44">
      <w:pPr>
        <w:jc w:val="center"/>
      </w:pPr>
      <w:r>
        <w:rPr>
          <w:rFonts w:ascii="Times New Roman" w:eastAsia="宋体" w:hAnsi="Times New Roman"/>
          <w:color w:val="000000"/>
          <w:sz w:val="20"/>
          <w:szCs w:val="20"/>
        </w:rPr>
        <w:t>36</w:t>
      </w:r>
    </w:p>
    <w:p w14:paraId="7B670135" w14:textId="77777777" w:rsidR="0040300B" w:rsidRDefault="00BB2D44">
      <w:r>
        <w:pict w14:anchorId="7B671C34">
          <v:rect id="_x0000_i1060" style="width:415.3pt;height:1.5pt" o:hralign="center" o:hrstd="t" o:hr="t" fillcolor="#a0a0a0" stroked="f"/>
        </w:pict>
      </w:r>
    </w:p>
    <w:p w14:paraId="7B670136" w14:textId="77777777" w:rsidR="0040300B" w:rsidRDefault="00BB2D44">
      <w:hyperlink r:id="rId82" w:anchor="i52d5b40dbad7426a9806a2fd5167029f_7" w:history="1">
        <w:r>
          <w:rPr>
            <w:rStyle w:val="a5"/>
            <w:rFonts w:ascii="Times New Roman" w:eastAsia="宋体" w:hAnsi="Times New Roman"/>
            <w:sz w:val="18"/>
            <w:szCs w:val="18"/>
          </w:rPr>
          <w:t>Table of Contents</w:t>
        </w:r>
      </w:hyperlink>
    </w:p>
    <w:p w14:paraId="7B670137" w14:textId="77777777" w:rsidR="0040300B" w:rsidRDefault="00BB2D44">
      <w:pPr>
        <w:jc w:val="center"/>
      </w:pPr>
      <w:r>
        <w:rPr>
          <w:rFonts w:ascii="Times New Roman" w:eastAsia="宋体" w:hAnsi="Times New Roman"/>
          <w:b/>
          <w:bCs/>
          <w:color w:val="000000"/>
          <w:sz w:val="18"/>
          <w:szCs w:val="18"/>
        </w:rPr>
        <w:t>CISCO SYSTEMS, INC.</w:t>
      </w:r>
    </w:p>
    <w:p w14:paraId="7B670138"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139" w14:textId="77777777" w:rsidR="0040300B" w:rsidRDefault="00BB2D44">
      <w:pPr>
        <w:jc w:val="center"/>
      </w:pPr>
      <w:r>
        <w:rPr>
          <w:rFonts w:ascii="Times New Roman" w:eastAsia="宋体" w:hAnsi="Times New Roman"/>
          <w:b/>
          <w:bCs/>
          <w:color w:val="000000"/>
          <w:sz w:val="18"/>
          <w:szCs w:val="18"/>
        </w:rPr>
        <w:t xml:space="preserve">(Unaudited) </w:t>
      </w:r>
    </w:p>
    <w:p w14:paraId="7B67013A" w14:textId="77777777" w:rsidR="0040300B" w:rsidRDefault="0040300B">
      <w:pPr>
        <w:jc w:val="center"/>
      </w:pPr>
    </w:p>
    <w:p w14:paraId="7B67013B" w14:textId="77777777" w:rsidR="0040300B" w:rsidRDefault="00BB2D44">
      <w:pPr>
        <w:ind w:hanging="360"/>
      </w:pPr>
      <w:r>
        <w:rPr>
          <w:rFonts w:ascii="Times New Roman" w:eastAsia="宋体" w:hAnsi="Times New Roman"/>
          <w:b/>
          <w:bCs/>
          <w:color w:val="000000"/>
          <w:sz w:val="20"/>
          <w:szCs w:val="20"/>
        </w:rPr>
        <w:t xml:space="preserve">15.Stockholders’ Equity </w:t>
      </w:r>
    </w:p>
    <w:p w14:paraId="7B67013C" w14:textId="77777777" w:rsidR="0040300B" w:rsidRDefault="00BB2D44">
      <w:pPr>
        <w:spacing w:before="120"/>
        <w:ind w:hanging="360"/>
        <w:jc w:val="both"/>
      </w:pPr>
      <w:r>
        <w:rPr>
          <w:rFonts w:ascii="Times New Roman" w:eastAsia="宋体" w:hAnsi="Times New Roman"/>
          <w:b/>
          <w:bCs/>
          <w:color w:val="000000"/>
          <w:sz w:val="20"/>
          <w:szCs w:val="20"/>
        </w:rPr>
        <w:t xml:space="preserve">(a)Cash Dividends on Shares of Common Stock </w:t>
      </w:r>
    </w:p>
    <w:p w14:paraId="7B67013D" w14:textId="77777777" w:rsidR="0040300B" w:rsidRDefault="00BB2D44">
      <w:pPr>
        <w:spacing w:before="120"/>
        <w:jc w:val="both"/>
      </w:pPr>
      <w:r>
        <w:rPr>
          <w:rFonts w:ascii="Times New Roman" w:eastAsia="宋体" w:hAnsi="Times New Roman"/>
          <w:color w:val="000000"/>
          <w:sz w:val="20"/>
          <w:szCs w:val="20"/>
        </w:rPr>
        <w:t>We declared and paid cash dividends of $0.37 and $0.36 per common share, or $1.6 billion and $1.5 billion, on our outstanding common stock for the third quarter of fiscal 2021 and 2020, respectively. We declared</w:t>
      </w:r>
      <w:r>
        <w:rPr>
          <w:rFonts w:ascii="Times New Roman" w:eastAsia="宋体" w:hAnsi="Times New Roman"/>
          <w:color w:val="000000"/>
          <w:sz w:val="20"/>
          <w:szCs w:val="20"/>
        </w:rPr>
        <w:t xml:space="preserve"> and paid cash dividends of $1.09 and $1.06 per common share, or $4.6 billion and $4.5 billion, on our outstanding common stock for the first nine months of fiscal 2021 and 2020, respectively.</w:t>
      </w:r>
    </w:p>
    <w:p w14:paraId="7B67013E" w14:textId="77777777" w:rsidR="0040300B" w:rsidRDefault="00BB2D44">
      <w:pPr>
        <w:spacing w:before="120"/>
        <w:jc w:val="both"/>
      </w:pPr>
      <w:r>
        <w:rPr>
          <w:rFonts w:ascii="Times New Roman" w:eastAsia="宋体" w:hAnsi="Times New Roman"/>
          <w:color w:val="000000"/>
          <w:sz w:val="20"/>
          <w:szCs w:val="20"/>
        </w:rPr>
        <w:t>Any future dividends will be subject to the approval of our Boa</w:t>
      </w:r>
      <w:r>
        <w:rPr>
          <w:rFonts w:ascii="Times New Roman" w:eastAsia="宋体" w:hAnsi="Times New Roman"/>
          <w:color w:val="000000"/>
          <w:sz w:val="20"/>
          <w:szCs w:val="20"/>
        </w:rPr>
        <w:t>rd of Directors.</w:t>
      </w:r>
    </w:p>
    <w:p w14:paraId="7B67013F" w14:textId="77777777" w:rsidR="0040300B" w:rsidRDefault="00BB2D44">
      <w:pPr>
        <w:spacing w:before="120"/>
        <w:ind w:hanging="360"/>
      </w:pPr>
      <w:r>
        <w:rPr>
          <w:rFonts w:ascii="Times New Roman" w:eastAsia="宋体" w:hAnsi="Times New Roman"/>
          <w:b/>
          <w:bCs/>
          <w:color w:val="000000"/>
          <w:sz w:val="20"/>
          <w:szCs w:val="20"/>
        </w:rPr>
        <w:t>(b)Stock Repurchase Program</w:t>
      </w:r>
    </w:p>
    <w:p w14:paraId="7B670140" w14:textId="77777777" w:rsidR="0040300B" w:rsidRDefault="00BB2D44">
      <w:pPr>
        <w:spacing w:before="120"/>
        <w:jc w:val="both"/>
      </w:pPr>
      <w:r>
        <w:rPr>
          <w:rFonts w:ascii="Times New Roman" w:eastAsia="宋体" w:hAnsi="Times New Roman"/>
          <w:color w:val="000000"/>
          <w:sz w:val="20"/>
          <w:szCs w:val="20"/>
        </w:rPr>
        <w:t>In September 2001, our Board of Directors authorized a stock repurchase program. As of May 1, 2021, the remaining authorized amount for stock repurchases under this program was approximately $8.7 billion with no</w:t>
      </w:r>
      <w:r>
        <w:rPr>
          <w:rFonts w:ascii="Times New Roman" w:eastAsia="宋体" w:hAnsi="Times New Roman"/>
          <w:color w:val="000000"/>
          <w:sz w:val="20"/>
          <w:szCs w:val="20"/>
        </w:rPr>
        <w:t xml:space="preserve"> termination date. A summary of the stock repurchase activity for fiscal 2021 and 2020 under the stock repurchase program, reported based on the trade date, is summarized as follows (in millions, except per-share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1"/>
        <w:gridCol w:w="37"/>
        <w:gridCol w:w="36"/>
        <w:gridCol w:w="36"/>
        <w:gridCol w:w="36"/>
        <w:gridCol w:w="39"/>
        <w:gridCol w:w="877"/>
        <w:gridCol w:w="36"/>
        <w:gridCol w:w="36"/>
        <w:gridCol w:w="36"/>
        <w:gridCol w:w="36"/>
        <w:gridCol w:w="121"/>
        <w:gridCol w:w="1303"/>
        <w:gridCol w:w="36"/>
        <w:gridCol w:w="36"/>
        <w:gridCol w:w="36"/>
        <w:gridCol w:w="36"/>
        <w:gridCol w:w="121"/>
        <w:gridCol w:w="855"/>
        <w:gridCol w:w="36"/>
      </w:tblGrid>
      <w:tr w:rsidR="0040300B" w14:paraId="7B670156" w14:textId="77777777">
        <w:trPr>
          <w:jc w:val="center"/>
        </w:trPr>
        <w:tc>
          <w:tcPr>
            <w:tcW w:w="50" w:type="pct"/>
            <w:shd w:val="clear" w:color="auto" w:fill="auto"/>
          </w:tcPr>
          <w:p w14:paraId="7B670141" w14:textId="77777777" w:rsidR="0040300B" w:rsidRDefault="0040300B">
            <w:pPr>
              <w:rPr>
                <w:rFonts w:ascii="宋体"/>
              </w:rPr>
            </w:pPr>
          </w:p>
        </w:tc>
        <w:tc>
          <w:tcPr>
            <w:tcW w:w="2756" w:type="pct"/>
            <w:shd w:val="clear" w:color="auto" w:fill="auto"/>
          </w:tcPr>
          <w:p w14:paraId="7B670142" w14:textId="77777777" w:rsidR="0040300B" w:rsidRDefault="0040300B">
            <w:pPr>
              <w:rPr>
                <w:rFonts w:ascii="宋体"/>
              </w:rPr>
            </w:pPr>
          </w:p>
        </w:tc>
        <w:tc>
          <w:tcPr>
            <w:tcW w:w="5" w:type="pct"/>
            <w:shd w:val="clear" w:color="auto" w:fill="auto"/>
          </w:tcPr>
          <w:p w14:paraId="7B670143" w14:textId="77777777" w:rsidR="0040300B" w:rsidRDefault="0040300B">
            <w:pPr>
              <w:rPr>
                <w:rFonts w:ascii="宋体"/>
              </w:rPr>
            </w:pPr>
          </w:p>
        </w:tc>
        <w:tc>
          <w:tcPr>
            <w:tcW w:w="5" w:type="pct"/>
            <w:shd w:val="clear" w:color="auto" w:fill="auto"/>
          </w:tcPr>
          <w:p w14:paraId="7B670144" w14:textId="77777777" w:rsidR="0040300B" w:rsidRDefault="0040300B">
            <w:pPr>
              <w:rPr>
                <w:rFonts w:ascii="宋体"/>
              </w:rPr>
            </w:pPr>
          </w:p>
        </w:tc>
        <w:tc>
          <w:tcPr>
            <w:tcW w:w="26" w:type="pct"/>
            <w:shd w:val="clear" w:color="auto" w:fill="auto"/>
          </w:tcPr>
          <w:p w14:paraId="7B670145" w14:textId="77777777" w:rsidR="0040300B" w:rsidRDefault="0040300B">
            <w:pPr>
              <w:rPr>
                <w:rFonts w:ascii="宋体"/>
              </w:rPr>
            </w:pPr>
          </w:p>
        </w:tc>
        <w:tc>
          <w:tcPr>
            <w:tcW w:w="5" w:type="pct"/>
            <w:shd w:val="clear" w:color="auto" w:fill="auto"/>
          </w:tcPr>
          <w:p w14:paraId="7B670146" w14:textId="77777777" w:rsidR="0040300B" w:rsidRDefault="0040300B">
            <w:pPr>
              <w:rPr>
                <w:rFonts w:ascii="宋体"/>
              </w:rPr>
            </w:pPr>
          </w:p>
        </w:tc>
        <w:tc>
          <w:tcPr>
            <w:tcW w:w="50" w:type="pct"/>
            <w:shd w:val="clear" w:color="auto" w:fill="auto"/>
          </w:tcPr>
          <w:p w14:paraId="7B670147" w14:textId="77777777" w:rsidR="0040300B" w:rsidRDefault="0040300B">
            <w:pPr>
              <w:rPr>
                <w:rFonts w:ascii="宋体"/>
              </w:rPr>
            </w:pPr>
          </w:p>
        </w:tc>
        <w:tc>
          <w:tcPr>
            <w:tcW w:w="618" w:type="pct"/>
            <w:shd w:val="clear" w:color="auto" w:fill="auto"/>
          </w:tcPr>
          <w:p w14:paraId="7B670148" w14:textId="77777777" w:rsidR="0040300B" w:rsidRDefault="0040300B">
            <w:pPr>
              <w:rPr>
                <w:rFonts w:ascii="宋体"/>
              </w:rPr>
            </w:pPr>
          </w:p>
        </w:tc>
        <w:tc>
          <w:tcPr>
            <w:tcW w:w="5" w:type="pct"/>
            <w:shd w:val="clear" w:color="auto" w:fill="auto"/>
          </w:tcPr>
          <w:p w14:paraId="7B670149" w14:textId="77777777" w:rsidR="0040300B" w:rsidRDefault="0040300B">
            <w:pPr>
              <w:rPr>
                <w:rFonts w:ascii="宋体"/>
              </w:rPr>
            </w:pPr>
          </w:p>
        </w:tc>
        <w:tc>
          <w:tcPr>
            <w:tcW w:w="5" w:type="pct"/>
            <w:shd w:val="clear" w:color="auto" w:fill="auto"/>
          </w:tcPr>
          <w:p w14:paraId="7B67014A" w14:textId="77777777" w:rsidR="0040300B" w:rsidRDefault="0040300B">
            <w:pPr>
              <w:rPr>
                <w:rFonts w:ascii="宋体"/>
              </w:rPr>
            </w:pPr>
          </w:p>
        </w:tc>
        <w:tc>
          <w:tcPr>
            <w:tcW w:w="26" w:type="pct"/>
            <w:shd w:val="clear" w:color="auto" w:fill="auto"/>
          </w:tcPr>
          <w:p w14:paraId="7B67014B" w14:textId="77777777" w:rsidR="0040300B" w:rsidRDefault="0040300B">
            <w:pPr>
              <w:rPr>
                <w:rFonts w:ascii="宋体"/>
              </w:rPr>
            </w:pPr>
          </w:p>
        </w:tc>
        <w:tc>
          <w:tcPr>
            <w:tcW w:w="5" w:type="pct"/>
            <w:shd w:val="clear" w:color="auto" w:fill="auto"/>
          </w:tcPr>
          <w:p w14:paraId="7B67014C" w14:textId="77777777" w:rsidR="0040300B" w:rsidRDefault="0040300B">
            <w:pPr>
              <w:rPr>
                <w:rFonts w:ascii="宋体"/>
              </w:rPr>
            </w:pPr>
          </w:p>
        </w:tc>
        <w:tc>
          <w:tcPr>
            <w:tcW w:w="50" w:type="pct"/>
            <w:shd w:val="clear" w:color="auto" w:fill="auto"/>
          </w:tcPr>
          <w:p w14:paraId="7B67014D" w14:textId="77777777" w:rsidR="0040300B" w:rsidRDefault="0040300B">
            <w:pPr>
              <w:rPr>
                <w:rFonts w:ascii="宋体"/>
              </w:rPr>
            </w:pPr>
          </w:p>
        </w:tc>
        <w:tc>
          <w:tcPr>
            <w:tcW w:w="669" w:type="pct"/>
            <w:shd w:val="clear" w:color="auto" w:fill="auto"/>
          </w:tcPr>
          <w:p w14:paraId="7B67014E" w14:textId="77777777" w:rsidR="0040300B" w:rsidRDefault="0040300B">
            <w:pPr>
              <w:rPr>
                <w:rFonts w:ascii="宋体"/>
              </w:rPr>
            </w:pPr>
          </w:p>
        </w:tc>
        <w:tc>
          <w:tcPr>
            <w:tcW w:w="5" w:type="pct"/>
            <w:shd w:val="clear" w:color="auto" w:fill="auto"/>
          </w:tcPr>
          <w:p w14:paraId="7B67014F" w14:textId="77777777" w:rsidR="0040300B" w:rsidRDefault="0040300B">
            <w:pPr>
              <w:rPr>
                <w:rFonts w:ascii="宋体"/>
              </w:rPr>
            </w:pPr>
          </w:p>
        </w:tc>
        <w:tc>
          <w:tcPr>
            <w:tcW w:w="5" w:type="pct"/>
            <w:shd w:val="clear" w:color="auto" w:fill="auto"/>
          </w:tcPr>
          <w:p w14:paraId="7B670150" w14:textId="77777777" w:rsidR="0040300B" w:rsidRDefault="0040300B">
            <w:pPr>
              <w:rPr>
                <w:rFonts w:ascii="宋体"/>
              </w:rPr>
            </w:pPr>
          </w:p>
        </w:tc>
        <w:tc>
          <w:tcPr>
            <w:tcW w:w="26" w:type="pct"/>
            <w:shd w:val="clear" w:color="auto" w:fill="auto"/>
          </w:tcPr>
          <w:p w14:paraId="7B670151" w14:textId="77777777" w:rsidR="0040300B" w:rsidRDefault="0040300B">
            <w:pPr>
              <w:rPr>
                <w:rFonts w:ascii="宋体"/>
              </w:rPr>
            </w:pPr>
          </w:p>
        </w:tc>
        <w:tc>
          <w:tcPr>
            <w:tcW w:w="5" w:type="pct"/>
            <w:shd w:val="clear" w:color="auto" w:fill="auto"/>
          </w:tcPr>
          <w:p w14:paraId="7B670152" w14:textId="77777777" w:rsidR="0040300B" w:rsidRDefault="0040300B">
            <w:pPr>
              <w:rPr>
                <w:rFonts w:ascii="宋体"/>
              </w:rPr>
            </w:pPr>
          </w:p>
        </w:tc>
        <w:tc>
          <w:tcPr>
            <w:tcW w:w="50" w:type="pct"/>
            <w:shd w:val="clear" w:color="auto" w:fill="auto"/>
          </w:tcPr>
          <w:p w14:paraId="7B670153" w14:textId="77777777" w:rsidR="0040300B" w:rsidRDefault="0040300B">
            <w:pPr>
              <w:rPr>
                <w:rFonts w:ascii="宋体"/>
              </w:rPr>
            </w:pPr>
          </w:p>
        </w:tc>
        <w:tc>
          <w:tcPr>
            <w:tcW w:w="625" w:type="pct"/>
            <w:shd w:val="clear" w:color="auto" w:fill="auto"/>
          </w:tcPr>
          <w:p w14:paraId="7B670154" w14:textId="77777777" w:rsidR="0040300B" w:rsidRDefault="0040300B">
            <w:pPr>
              <w:rPr>
                <w:rFonts w:ascii="宋体"/>
              </w:rPr>
            </w:pPr>
          </w:p>
        </w:tc>
        <w:tc>
          <w:tcPr>
            <w:tcW w:w="5" w:type="pct"/>
            <w:shd w:val="clear" w:color="auto" w:fill="auto"/>
          </w:tcPr>
          <w:p w14:paraId="7B670155" w14:textId="77777777" w:rsidR="0040300B" w:rsidRDefault="0040300B">
            <w:pPr>
              <w:rPr>
                <w:rFonts w:ascii="宋体"/>
              </w:rPr>
            </w:pPr>
          </w:p>
        </w:tc>
      </w:tr>
      <w:tr w:rsidR="0040300B" w14:paraId="7B67015E" w14:textId="77777777">
        <w:trPr>
          <w:jc w:val="center"/>
        </w:trPr>
        <w:tc>
          <w:tcPr>
            <w:tcW w:w="0" w:type="auto"/>
            <w:gridSpan w:val="3"/>
            <w:shd w:val="clear" w:color="auto" w:fill="auto"/>
            <w:tcMar>
              <w:top w:w="40" w:type="dxa"/>
              <w:left w:w="20" w:type="dxa"/>
              <w:bottom w:w="40" w:type="dxa"/>
              <w:right w:w="20" w:type="dxa"/>
            </w:tcMar>
            <w:vAlign w:val="bottom"/>
          </w:tcPr>
          <w:p w14:paraId="7B670157" w14:textId="77777777" w:rsidR="0040300B" w:rsidRDefault="00BB2D44">
            <w:pPr>
              <w:textAlignment w:val="bottom"/>
            </w:pPr>
            <w:r>
              <w:rPr>
                <w:rFonts w:ascii="Times New Roman" w:eastAsia="宋体" w:hAnsi="Times New Roman"/>
                <w:color w:val="000000"/>
                <w:sz w:val="18"/>
                <w:szCs w:val="18"/>
                <w:u w:val="single"/>
              </w:rPr>
              <w:t>Quarter End</w:t>
            </w:r>
            <w:r>
              <w:rPr>
                <w:rFonts w:ascii="Times New Roman" w:eastAsia="宋体" w:hAnsi="Times New Roman"/>
                <w:color w:val="000000"/>
                <w:sz w:val="18"/>
                <w:szCs w:val="18"/>
                <w:u w:val="single"/>
              </w:rPr>
              <w:t>ed</w:t>
            </w:r>
          </w:p>
        </w:tc>
        <w:tc>
          <w:tcPr>
            <w:tcW w:w="0" w:type="auto"/>
            <w:gridSpan w:val="3"/>
            <w:shd w:val="clear" w:color="auto" w:fill="auto"/>
            <w:tcMar>
              <w:top w:w="0" w:type="dxa"/>
              <w:left w:w="20" w:type="dxa"/>
              <w:bottom w:w="0" w:type="dxa"/>
              <w:right w:w="20" w:type="dxa"/>
            </w:tcMar>
          </w:tcPr>
          <w:p w14:paraId="7B67015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159" w14:textId="77777777" w:rsidR="0040300B" w:rsidRDefault="00BB2D44">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tcPr>
          <w:p w14:paraId="7B67015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15B" w14:textId="77777777" w:rsidR="0040300B" w:rsidRDefault="00BB2D44">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tcPr>
          <w:p w14:paraId="7B67015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15D" w14:textId="77777777" w:rsidR="0040300B" w:rsidRDefault="00BB2D44">
            <w:pPr>
              <w:jc w:val="center"/>
              <w:textAlignment w:val="bottom"/>
            </w:pPr>
            <w:r>
              <w:rPr>
                <w:rFonts w:ascii="Times New Roman" w:eastAsia="宋体" w:hAnsi="Times New Roman"/>
                <w:color w:val="000000"/>
                <w:sz w:val="18"/>
                <w:szCs w:val="18"/>
              </w:rPr>
              <w:t>Amount</w:t>
            </w:r>
          </w:p>
        </w:tc>
      </w:tr>
      <w:tr w:rsidR="0040300B" w14:paraId="7B670166" w14:textId="77777777">
        <w:trPr>
          <w:jc w:val="center"/>
        </w:trPr>
        <w:tc>
          <w:tcPr>
            <w:tcW w:w="0" w:type="auto"/>
            <w:gridSpan w:val="3"/>
            <w:shd w:val="clear" w:color="auto" w:fill="CCEEFF"/>
            <w:tcMar>
              <w:top w:w="40" w:type="dxa"/>
              <w:left w:w="20" w:type="dxa"/>
              <w:bottom w:w="40" w:type="dxa"/>
              <w:right w:w="20" w:type="dxa"/>
            </w:tcMar>
            <w:vAlign w:val="bottom"/>
          </w:tcPr>
          <w:p w14:paraId="7B67015F" w14:textId="77777777" w:rsidR="0040300B" w:rsidRDefault="00BB2D44">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tcPr>
          <w:p w14:paraId="7B67016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16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6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16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6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165" w14:textId="77777777" w:rsidR="0040300B" w:rsidRDefault="0040300B">
            <w:pPr>
              <w:rPr>
                <w:rFonts w:ascii="宋体"/>
              </w:rPr>
            </w:pPr>
          </w:p>
        </w:tc>
      </w:tr>
      <w:tr w:rsidR="0040300B" w14:paraId="7B670173" w14:textId="77777777">
        <w:trPr>
          <w:jc w:val="center"/>
        </w:trPr>
        <w:tc>
          <w:tcPr>
            <w:tcW w:w="0" w:type="auto"/>
            <w:gridSpan w:val="3"/>
            <w:shd w:val="clear" w:color="auto" w:fill="FFFFFF"/>
            <w:tcMar>
              <w:top w:w="40" w:type="dxa"/>
              <w:left w:w="155" w:type="dxa"/>
              <w:bottom w:w="40" w:type="dxa"/>
              <w:right w:w="20" w:type="dxa"/>
            </w:tcMar>
            <w:vAlign w:val="bottom"/>
          </w:tcPr>
          <w:p w14:paraId="7B670167" w14:textId="77777777" w:rsidR="0040300B" w:rsidRDefault="00BB2D44">
            <w:pPr>
              <w:textAlignment w:val="bottom"/>
            </w:pPr>
            <w:r>
              <w:rPr>
                <w:rFonts w:ascii="Times New Roman" w:eastAsia="宋体" w:hAnsi="Times New Roman"/>
                <w:color w:val="000000"/>
                <w:sz w:val="20"/>
                <w:szCs w:val="20"/>
              </w:rPr>
              <w:t>May 1, 2021</w:t>
            </w:r>
          </w:p>
        </w:tc>
        <w:tc>
          <w:tcPr>
            <w:tcW w:w="0" w:type="auto"/>
            <w:gridSpan w:val="3"/>
            <w:shd w:val="clear" w:color="auto" w:fill="FFFFFF"/>
            <w:tcMar>
              <w:top w:w="0" w:type="dxa"/>
              <w:left w:w="20" w:type="dxa"/>
              <w:bottom w:w="0" w:type="dxa"/>
              <w:right w:w="20" w:type="dxa"/>
            </w:tcMar>
          </w:tcPr>
          <w:p w14:paraId="7B67016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169"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B67016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6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6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6D" w14:textId="77777777" w:rsidR="0040300B" w:rsidRDefault="00BB2D44">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7B67016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6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7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71" w14:textId="77777777" w:rsidR="0040300B" w:rsidRDefault="00BB2D44">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7B670172" w14:textId="77777777" w:rsidR="0040300B" w:rsidRDefault="0040300B">
            <w:pPr>
              <w:jc w:val="right"/>
              <w:rPr>
                <w:rFonts w:ascii="宋体"/>
              </w:rPr>
            </w:pPr>
          </w:p>
        </w:tc>
      </w:tr>
      <w:tr w:rsidR="0040300B" w14:paraId="7B670180" w14:textId="77777777">
        <w:trPr>
          <w:jc w:val="center"/>
        </w:trPr>
        <w:tc>
          <w:tcPr>
            <w:tcW w:w="0" w:type="auto"/>
            <w:gridSpan w:val="3"/>
            <w:shd w:val="clear" w:color="auto" w:fill="CCEEFF"/>
            <w:tcMar>
              <w:top w:w="40" w:type="dxa"/>
              <w:left w:w="155" w:type="dxa"/>
              <w:bottom w:w="40" w:type="dxa"/>
              <w:right w:w="20" w:type="dxa"/>
            </w:tcMar>
            <w:vAlign w:val="bottom"/>
          </w:tcPr>
          <w:p w14:paraId="7B670174" w14:textId="77777777" w:rsidR="0040300B" w:rsidRDefault="00BB2D44">
            <w:pPr>
              <w:textAlignment w:val="bottom"/>
            </w:pPr>
            <w:r>
              <w:rPr>
                <w:rFonts w:ascii="Times New Roman" w:eastAsia="宋体" w:hAnsi="Times New Roman"/>
                <w:color w:val="000000"/>
                <w:sz w:val="20"/>
                <w:szCs w:val="20"/>
              </w:rPr>
              <w:t>January 23, 2021</w:t>
            </w:r>
          </w:p>
        </w:tc>
        <w:tc>
          <w:tcPr>
            <w:tcW w:w="0" w:type="auto"/>
            <w:gridSpan w:val="3"/>
            <w:shd w:val="clear" w:color="auto" w:fill="CCEEFF"/>
            <w:tcMar>
              <w:top w:w="0" w:type="dxa"/>
              <w:left w:w="20" w:type="dxa"/>
              <w:bottom w:w="0" w:type="dxa"/>
              <w:right w:w="20" w:type="dxa"/>
            </w:tcMar>
          </w:tcPr>
          <w:p w14:paraId="7B67017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176"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B67017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7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7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7A" w14:textId="77777777" w:rsidR="0040300B" w:rsidRDefault="00BB2D44">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7B67017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7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7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7E" w14:textId="77777777" w:rsidR="0040300B" w:rsidRDefault="00BB2D44">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7B67017F" w14:textId="77777777" w:rsidR="0040300B" w:rsidRDefault="0040300B">
            <w:pPr>
              <w:jc w:val="right"/>
              <w:rPr>
                <w:rFonts w:ascii="宋体"/>
              </w:rPr>
            </w:pPr>
          </w:p>
        </w:tc>
      </w:tr>
      <w:tr w:rsidR="0040300B" w14:paraId="7B67018D" w14:textId="77777777">
        <w:trPr>
          <w:jc w:val="center"/>
        </w:trPr>
        <w:tc>
          <w:tcPr>
            <w:tcW w:w="0" w:type="auto"/>
            <w:gridSpan w:val="3"/>
            <w:shd w:val="clear" w:color="auto" w:fill="FFFFFF"/>
            <w:tcMar>
              <w:top w:w="40" w:type="dxa"/>
              <w:left w:w="155" w:type="dxa"/>
              <w:bottom w:w="40" w:type="dxa"/>
              <w:right w:w="20" w:type="dxa"/>
            </w:tcMar>
            <w:vAlign w:val="bottom"/>
          </w:tcPr>
          <w:p w14:paraId="7B670181" w14:textId="77777777" w:rsidR="0040300B" w:rsidRDefault="00BB2D44">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tcPr>
          <w:p w14:paraId="7B6701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183" w14:textId="77777777" w:rsidR="0040300B" w:rsidRDefault="00BB2D4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B67018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8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8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87" w14:textId="77777777" w:rsidR="0040300B" w:rsidRDefault="00BB2D44">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7B67018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8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8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8B" w14:textId="77777777" w:rsidR="0040300B" w:rsidRDefault="00BB2D44">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7B67018C" w14:textId="77777777" w:rsidR="0040300B" w:rsidRDefault="0040300B">
            <w:pPr>
              <w:jc w:val="right"/>
              <w:rPr>
                <w:rFonts w:ascii="宋体"/>
              </w:rPr>
            </w:pPr>
          </w:p>
        </w:tc>
      </w:tr>
      <w:tr w:rsidR="0040300B" w14:paraId="7B670195" w14:textId="77777777">
        <w:trPr>
          <w:trHeight w:val="280"/>
          <w:jc w:val="center"/>
        </w:trPr>
        <w:tc>
          <w:tcPr>
            <w:tcW w:w="0" w:type="auto"/>
            <w:gridSpan w:val="3"/>
            <w:shd w:val="clear" w:color="auto" w:fill="CCEEFF"/>
            <w:tcMar>
              <w:top w:w="0" w:type="dxa"/>
              <w:left w:w="20" w:type="dxa"/>
              <w:bottom w:w="0" w:type="dxa"/>
              <w:right w:w="20" w:type="dxa"/>
            </w:tcMar>
          </w:tcPr>
          <w:p w14:paraId="7B67018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8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9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9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9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9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194" w14:textId="77777777" w:rsidR="0040300B" w:rsidRDefault="0040300B">
            <w:pPr>
              <w:rPr>
                <w:rFonts w:ascii="宋体"/>
              </w:rPr>
            </w:pPr>
          </w:p>
        </w:tc>
      </w:tr>
      <w:tr w:rsidR="0040300B" w14:paraId="7B67019D" w14:textId="77777777">
        <w:trPr>
          <w:jc w:val="center"/>
        </w:trPr>
        <w:tc>
          <w:tcPr>
            <w:tcW w:w="0" w:type="auto"/>
            <w:gridSpan w:val="3"/>
            <w:shd w:val="clear" w:color="auto" w:fill="FFFFFF"/>
            <w:tcMar>
              <w:top w:w="40" w:type="dxa"/>
              <w:left w:w="20" w:type="dxa"/>
              <w:bottom w:w="40" w:type="dxa"/>
              <w:right w:w="20" w:type="dxa"/>
            </w:tcMar>
            <w:vAlign w:val="bottom"/>
          </w:tcPr>
          <w:p w14:paraId="7B670196" w14:textId="77777777" w:rsidR="0040300B" w:rsidRDefault="00BB2D44">
            <w:pPr>
              <w:textAlignment w:val="bottom"/>
            </w:pPr>
            <w:r>
              <w:rPr>
                <w:rFonts w:ascii="Times New Roman" w:eastAsia="宋体" w:hAnsi="Times New Roman"/>
                <w:color w:val="000000"/>
                <w:sz w:val="20"/>
                <w:szCs w:val="20"/>
              </w:rPr>
              <w:t>Fiscal 2020</w:t>
            </w:r>
          </w:p>
        </w:tc>
        <w:tc>
          <w:tcPr>
            <w:tcW w:w="0" w:type="auto"/>
            <w:gridSpan w:val="3"/>
            <w:shd w:val="clear" w:color="auto" w:fill="FFFFFF"/>
            <w:tcMar>
              <w:top w:w="0" w:type="dxa"/>
              <w:left w:w="20" w:type="dxa"/>
              <w:bottom w:w="0" w:type="dxa"/>
              <w:right w:w="20" w:type="dxa"/>
            </w:tcMar>
          </w:tcPr>
          <w:p w14:paraId="7B67019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19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19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19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19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19C" w14:textId="77777777" w:rsidR="0040300B" w:rsidRDefault="0040300B">
            <w:pPr>
              <w:rPr>
                <w:rFonts w:ascii="宋体"/>
              </w:rPr>
            </w:pPr>
          </w:p>
        </w:tc>
      </w:tr>
      <w:tr w:rsidR="0040300B" w14:paraId="7B6701AA" w14:textId="77777777">
        <w:trPr>
          <w:jc w:val="center"/>
        </w:trPr>
        <w:tc>
          <w:tcPr>
            <w:tcW w:w="0" w:type="auto"/>
            <w:gridSpan w:val="3"/>
            <w:shd w:val="clear" w:color="auto" w:fill="CCEEFF"/>
            <w:tcMar>
              <w:top w:w="40" w:type="dxa"/>
              <w:left w:w="155" w:type="dxa"/>
              <w:bottom w:w="40" w:type="dxa"/>
              <w:right w:w="20" w:type="dxa"/>
            </w:tcMar>
            <w:vAlign w:val="bottom"/>
          </w:tcPr>
          <w:p w14:paraId="7B67019E" w14:textId="77777777" w:rsidR="0040300B" w:rsidRDefault="00BB2D44">
            <w:pPr>
              <w:textAlignment w:val="bottom"/>
            </w:pPr>
            <w:r>
              <w:rPr>
                <w:rFonts w:ascii="Times New Roman" w:eastAsia="宋体" w:hAnsi="Times New Roman"/>
                <w:color w:val="000000"/>
                <w:sz w:val="20"/>
                <w:szCs w:val="20"/>
              </w:rPr>
              <w:t>July 25, 2020</w:t>
            </w:r>
          </w:p>
        </w:tc>
        <w:tc>
          <w:tcPr>
            <w:tcW w:w="0" w:type="auto"/>
            <w:gridSpan w:val="3"/>
            <w:shd w:val="clear" w:color="auto" w:fill="CCEEFF"/>
            <w:tcMar>
              <w:top w:w="0" w:type="dxa"/>
              <w:left w:w="20" w:type="dxa"/>
              <w:bottom w:w="0" w:type="dxa"/>
              <w:right w:w="20" w:type="dxa"/>
            </w:tcMar>
          </w:tcPr>
          <w:p w14:paraId="7B67019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1A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01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A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A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A4"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01A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A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A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A8"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01A9" w14:textId="77777777" w:rsidR="0040300B" w:rsidRDefault="0040300B">
            <w:pPr>
              <w:jc w:val="right"/>
              <w:rPr>
                <w:rFonts w:ascii="宋体"/>
              </w:rPr>
            </w:pPr>
          </w:p>
        </w:tc>
      </w:tr>
      <w:tr w:rsidR="0040300B" w14:paraId="7B6701B7" w14:textId="77777777">
        <w:trPr>
          <w:jc w:val="center"/>
        </w:trPr>
        <w:tc>
          <w:tcPr>
            <w:tcW w:w="0" w:type="auto"/>
            <w:gridSpan w:val="3"/>
            <w:shd w:val="clear" w:color="auto" w:fill="FFFFFF"/>
            <w:tcMar>
              <w:top w:w="40" w:type="dxa"/>
              <w:left w:w="155" w:type="dxa"/>
              <w:bottom w:w="40" w:type="dxa"/>
              <w:right w:w="20" w:type="dxa"/>
            </w:tcMar>
            <w:vAlign w:val="bottom"/>
          </w:tcPr>
          <w:p w14:paraId="7B6701AB" w14:textId="77777777" w:rsidR="0040300B" w:rsidRDefault="00BB2D44">
            <w:pPr>
              <w:textAlignment w:val="bottom"/>
            </w:pPr>
            <w:r>
              <w:rPr>
                <w:rFonts w:ascii="Times New Roman" w:eastAsia="宋体" w:hAnsi="Times New Roman"/>
                <w:color w:val="000000"/>
                <w:sz w:val="20"/>
                <w:szCs w:val="20"/>
              </w:rPr>
              <w:t>April 25, 2020</w:t>
            </w:r>
          </w:p>
        </w:tc>
        <w:tc>
          <w:tcPr>
            <w:tcW w:w="0" w:type="auto"/>
            <w:gridSpan w:val="3"/>
            <w:shd w:val="clear" w:color="auto" w:fill="FFFFFF"/>
            <w:tcMar>
              <w:top w:w="0" w:type="dxa"/>
              <w:left w:w="20" w:type="dxa"/>
              <w:bottom w:w="0" w:type="dxa"/>
              <w:right w:w="20" w:type="dxa"/>
            </w:tcMar>
          </w:tcPr>
          <w:p w14:paraId="7B6701A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1AD" w14:textId="77777777" w:rsidR="0040300B" w:rsidRDefault="00BB2D4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B6701A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A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B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B1" w14:textId="77777777" w:rsidR="0040300B" w:rsidRDefault="00BB2D44">
            <w:pPr>
              <w:jc w:val="right"/>
              <w:textAlignment w:val="bottom"/>
            </w:pPr>
            <w:r>
              <w:rPr>
                <w:rFonts w:ascii="Times New Roman" w:eastAsia="宋体" w:hAnsi="Times New Roman"/>
                <w:color w:val="000000"/>
                <w:sz w:val="20"/>
                <w:szCs w:val="20"/>
              </w:rPr>
              <w:t>39.71 </w:t>
            </w:r>
          </w:p>
        </w:tc>
        <w:tc>
          <w:tcPr>
            <w:tcW w:w="0" w:type="auto"/>
            <w:shd w:val="clear" w:color="auto" w:fill="FFFFFF"/>
            <w:tcMar>
              <w:top w:w="40" w:type="dxa"/>
              <w:left w:w="0" w:type="dxa"/>
              <w:bottom w:w="40" w:type="dxa"/>
              <w:right w:w="20" w:type="dxa"/>
            </w:tcMar>
            <w:vAlign w:val="bottom"/>
          </w:tcPr>
          <w:p w14:paraId="7B6701B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B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B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B5" w14:textId="77777777" w:rsidR="0040300B" w:rsidRDefault="00BB2D44">
            <w:pPr>
              <w:jc w:val="right"/>
              <w:textAlignment w:val="bottom"/>
            </w:pPr>
            <w:r>
              <w:rPr>
                <w:rFonts w:ascii="Times New Roman" w:eastAsia="宋体" w:hAnsi="Times New Roman"/>
                <w:color w:val="000000"/>
                <w:sz w:val="20"/>
                <w:szCs w:val="20"/>
              </w:rPr>
              <w:t>981 </w:t>
            </w:r>
          </w:p>
        </w:tc>
        <w:tc>
          <w:tcPr>
            <w:tcW w:w="0" w:type="auto"/>
            <w:shd w:val="clear" w:color="auto" w:fill="FFFFFF"/>
            <w:tcMar>
              <w:top w:w="40" w:type="dxa"/>
              <w:left w:w="0" w:type="dxa"/>
              <w:bottom w:w="40" w:type="dxa"/>
              <w:right w:w="20" w:type="dxa"/>
            </w:tcMar>
            <w:vAlign w:val="bottom"/>
          </w:tcPr>
          <w:p w14:paraId="7B6701B6" w14:textId="77777777" w:rsidR="0040300B" w:rsidRDefault="0040300B">
            <w:pPr>
              <w:jc w:val="right"/>
              <w:rPr>
                <w:rFonts w:ascii="宋体"/>
              </w:rPr>
            </w:pPr>
          </w:p>
        </w:tc>
      </w:tr>
      <w:tr w:rsidR="0040300B" w14:paraId="7B6701C4" w14:textId="77777777">
        <w:trPr>
          <w:jc w:val="center"/>
        </w:trPr>
        <w:tc>
          <w:tcPr>
            <w:tcW w:w="0" w:type="auto"/>
            <w:gridSpan w:val="3"/>
            <w:shd w:val="clear" w:color="auto" w:fill="CCEEFF"/>
            <w:tcMar>
              <w:top w:w="40" w:type="dxa"/>
              <w:left w:w="155" w:type="dxa"/>
              <w:bottom w:w="40" w:type="dxa"/>
              <w:right w:w="20" w:type="dxa"/>
            </w:tcMar>
            <w:vAlign w:val="bottom"/>
          </w:tcPr>
          <w:p w14:paraId="7B6701B8" w14:textId="77777777" w:rsidR="0040300B" w:rsidRDefault="00BB2D44">
            <w:pPr>
              <w:textAlignment w:val="bottom"/>
            </w:pPr>
            <w:r>
              <w:rPr>
                <w:rFonts w:ascii="Times New Roman" w:eastAsia="宋体" w:hAnsi="Times New Roman"/>
                <w:color w:val="000000"/>
                <w:sz w:val="20"/>
                <w:szCs w:val="20"/>
              </w:rPr>
              <w:t>January 25, 2020</w:t>
            </w:r>
          </w:p>
        </w:tc>
        <w:tc>
          <w:tcPr>
            <w:tcW w:w="0" w:type="auto"/>
            <w:gridSpan w:val="3"/>
            <w:shd w:val="clear" w:color="auto" w:fill="CCEEFF"/>
            <w:tcMar>
              <w:top w:w="0" w:type="dxa"/>
              <w:left w:w="20" w:type="dxa"/>
              <w:bottom w:w="0" w:type="dxa"/>
              <w:right w:w="20" w:type="dxa"/>
            </w:tcMar>
          </w:tcPr>
          <w:p w14:paraId="7B6701B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1BA" w14:textId="77777777" w:rsidR="0040300B" w:rsidRDefault="00BB2D44">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7B6701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B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B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BE" w14:textId="77777777" w:rsidR="0040300B" w:rsidRDefault="00BB2D44">
            <w:pPr>
              <w:jc w:val="right"/>
              <w:textAlignment w:val="bottom"/>
            </w:pPr>
            <w:r>
              <w:rPr>
                <w:rFonts w:ascii="Times New Roman" w:eastAsia="宋体" w:hAnsi="Times New Roman"/>
                <w:color w:val="000000"/>
                <w:sz w:val="20"/>
                <w:szCs w:val="20"/>
              </w:rPr>
              <w:t>46.71 </w:t>
            </w:r>
          </w:p>
        </w:tc>
        <w:tc>
          <w:tcPr>
            <w:tcW w:w="0" w:type="auto"/>
            <w:shd w:val="clear" w:color="auto" w:fill="CCEEFF"/>
            <w:tcMar>
              <w:top w:w="40" w:type="dxa"/>
              <w:left w:w="0" w:type="dxa"/>
              <w:bottom w:w="40" w:type="dxa"/>
              <w:right w:w="20" w:type="dxa"/>
            </w:tcMar>
            <w:vAlign w:val="bottom"/>
          </w:tcPr>
          <w:p w14:paraId="7B6701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1C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1C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1C2" w14:textId="77777777" w:rsidR="0040300B" w:rsidRDefault="00BB2D44">
            <w:pPr>
              <w:jc w:val="right"/>
              <w:textAlignment w:val="bottom"/>
            </w:pPr>
            <w:r>
              <w:rPr>
                <w:rFonts w:ascii="Times New Roman" w:eastAsia="宋体" w:hAnsi="Times New Roman"/>
                <w:color w:val="000000"/>
                <w:sz w:val="20"/>
                <w:szCs w:val="20"/>
              </w:rPr>
              <w:t>870 </w:t>
            </w:r>
          </w:p>
        </w:tc>
        <w:tc>
          <w:tcPr>
            <w:tcW w:w="0" w:type="auto"/>
            <w:shd w:val="clear" w:color="auto" w:fill="CCEEFF"/>
            <w:tcMar>
              <w:top w:w="40" w:type="dxa"/>
              <w:left w:w="0" w:type="dxa"/>
              <w:bottom w:w="40" w:type="dxa"/>
              <w:right w:w="20" w:type="dxa"/>
            </w:tcMar>
            <w:vAlign w:val="bottom"/>
          </w:tcPr>
          <w:p w14:paraId="7B6701C3" w14:textId="77777777" w:rsidR="0040300B" w:rsidRDefault="0040300B">
            <w:pPr>
              <w:jc w:val="right"/>
              <w:rPr>
                <w:rFonts w:ascii="宋体"/>
              </w:rPr>
            </w:pPr>
          </w:p>
        </w:tc>
      </w:tr>
      <w:tr w:rsidR="0040300B" w14:paraId="7B6701D1" w14:textId="77777777">
        <w:trPr>
          <w:jc w:val="center"/>
        </w:trPr>
        <w:tc>
          <w:tcPr>
            <w:tcW w:w="0" w:type="auto"/>
            <w:gridSpan w:val="3"/>
            <w:shd w:val="clear" w:color="auto" w:fill="FFFFFF"/>
            <w:tcMar>
              <w:top w:w="40" w:type="dxa"/>
              <w:left w:w="155" w:type="dxa"/>
              <w:bottom w:w="40" w:type="dxa"/>
              <w:right w:w="20" w:type="dxa"/>
            </w:tcMar>
            <w:vAlign w:val="bottom"/>
          </w:tcPr>
          <w:p w14:paraId="7B6701C5" w14:textId="77777777" w:rsidR="0040300B" w:rsidRDefault="00BB2D44">
            <w:pPr>
              <w:textAlignment w:val="bottom"/>
            </w:pPr>
            <w:r>
              <w:rPr>
                <w:rFonts w:ascii="Times New Roman" w:eastAsia="宋体" w:hAnsi="Times New Roman"/>
                <w:color w:val="000000"/>
                <w:sz w:val="20"/>
                <w:szCs w:val="20"/>
              </w:rPr>
              <w:t>October 26, 2019</w:t>
            </w:r>
          </w:p>
        </w:tc>
        <w:tc>
          <w:tcPr>
            <w:tcW w:w="0" w:type="auto"/>
            <w:gridSpan w:val="3"/>
            <w:shd w:val="clear" w:color="auto" w:fill="FFFFFF"/>
            <w:tcMar>
              <w:top w:w="0" w:type="dxa"/>
              <w:left w:w="20" w:type="dxa"/>
              <w:bottom w:w="0" w:type="dxa"/>
              <w:right w:w="20" w:type="dxa"/>
            </w:tcMar>
          </w:tcPr>
          <w:p w14:paraId="7B6701C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1C7"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701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C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C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CB" w14:textId="77777777" w:rsidR="0040300B" w:rsidRDefault="00BB2D44">
            <w:pPr>
              <w:jc w:val="right"/>
              <w:textAlignment w:val="bottom"/>
            </w:pPr>
            <w:r>
              <w:rPr>
                <w:rFonts w:ascii="Times New Roman" w:eastAsia="宋体" w:hAnsi="Times New Roman"/>
                <w:color w:val="000000"/>
                <w:sz w:val="20"/>
                <w:szCs w:val="20"/>
              </w:rPr>
              <w:t>48.91 </w:t>
            </w:r>
          </w:p>
        </w:tc>
        <w:tc>
          <w:tcPr>
            <w:tcW w:w="0" w:type="auto"/>
            <w:shd w:val="clear" w:color="auto" w:fill="FFFFFF"/>
            <w:tcMar>
              <w:top w:w="40" w:type="dxa"/>
              <w:left w:w="0" w:type="dxa"/>
              <w:bottom w:w="40" w:type="dxa"/>
              <w:right w:w="20" w:type="dxa"/>
            </w:tcMar>
            <w:vAlign w:val="bottom"/>
          </w:tcPr>
          <w:p w14:paraId="7B6701C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1C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1C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1CF" w14:textId="77777777" w:rsidR="0040300B" w:rsidRDefault="00BB2D44">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7B6701D0" w14:textId="77777777" w:rsidR="0040300B" w:rsidRDefault="0040300B">
            <w:pPr>
              <w:jc w:val="right"/>
              <w:rPr>
                <w:rFonts w:ascii="宋体"/>
              </w:rPr>
            </w:pPr>
          </w:p>
        </w:tc>
      </w:tr>
    </w:tbl>
    <w:p w14:paraId="7B6701D2" w14:textId="77777777" w:rsidR="0040300B" w:rsidRDefault="00BB2D44">
      <w:pPr>
        <w:spacing w:before="120"/>
        <w:jc w:val="both"/>
      </w:pPr>
      <w:r>
        <w:rPr>
          <w:rFonts w:ascii="Times New Roman" w:eastAsia="宋体" w:hAnsi="Times New Roman"/>
          <w:color w:val="000000"/>
          <w:sz w:val="20"/>
          <w:szCs w:val="20"/>
        </w:rPr>
        <w:t xml:space="preserve">There were $15 million stock repurchases that were pending settlement as of May 1, 2021. There were no stock repurchases that were pending </w:t>
      </w:r>
      <w:r>
        <w:rPr>
          <w:rFonts w:ascii="Times New Roman" w:eastAsia="宋体" w:hAnsi="Times New Roman"/>
          <w:color w:val="000000"/>
          <w:sz w:val="20"/>
          <w:szCs w:val="20"/>
        </w:rPr>
        <w:t>settlement as of July 25, 2020.</w:t>
      </w:r>
    </w:p>
    <w:p w14:paraId="7B6701D3" w14:textId="77777777" w:rsidR="0040300B" w:rsidRDefault="00BB2D44">
      <w:pPr>
        <w:spacing w:before="120"/>
        <w:jc w:val="both"/>
      </w:pPr>
      <w:r>
        <w:rPr>
          <w:rFonts w:ascii="Times New Roman" w:eastAsia="宋体" w:hAnsi="Times New Roman"/>
          <w:color w:val="000000"/>
          <w:sz w:val="20"/>
          <w:szCs w:val="20"/>
        </w:rPr>
        <w:t xml:space="preserve">The purchase price for the shares of our stock repurchased is reflected as a reduction to stockholders’ equity. We are required to allocate the purchase price of the repurchased shares as (i) a reduction to retained </w:t>
      </w:r>
      <w:r>
        <w:rPr>
          <w:rFonts w:ascii="Times New Roman" w:eastAsia="宋体" w:hAnsi="Times New Roman"/>
          <w:color w:val="000000"/>
          <w:sz w:val="20"/>
          <w:szCs w:val="20"/>
        </w:rPr>
        <w:t>earnings or an increase to accumulated deficit and (ii) a reduction of common stock and additional paid-in capital.</w:t>
      </w:r>
    </w:p>
    <w:p w14:paraId="7B6701D4" w14:textId="77777777" w:rsidR="0040300B" w:rsidRDefault="00BB2D44">
      <w:pPr>
        <w:spacing w:before="120"/>
        <w:ind w:hanging="360"/>
        <w:jc w:val="both"/>
      </w:pPr>
      <w:r>
        <w:rPr>
          <w:rFonts w:ascii="Times New Roman" w:eastAsia="宋体" w:hAnsi="Times New Roman"/>
          <w:b/>
          <w:bCs/>
          <w:color w:val="000000"/>
          <w:sz w:val="20"/>
          <w:szCs w:val="20"/>
        </w:rPr>
        <w:t>(c) Preferred Stock</w:t>
      </w:r>
    </w:p>
    <w:p w14:paraId="7B6701D5" w14:textId="77777777" w:rsidR="0040300B" w:rsidRDefault="00BB2D44">
      <w:pPr>
        <w:spacing w:before="120"/>
        <w:jc w:val="both"/>
      </w:pPr>
      <w:r>
        <w:rPr>
          <w:rFonts w:ascii="Times New Roman" w:eastAsia="宋体" w:hAnsi="Times New Roman"/>
          <w:color w:val="000000"/>
          <w:sz w:val="20"/>
          <w:szCs w:val="20"/>
        </w:rPr>
        <w:t xml:space="preserve">Under the terms of our Amended and Restated Certificate of Incorporation, the Board of Directors is authorized to issue </w:t>
      </w:r>
      <w:r>
        <w:rPr>
          <w:rFonts w:ascii="Times New Roman" w:eastAsia="宋体" w:hAnsi="Times New Roman"/>
          <w:color w:val="000000"/>
          <w:sz w:val="20"/>
          <w:szCs w:val="20"/>
        </w:rPr>
        <w:t>preferred stock of one or more series and, in connection with the creation of such series, to fix by resolution the designation, powers (including voting powers (if any)), preferences and relative, participating, optional or other special rights of such se</w:t>
      </w:r>
      <w:r>
        <w:rPr>
          <w:rFonts w:ascii="Times New Roman" w:eastAsia="宋体" w:hAnsi="Times New Roman"/>
          <w:color w:val="000000"/>
          <w:sz w:val="20"/>
          <w:szCs w:val="20"/>
        </w:rPr>
        <w:t>ries, and any qualification, limitations or restrictions thereof, of the shares of such series. As of May 1, 2021, we had not issued any shares of preferred stock.</w:t>
      </w:r>
    </w:p>
    <w:p w14:paraId="7B6701D6" w14:textId="77777777" w:rsidR="0040300B" w:rsidRDefault="0040300B">
      <w:pPr>
        <w:spacing w:before="120"/>
        <w:jc w:val="both"/>
      </w:pPr>
    </w:p>
    <w:p w14:paraId="7B6701D7" w14:textId="77777777" w:rsidR="0040300B" w:rsidRDefault="00BB2D44">
      <w:pPr>
        <w:jc w:val="center"/>
      </w:pPr>
      <w:r>
        <w:rPr>
          <w:rFonts w:ascii="Times New Roman" w:eastAsia="宋体" w:hAnsi="Times New Roman"/>
          <w:color w:val="000000"/>
          <w:sz w:val="20"/>
          <w:szCs w:val="20"/>
        </w:rPr>
        <w:t>37</w:t>
      </w:r>
    </w:p>
    <w:p w14:paraId="7B6701D8" w14:textId="77777777" w:rsidR="0040300B" w:rsidRDefault="00BB2D44">
      <w:r>
        <w:pict w14:anchorId="7B671C35">
          <v:rect id="_x0000_i1061" style="width:415.3pt;height:1.5pt" o:hralign="center" o:hrstd="t" o:hr="t" fillcolor="#a0a0a0" stroked="f"/>
        </w:pict>
      </w:r>
    </w:p>
    <w:p w14:paraId="7B6701D9" w14:textId="77777777" w:rsidR="0040300B" w:rsidRDefault="00BB2D44">
      <w:hyperlink r:id="rId83" w:anchor="i52d5b40dbad7426a9806a2fd5167029f_7" w:history="1">
        <w:r>
          <w:rPr>
            <w:rStyle w:val="a5"/>
            <w:rFonts w:ascii="Times New Roman" w:eastAsia="宋体" w:hAnsi="Times New Roman"/>
            <w:sz w:val="18"/>
            <w:szCs w:val="18"/>
          </w:rPr>
          <w:t>Table of Contents</w:t>
        </w:r>
      </w:hyperlink>
    </w:p>
    <w:p w14:paraId="7B6701DA" w14:textId="77777777" w:rsidR="0040300B" w:rsidRDefault="00BB2D44">
      <w:pPr>
        <w:jc w:val="center"/>
      </w:pPr>
      <w:r>
        <w:rPr>
          <w:rFonts w:ascii="Times New Roman" w:eastAsia="宋体" w:hAnsi="Times New Roman"/>
          <w:b/>
          <w:bCs/>
          <w:color w:val="000000"/>
          <w:sz w:val="18"/>
          <w:szCs w:val="18"/>
        </w:rPr>
        <w:t>CISCO SYSTEMS, INC.</w:t>
      </w:r>
    </w:p>
    <w:p w14:paraId="7B6701DB"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1DC" w14:textId="77777777" w:rsidR="0040300B" w:rsidRDefault="00BB2D44">
      <w:pPr>
        <w:jc w:val="center"/>
      </w:pPr>
      <w:r>
        <w:rPr>
          <w:rFonts w:ascii="Times New Roman" w:eastAsia="宋体" w:hAnsi="Times New Roman"/>
          <w:b/>
          <w:bCs/>
          <w:color w:val="000000"/>
          <w:sz w:val="18"/>
          <w:szCs w:val="18"/>
        </w:rPr>
        <w:t xml:space="preserve">(Unaudited) </w:t>
      </w:r>
    </w:p>
    <w:p w14:paraId="7B6701DD" w14:textId="77777777" w:rsidR="0040300B" w:rsidRDefault="0040300B">
      <w:pPr>
        <w:jc w:val="center"/>
      </w:pPr>
    </w:p>
    <w:p w14:paraId="7B6701DE" w14:textId="77777777" w:rsidR="0040300B" w:rsidRDefault="00BB2D44">
      <w:pPr>
        <w:spacing w:before="120"/>
        <w:ind w:hanging="360"/>
      </w:pPr>
      <w:r>
        <w:rPr>
          <w:rFonts w:ascii="Times New Roman" w:eastAsia="宋体" w:hAnsi="Times New Roman"/>
          <w:b/>
          <w:bCs/>
          <w:color w:val="000000"/>
          <w:sz w:val="20"/>
          <w:szCs w:val="20"/>
        </w:rPr>
        <w:t xml:space="preserve">16.Employee Benefit Plans </w:t>
      </w:r>
    </w:p>
    <w:p w14:paraId="7B6701DF" w14:textId="77777777" w:rsidR="0040300B" w:rsidRDefault="00BB2D44">
      <w:pPr>
        <w:spacing w:before="120"/>
        <w:ind w:hanging="360"/>
        <w:jc w:val="both"/>
      </w:pPr>
      <w:r>
        <w:rPr>
          <w:rFonts w:ascii="Times New Roman" w:eastAsia="宋体" w:hAnsi="Times New Roman"/>
          <w:b/>
          <w:bCs/>
          <w:color w:val="000000"/>
          <w:sz w:val="20"/>
          <w:szCs w:val="20"/>
        </w:rPr>
        <w:t>(a)Employee Stock Incentive Plans</w:t>
      </w:r>
    </w:p>
    <w:p w14:paraId="7B6701E0" w14:textId="77777777" w:rsidR="0040300B" w:rsidRDefault="00BB2D44">
      <w:pPr>
        <w:spacing w:before="120"/>
        <w:jc w:val="both"/>
      </w:pPr>
      <w:r>
        <w:rPr>
          <w:rFonts w:ascii="Times New Roman" w:eastAsia="宋体" w:hAnsi="Times New Roman"/>
          <w:i/>
          <w:iCs/>
          <w:color w:val="000000"/>
          <w:sz w:val="20"/>
          <w:szCs w:val="20"/>
          <w:u w:val="single"/>
        </w:rPr>
        <w:t>Stock Incentive Plan Prog</w:t>
      </w:r>
      <w:r>
        <w:rPr>
          <w:rFonts w:ascii="Times New Roman" w:eastAsia="宋体" w:hAnsi="Times New Roman"/>
          <w:i/>
          <w:iCs/>
          <w:color w:val="000000"/>
          <w:sz w:val="20"/>
          <w:szCs w:val="20"/>
          <w:u w:val="single"/>
        </w:rPr>
        <w:t xml:space="preserve">ram Description </w:t>
      </w:r>
      <w:r>
        <w:rPr>
          <w:rFonts w:ascii="Times New Roman" w:eastAsia="宋体" w:hAnsi="Times New Roman"/>
          <w:color w:val="000000"/>
          <w:sz w:val="20"/>
          <w:szCs w:val="20"/>
        </w:rPr>
        <w:t>We have one stock incentive plan: the 2005 Stock Incentive Plan (the “2005 Plan”). In addition, we have, in connection with our acquisitions of various companies, assumed the share-based awards granted under stock incentive plans of the acq</w:t>
      </w:r>
      <w:r>
        <w:rPr>
          <w:rFonts w:ascii="Times New Roman" w:eastAsia="宋体" w:hAnsi="Times New Roman"/>
          <w:color w:val="000000"/>
          <w:sz w:val="20"/>
          <w:szCs w:val="20"/>
        </w:rPr>
        <w:t>uired companies or issued share-based awards in replacement thereof. Share-based awards are designed to reward employees for their long-term contributions to us and provide incentives for them to remain with us. The number and frequency of share-based awar</w:t>
      </w:r>
      <w:r>
        <w:rPr>
          <w:rFonts w:ascii="Times New Roman" w:eastAsia="宋体" w:hAnsi="Times New Roman"/>
          <w:color w:val="000000"/>
          <w:sz w:val="20"/>
          <w:szCs w:val="20"/>
        </w:rPr>
        <w:t xml:space="preserve">ds are based on competitive practices, our operating results, government regulations, and other factors. Our primary stock incentive plan is summarized as follows: </w:t>
      </w:r>
    </w:p>
    <w:p w14:paraId="7B6701E1" w14:textId="77777777" w:rsidR="0040300B" w:rsidRDefault="00BB2D44">
      <w:pPr>
        <w:spacing w:before="120"/>
        <w:jc w:val="both"/>
      </w:pPr>
      <w:r>
        <w:rPr>
          <w:rFonts w:ascii="Times New Roman" w:eastAsia="宋体" w:hAnsi="Times New Roman"/>
          <w:i/>
          <w:iCs/>
          <w:color w:val="000000"/>
          <w:sz w:val="20"/>
          <w:szCs w:val="20"/>
          <w:u w:val="single"/>
        </w:rPr>
        <w:t>2005 Plan</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The 2005 Plan provides for the granting of stock options, stock grants, stock units and stock appreciation rights (SARs), the vesting of which may be time-based or upon satisfaction of performance goals, or both, and/or other conditions. Employees (includ</w:t>
      </w:r>
      <w:r>
        <w:rPr>
          <w:rFonts w:ascii="Times New Roman" w:eastAsia="宋体" w:hAnsi="Times New Roman"/>
          <w:color w:val="000000"/>
          <w:sz w:val="20"/>
          <w:szCs w:val="20"/>
        </w:rPr>
        <w:t>ing employee directors and executive officers) and consultants of Cisco and its subsidiaries and affiliates and non-employee directors of Cisco are eligible to participate in the 2005 Plan. As of May 1, 2021, the maximum number of shares issuable under the</w:t>
      </w:r>
      <w:r>
        <w:rPr>
          <w:rFonts w:ascii="Times New Roman" w:eastAsia="宋体" w:hAnsi="Times New Roman"/>
          <w:color w:val="000000"/>
          <w:sz w:val="20"/>
          <w:szCs w:val="20"/>
        </w:rPr>
        <w:t xml:space="preserve"> 2005 Plan over its term was</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790 million shares. The 2005 Plan may be terminated by our Board of Directors at any time and for any reason, and is currently set to terminate at the 2030 Annual Meeting unless re-adopted or extended by our stockholders prior </w:t>
      </w:r>
      <w:r>
        <w:rPr>
          <w:rFonts w:ascii="Times New Roman" w:eastAsia="宋体" w:hAnsi="Times New Roman"/>
          <w:color w:val="000000"/>
          <w:sz w:val="20"/>
          <w:szCs w:val="20"/>
        </w:rPr>
        <w:t>to or on such date.</w:t>
      </w:r>
    </w:p>
    <w:p w14:paraId="7B6701E2" w14:textId="77777777" w:rsidR="0040300B" w:rsidRDefault="00BB2D44">
      <w:pPr>
        <w:spacing w:before="120"/>
        <w:jc w:val="both"/>
      </w:pPr>
      <w:r>
        <w:rPr>
          <w:rFonts w:ascii="Times New Roman" w:eastAsia="宋体" w:hAnsi="Times New Roman"/>
          <w:color w:val="000000"/>
          <w:sz w:val="20"/>
          <w:szCs w:val="20"/>
        </w:rPr>
        <w:t>Under the 2005 Plan’s share reserve feature, a distinction is made between the number of shares in the reserve attributable to (i) stock options and SARs and (ii) “full value” awards (i.e., stock grants and stock units). Shares issued a</w:t>
      </w:r>
      <w:r>
        <w:rPr>
          <w:rFonts w:ascii="Times New Roman" w:eastAsia="宋体" w:hAnsi="Times New Roman"/>
          <w:color w:val="000000"/>
          <w:sz w:val="20"/>
          <w:szCs w:val="20"/>
        </w:rPr>
        <w:t>s stock grants, pursuant to stock units or pursuant to the settlement of dividend equivalents are counted against shares available for issuance under the 2005 Plan on a 1.5-to-1 ratio. For each share awarded as restricted stock or a restricted stock unit a</w:t>
      </w:r>
      <w:r>
        <w:rPr>
          <w:rFonts w:ascii="Times New Roman" w:eastAsia="宋体" w:hAnsi="Times New Roman"/>
          <w:color w:val="000000"/>
          <w:sz w:val="20"/>
          <w:szCs w:val="20"/>
        </w:rPr>
        <w:t xml:space="preserve">ward under the 2005 Plan, 1.5 shares was deducted from the available share-based award balance. If awards issued under the 2005 Plan are forfeited or terminated for any reason before being exercised or settled, then the shares underlying such awards, plus </w:t>
      </w:r>
      <w:r>
        <w:rPr>
          <w:rFonts w:ascii="Times New Roman" w:eastAsia="宋体" w:hAnsi="Times New Roman"/>
          <w:color w:val="000000"/>
          <w:sz w:val="20"/>
          <w:szCs w:val="20"/>
        </w:rPr>
        <w:t xml:space="preserve">the number of additional shares, if any, that counted against shares available for issuance under the 2005 Plan at the time of grant as a result of the application of the share ratio described above, will become available again for issuance under the 2005 </w:t>
      </w:r>
      <w:r>
        <w:rPr>
          <w:rFonts w:ascii="Times New Roman" w:eastAsia="宋体" w:hAnsi="Times New Roman"/>
          <w:color w:val="000000"/>
          <w:sz w:val="20"/>
          <w:szCs w:val="20"/>
        </w:rPr>
        <w:t>Plan. As of May 1, 2021, 257 million shares were authorized for future grant under the 2005 Plan.</w:t>
      </w:r>
    </w:p>
    <w:p w14:paraId="7B6701E3" w14:textId="77777777" w:rsidR="0040300B" w:rsidRDefault="00BB2D44">
      <w:pPr>
        <w:spacing w:before="120"/>
        <w:ind w:hanging="360"/>
        <w:jc w:val="both"/>
      </w:pPr>
      <w:r>
        <w:rPr>
          <w:rFonts w:ascii="Times New Roman" w:eastAsia="宋体" w:hAnsi="Times New Roman"/>
          <w:b/>
          <w:bCs/>
          <w:color w:val="000000"/>
          <w:sz w:val="20"/>
          <w:szCs w:val="20"/>
        </w:rPr>
        <w:t>(b)Employee Stock Purchase Plan</w:t>
      </w:r>
    </w:p>
    <w:p w14:paraId="7B6701E4" w14:textId="77777777" w:rsidR="0040300B" w:rsidRDefault="00BB2D44">
      <w:pPr>
        <w:spacing w:before="120"/>
        <w:jc w:val="both"/>
      </w:pPr>
      <w:r>
        <w:rPr>
          <w:rFonts w:ascii="Times New Roman" w:eastAsia="宋体" w:hAnsi="Times New Roman"/>
          <w:color w:val="000000"/>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721 million shares of our common stock have been reserved for issuance as </w:t>
      </w:r>
      <w:r>
        <w:rPr>
          <w:rFonts w:ascii="Times New Roman" w:eastAsia="宋体" w:hAnsi="Times New Roman"/>
          <w:color w:val="000000"/>
          <w:sz w:val="20"/>
          <w:szCs w:val="20"/>
        </w:rPr>
        <w:t>of May 1, 2021. Eligible employees are offered shares through a 24-month offering period, which consists of four consecutive 6-month purchase periods. Employees may purchase a limited amount of shares of our stock at a discount of up to 15% of the lesser o</w:t>
      </w:r>
      <w:r>
        <w:rPr>
          <w:rFonts w:ascii="Times New Roman" w:eastAsia="宋体" w:hAnsi="Times New Roman"/>
          <w:color w:val="000000"/>
          <w:sz w:val="20"/>
          <w:szCs w:val="20"/>
        </w:rPr>
        <w:t>f the fair market value at the beginning of the offering period or the end of each 6-month purchase period. The Employee Stock Purchase Plan is scheduled to terminate on the earlier of (i) January 3, 2030 and (ii) the date on which all shares available for</w:t>
      </w:r>
      <w:r>
        <w:rPr>
          <w:rFonts w:ascii="Times New Roman" w:eastAsia="宋体" w:hAnsi="Times New Roman"/>
          <w:color w:val="000000"/>
          <w:sz w:val="20"/>
          <w:szCs w:val="20"/>
        </w:rPr>
        <w:t xml:space="preserve"> issuance under the Employee Stock Purchase Plan are sold pursuant to exercised purchase rights. No shares were issued under the Employee Stock Purchase Plan during each of the third quarters of fiscal 2021 and 2020. We issued 8 million and 9 million share</w:t>
      </w:r>
      <w:r>
        <w:rPr>
          <w:rFonts w:ascii="Times New Roman" w:eastAsia="宋体" w:hAnsi="Times New Roman"/>
          <w:color w:val="000000"/>
          <w:sz w:val="20"/>
          <w:szCs w:val="20"/>
        </w:rPr>
        <w:t>s during the first nine months of fiscal 2021 and 2020, respectively. As of May 1, 2021, 133 million shares were available for issuance under the Employee Stock Purchase Plan.</w:t>
      </w:r>
    </w:p>
    <w:p w14:paraId="7B6701E5" w14:textId="77777777" w:rsidR="0040300B" w:rsidRDefault="00BB2D44">
      <w:pPr>
        <w:jc w:val="center"/>
      </w:pPr>
      <w:r>
        <w:rPr>
          <w:rFonts w:ascii="Times New Roman" w:eastAsia="宋体" w:hAnsi="Times New Roman"/>
          <w:color w:val="000000"/>
          <w:sz w:val="20"/>
          <w:szCs w:val="20"/>
        </w:rPr>
        <w:t>38</w:t>
      </w:r>
    </w:p>
    <w:p w14:paraId="7B6701E6" w14:textId="77777777" w:rsidR="0040300B" w:rsidRDefault="00BB2D44">
      <w:r>
        <w:pict w14:anchorId="7B671C36">
          <v:rect id="_x0000_i1062" style="width:415.3pt;height:1.5pt" o:hralign="center" o:hrstd="t" o:hr="t" fillcolor="#a0a0a0" stroked="f"/>
        </w:pict>
      </w:r>
    </w:p>
    <w:p w14:paraId="7B6701E7" w14:textId="77777777" w:rsidR="0040300B" w:rsidRDefault="00BB2D44">
      <w:hyperlink r:id="rId84" w:anchor="i52d5b40dbad7426a9806a2fd5167029f_7" w:history="1">
        <w:r>
          <w:rPr>
            <w:rStyle w:val="a5"/>
            <w:rFonts w:ascii="Times New Roman" w:eastAsia="宋体" w:hAnsi="Times New Roman"/>
            <w:sz w:val="18"/>
            <w:szCs w:val="18"/>
          </w:rPr>
          <w:t>Table of Contents</w:t>
        </w:r>
      </w:hyperlink>
    </w:p>
    <w:p w14:paraId="7B6701E8" w14:textId="77777777" w:rsidR="0040300B" w:rsidRDefault="00BB2D44">
      <w:pPr>
        <w:jc w:val="center"/>
      </w:pPr>
      <w:r>
        <w:rPr>
          <w:rFonts w:ascii="Times New Roman" w:eastAsia="宋体" w:hAnsi="Times New Roman"/>
          <w:b/>
          <w:bCs/>
          <w:color w:val="000000"/>
          <w:sz w:val="18"/>
          <w:szCs w:val="18"/>
        </w:rPr>
        <w:t>CISCO SYSTEMS, INC.</w:t>
      </w:r>
    </w:p>
    <w:p w14:paraId="7B6701E9"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1EA" w14:textId="77777777" w:rsidR="0040300B" w:rsidRDefault="00BB2D44">
      <w:pPr>
        <w:jc w:val="center"/>
      </w:pPr>
      <w:r>
        <w:rPr>
          <w:rFonts w:ascii="Times New Roman" w:eastAsia="宋体" w:hAnsi="Times New Roman"/>
          <w:b/>
          <w:bCs/>
          <w:color w:val="000000"/>
          <w:sz w:val="18"/>
          <w:szCs w:val="18"/>
        </w:rPr>
        <w:t xml:space="preserve">(Unaudited) </w:t>
      </w:r>
    </w:p>
    <w:p w14:paraId="7B6701EB" w14:textId="77777777" w:rsidR="0040300B" w:rsidRDefault="0040300B">
      <w:pPr>
        <w:jc w:val="center"/>
      </w:pPr>
    </w:p>
    <w:p w14:paraId="7B6701EC" w14:textId="77777777" w:rsidR="0040300B" w:rsidRDefault="00BB2D44">
      <w:pPr>
        <w:spacing w:before="120"/>
        <w:ind w:hanging="360"/>
        <w:jc w:val="both"/>
      </w:pPr>
      <w:r>
        <w:rPr>
          <w:rFonts w:ascii="Times New Roman" w:eastAsia="宋体" w:hAnsi="Times New Roman"/>
          <w:b/>
          <w:bCs/>
          <w:color w:val="000000"/>
          <w:sz w:val="20"/>
          <w:szCs w:val="20"/>
        </w:rPr>
        <w:t>(c)Summary of Share-Based Compensation Expense</w:t>
      </w:r>
    </w:p>
    <w:p w14:paraId="7B6701ED" w14:textId="77777777" w:rsidR="0040300B" w:rsidRDefault="00BB2D44">
      <w:pPr>
        <w:spacing w:before="120"/>
        <w:jc w:val="both"/>
      </w:pPr>
      <w:r>
        <w:rPr>
          <w:rFonts w:ascii="Times New Roman" w:eastAsia="宋体" w:hAnsi="Times New Roman"/>
          <w:color w:val="000000"/>
          <w:sz w:val="20"/>
          <w:szCs w:val="20"/>
        </w:rPr>
        <w:t xml:space="preserve">Share-based </w:t>
      </w:r>
      <w:r>
        <w:rPr>
          <w:rFonts w:ascii="Times New Roman" w:eastAsia="宋体" w:hAnsi="Times New Roman"/>
          <w:color w:val="000000"/>
          <w:sz w:val="20"/>
          <w:szCs w:val="20"/>
        </w:rPr>
        <w:t>compensation expense consists primarily of expenses for stock options, stock purchase rights, restricted stock, and RSUs granted to employees. The following table summarizes share-based compensation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452"/>
        <w:gridCol w:w="36"/>
        <w:gridCol w:w="120"/>
        <w:gridCol w:w="747"/>
        <w:gridCol w:w="36"/>
        <w:gridCol w:w="36"/>
        <w:gridCol w:w="36"/>
        <w:gridCol w:w="36"/>
        <w:gridCol w:w="120"/>
        <w:gridCol w:w="704"/>
        <w:gridCol w:w="36"/>
        <w:gridCol w:w="36"/>
        <w:gridCol w:w="36"/>
        <w:gridCol w:w="36"/>
        <w:gridCol w:w="120"/>
        <w:gridCol w:w="706"/>
        <w:gridCol w:w="36"/>
        <w:gridCol w:w="36"/>
        <w:gridCol w:w="36"/>
        <w:gridCol w:w="36"/>
        <w:gridCol w:w="120"/>
        <w:gridCol w:w="706"/>
        <w:gridCol w:w="36"/>
      </w:tblGrid>
      <w:tr w:rsidR="0040300B" w14:paraId="7B670206" w14:textId="77777777">
        <w:tc>
          <w:tcPr>
            <w:tcW w:w="50" w:type="pct"/>
            <w:shd w:val="clear" w:color="auto" w:fill="auto"/>
          </w:tcPr>
          <w:p w14:paraId="7B6701EE" w14:textId="77777777" w:rsidR="0040300B" w:rsidRDefault="0040300B">
            <w:pPr>
              <w:rPr>
                <w:rFonts w:ascii="宋体"/>
              </w:rPr>
            </w:pPr>
          </w:p>
        </w:tc>
        <w:tc>
          <w:tcPr>
            <w:tcW w:w="2700" w:type="pct"/>
            <w:shd w:val="clear" w:color="auto" w:fill="auto"/>
          </w:tcPr>
          <w:p w14:paraId="7B6701EF" w14:textId="77777777" w:rsidR="0040300B" w:rsidRDefault="0040300B">
            <w:pPr>
              <w:rPr>
                <w:rFonts w:ascii="宋体"/>
              </w:rPr>
            </w:pPr>
          </w:p>
        </w:tc>
        <w:tc>
          <w:tcPr>
            <w:tcW w:w="5" w:type="pct"/>
            <w:shd w:val="clear" w:color="auto" w:fill="auto"/>
          </w:tcPr>
          <w:p w14:paraId="7B6701F0" w14:textId="77777777" w:rsidR="0040300B" w:rsidRDefault="0040300B">
            <w:pPr>
              <w:rPr>
                <w:rFonts w:ascii="宋体"/>
              </w:rPr>
            </w:pPr>
          </w:p>
        </w:tc>
        <w:tc>
          <w:tcPr>
            <w:tcW w:w="50" w:type="pct"/>
            <w:shd w:val="clear" w:color="auto" w:fill="auto"/>
          </w:tcPr>
          <w:p w14:paraId="7B6701F1" w14:textId="77777777" w:rsidR="0040300B" w:rsidRDefault="0040300B">
            <w:pPr>
              <w:rPr>
                <w:rFonts w:ascii="宋体"/>
              </w:rPr>
            </w:pPr>
          </w:p>
        </w:tc>
        <w:tc>
          <w:tcPr>
            <w:tcW w:w="478" w:type="pct"/>
            <w:shd w:val="clear" w:color="auto" w:fill="auto"/>
          </w:tcPr>
          <w:p w14:paraId="7B6701F2" w14:textId="77777777" w:rsidR="0040300B" w:rsidRDefault="0040300B">
            <w:pPr>
              <w:rPr>
                <w:rFonts w:ascii="宋体"/>
              </w:rPr>
            </w:pPr>
          </w:p>
        </w:tc>
        <w:tc>
          <w:tcPr>
            <w:tcW w:w="5" w:type="pct"/>
            <w:shd w:val="clear" w:color="auto" w:fill="auto"/>
          </w:tcPr>
          <w:p w14:paraId="7B6701F3" w14:textId="77777777" w:rsidR="0040300B" w:rsidRDefault="0040300B">
            <w:pPr>
              <w:rPr>
                <w:rFonts w:ascii="宋体"/>
              </w:rPr>
            </w:pPr>
          </w:p>
        </w:tc>
        <w:tc>
          <w:tcPr>
            <w:tcW w:w="5" w:type="pct"/>
            <w:shd w:val="clear" w:color="auto" w:fill="auto"/>
          </w:tcPr>
          <w:p w14:paraId="7B6701F4" w14:textId="77777777" w:rsidR="0040300B" w:rsidRDefault="0040300B">
            <w:pPr>
              <w:rPr>
                <w:rFonts w:ascii="宋体"/>
              </w:rPr>
            </w:pPr>
          </w:p>
        </w:tc>
        <w:tc>
          <w:tcPr>
            <w:tcW w:w="26" w:type="pct"/>
            <w:shd w:val="clear" w:color="auto" w:fill="auto"/>
          </w:tcPr>
          <w:p w14:paraId="7B6701F5" w14:textId="77777777" w:rsidR="0040300B" w:rsidRDefault="0040300B">
            <w:pPr>
              <w:rPr>
                <w:rFonts w:ascii="宋体"/>
              </w:rPr>
            </w:pPr>
          </w:p>
        </w:tc>
        <w:tc>
          <w:tcPr>
            <w:tcW w:w="5" w:type="pct"/>
            <w:shd w:val="clear" w:color="auto" w:fill="auto"/>
          </w:tcPr>
          <w:p w14:paraId="7B6701F6" w14:textId="77777777" w:rsidR="0040300B" w:rsidRDefault="0040300B">
            <w:pPr>
              <w:rPr>
                <w:rFonts w:ascii="宋体"/>
              </w:rPr>
            </w:pPr>
          </w:p>
        </w:tc>
        <w:tc>
          <w:tcPr>
            <w:tcW w:w="50" w:type="pct"/>
            <w:shd w:val="clear" w:color="auto" w:fill="auto"/>
          </w:tcPr>
          <w:p w14:paraId="7B6701F7" w14:textId="77777777" w:rsidR="0040300B" w:rsidRDefault="0040300B">
            <w:pPr>
              <w:rPr>
                <w:rFonts w:ascii="宋体"/>
              </w:rPr>
            </w:pPr>
          </w:p>
        </w:tc>
        <w:tc>
          <w:tcPr>
            <w:tcW w:w="478" w:type="pct"/>
            <w:shd w:val="clear" w:color="auto" w:fill="auto"/>
          </w:tcPr>
          <w:p w14:paraId="7B6701F8" w14:textId="77777777" w:rsidR="0040300B" w:rsidRDefault="0040300B">
            <w:pPr>
              <w:rPr>
                <w:rFonts w:ascii="宋体"/>
              </w:rPr>
            </w:pPr>
          </w:p>
        </w:tc>
        <w:tc>
          <w:tcPr>
            <w:tcW w:w="5" w:type="pct"/>
            <w:shd w:val="clear" w:color="auto" w:fill="auto"/>
          </w:tcPr>
          <w:p w14:paraId="7B6701F9" w14:textId="77777777" w:rsidR="0040300B" w:rsidRDefault="0040300B">
            <w:pPr>
              <w:rPr>
                <w:rFonts w:ascii="宋体"/>
              </w:rPr>
            </w:pPr>
          </w:p>
        </w:tc>
        <w:tc>
          <w:tcPr>
            <w:tcW w:w="5" w:type="pct"/>
            <w:shd w:val="clear" w:color="auto" w:fill="auto"/>
          </w:tcPr>
          <w:p w14:paraId="7B6701FA" w14:textId="77777777" w:rsidR="0040300B" w:rsidRDefault="0040300B">
            <w:pPr>
              <w:rPr>
                <w:rFonts w:ascii="宋体"/>
              </w:rPr>
            </w:pPr>
          </w:p>
        </w:tc>
        <w:tc>
          <w:tcPr>
            <w:tcW w:w="26" w:type="pct"/>
            <w:shd w:val="clear" w:color="auto" w:fill="auto"/>
          </w:tcPr>
          <w:p w14:paraId="7B6701FB" w14:textId="77777777" w:rsidR="0040300B" w:rsidRDefault="0040300B">
            <w:pPr>
              <w:rPr>
                <w:rFonts w:ascii="宋体"/>
              </w:rPr>
            </w:pPr>
          </w:p>
        </w:tc>
        <w:tc>
          <w:tcPr>
            <w:tcW w:w="5" w:type="pct"/>
            <w:shd w:val="clear" w:color="auto" w:fill="auto"/>
          </w:tcPr>
          <w:p w14:paraId="7B6701FC" w14:textId="77777777" w:rsidR="0040300B" w:rsidRDefault="0040300B">
            <w:pPr>
              <w:rPr>
                <w:rFonts w:ascii="宋体"/>
              </w:rPr>
            </w:pPr>
          </w:p>
        </w:tc>
        <w:tc>
          <w:tcPr>
            <w:tcW w:w="50" w:type="pct"/>
            <w:shd w:val="clear" w:color="auto" w:fill="auto"/>
          </w:tcPr>
          <w:p w14:paraId="7B6701FD" w14:textId="77777777" w:rsidR="0040300B" w:rsidRDefault="0040300B">
            <w:pPr>
              <w:rPr>
                <w:rFonts w:ascii="宋体"/>
              </w:rPr>
            </w:pPr>
          </w:p>
        </w:tc>
        <w:tc>
          <w:tcPr>
            <w:tcW w:w="478" w:type="pct"/>
            <w:shd w:val="clear" w:color="auto" w:fill="auto"/>
          </w:tcPr>
          <w:p w14:paraId="7B6701FE" w14:textId="77777777" w:rsidR="0040300B" w:rsidRDefault="0040300B">
            <w:pPr>
              <w:rPr>
                <w:rFonts w:ascii="宋体"/>
              </w:rPr>
            </w:pPr>
          </w:p>
        </w:tc>
        <w:tc>
          <w:tcPr>
            <w:tcW w:w="5" w:type="pct"/>
            <w:shd w:val="clear" w:color="auto" w:fill="auto"/>
          </w:tcPr>
          <w:p w14:paraId="7B6701FF" w14:textId="77777777" w:rsidR="0040300B" w:rsidRDefault="0040300B">
            <w:pPr>
              <w:rPr>
                <w:rFonts w:ascii="宋体"/>
              </w:rPr>
            </w:pPr>
          </w:p>
        </w:tc>
        <w:tc>
          <w:tcPr>
            <w:tcW w:w="5" w:type="pct"/>
            <w:shd w:val="clear" w:color="auto" w:fill="auto"/>
          </w:tcPr>
          <w:p w14:paraId="7B670200" w14:textId="77777777" w:rsidR="0040300B" w:rsidRDefault="0040300B">
            <w:pPr>
              <w:rPr>
                <w:rFonts w:ascii="宋体"/>
              </w:rPr>
            </w:pPr>
          </w:p>
        </w:tc>
        <w:tc>
          <w:tcPr>
            <w:tcW w:w="26" w:type="pct"/>
            <w:shd w:val="clear" w:color="auto" w:fill="auto"/>
          </w:tcPr>
          <w:p w14:paraId="7B670201" w14:textId="77777777" w:rsidR="0040300B" w:rsidRDefault="0040300B">
            <w:pPr>
              <w:rPr>
                <w:rFonts w:ascii="宋体"/>
              </w:rPr>
            </w:pPr>
          </w:p>
        </w:tc>
        <w:tc>
          <w:tcPr>
            <w:tcW w:w="5" w:type="pct"/>
            <w:shd w:val="clear" w:color="auto" w:fill="auto"/>
          </w:tcPr>
          <w:p w14:paraId="7B670202" w14:textId="77777777" w:rsidR="0040300B" w:rsidRDefault="0040300B">
            <w:pPr>
              <w:rPr>
                <w:rFonts w:ascii="宋体"/>
              </w:rPr>
            </w:pPr>
          </w:p>
        </w:tc>
        <w:tc>
          <w:tcPr>
            <w:tcW w:w="50" w:type="pct"/>
            <w:shd w:val="clear" w:color="auto" w:fill="auto"/>
          </w:tcPr>
          <w:p w14:paraId="7B670203" w14:textId="77777777" w:rsidR="0040300B" w:rsidRDefault="0040300B">
            <w:pPr>
              <w:rPr>
                <w:rFonts w:ascii="宋体"/>
              </w:rPr>
            </w:pPr>
          </w:p>
        </w:tc>
        <w:tc>
          <w:tcPr>
            <w:tcW w:w="478" w:type="pct"/>
            <w:shd w:val="clear" w:color="auto" w:fill="auto"/>
          </w:tcPr>
          <w:p w14:paraId="7B670204" w14:textId="77777777" w:rsidR="0040300B" w:rsidRDefault="0040300B">
            <w:pPr>
              <w:rPr>
                <w:rFonts w:ascii="宋体"/>
              </w:rPr>
            </w:pPr>
          </w:p>
        </w:tc>
        <w:tc>
          <w:tcPr>
            <w:tcW w:w="5" w:type="pct"/>
            <w:shd w:val="clear" w:color="auto" w:fill="auto"/>
          </w:tcPr>
          <w:p w14:paraId="7B670205" w14:textId="77777777" w:rsidR="0040300B" w:rsidRDefault="0040300B">
            <w:pPr>
              <w:rPr>
                <w:rFonts w:ascii="宋体"/>
              </w:rPr>
            </w:pPr>
          </w:p>
        </w:tc>
      </w:tr>
      <w:tr w:rsidR="0040300B" w14:paraId="7B67020B" w14:textId="77777777">
        <w:tc>
          <w:tcPr>
            <w:tcW w:w="0" w:type="auto"/>
            <w:gridSpan w:val="3"/>
            <w:shd w:val="clear" w:color="auto" w:fill="auto"/>
            <w:tcMar>
              <w:top w:w="0" w:type="dxa"/>
              <w:left w:w="20" w:type="dxa"/>
              <w:bottom w:w="0" w:type="dxa"/>
              <w:right w:w="20" w:type="dxa"/>
            </w:tcMar>
          </w:tcPr>
          <w:p w14:paraId="7B670207"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208"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209"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20A"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214" w14:textId="77777777">
        <w:tc>
          <w:tcPr>
            <w:tcW w:w="0" w:type="auto"/>
            <w:gridSpan w:val="3"/>
            <w:shd w:val="clear" w:color="auto" w:fill="auto"/>
            <w:tcMar>
              <w:top w:w="0" w:type="dxa"/>
              <w:left w:w="20" w:type="dxa"/>
              <w:bottom w:w="0" w:type="dxa"/>
              <w:right w:w="20" w:type="dxa"/>
            </w:tcMar>
          </w:tcPr>
          <w:p w14:paraId="7B67020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20D"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20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20F"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shd w:val="clear" w:color="auto" w:fill="auto"/>
            <w:tcMar>
              <w:top w:w="0" w:type="dxa"/>
              <w:left w:w="20" w:type="dxa"/>
              <w:bottom w:w="0" w:type="dxa"/>
              <w:right w:w="20" w:type="dxa"/>
            </w:tcMar>
          </w:tcPr>
          <w:p w14:paraId="7B67021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211"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21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213"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70225" w14:textId="77777777">
        <w:tc>
          <w:tcPr>
            <w:tcW w:w="0" w:type="auto"/>
            <w:gridSpan w:val="3"/>
            <w:shd w:val="clear" w:color="auto" w:fill="CCEEFF"/>
            <w:tcMar>
              <w:top w:w="40" w:type="dxa"/>
              <w:left w:w="20" w:type="dxa"/>
              <w:bottom w:w="40" w:type="dxa"/>
              <w:right w:w="20" w:type="dxa"/>
            </w:tcMar>
          </w:tcPr>
          <w:p w14:paraId="7B670215" w14:textId="77777777" w:rsidR="0040300B" w:rsidRDefault="00BB2D44">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21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17" w14:textId="77777777" w:rsidR="0040300B" w:rsidRDefault="00BB2D44">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1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1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1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1B" w14:textId="77777777" w:rsidR="0040300B" w:rsidRDefault="00BB2D44">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1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1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1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1F" w14:textId="77777777" w:rsidR="0040300B" w:rsidRDefault="00BB2D44">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2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2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2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23" w14:textId="77777777" w:rsidR="0040300B" w:rsidRDefault="00BB2D44">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24" w14:textId="77777777" w:rsidR="0040300B" w:rsidRDefault="0040300B">
            <w:pPr>
              <w:jc w:val="right"/>
              <w:rPr>
                <w:rFonts w:ascii="宋体"/>
              </w:rPr>
            </w:pPr>
          </w:p>
        </w:tc>
      </w:tr>
      <w:tr w:rsidR="0040300B" w14:paraId="7B670232" w14:textId="77777777">
        <w:tc>
          <w:tcPr>
            <w:tcW w:w="0" w:type="auto"/>
            <w:gridSpan w:val="3"/>
            <w:shd w:val="clear" w:color="auto" w:fill="FFFFFF"/>
            <w:tcMar>
              <w:top w:w="40" w:type="dxa"/>
              <w:left w:w="20" w:type="dxa"/>
              <w:bottom w:w="40" w:type="dxa"/>
              <w:right w:w="20" w:type="dxa"/>
            </w:tcMar>
          </w:tcPr>
          <w:p w14:paraId="7B670226" w14:textId="77777777" w:rsidR="0040300B" w:rsidRDefault="00BB2D44">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7B670227"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7022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2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2A" w14:textId="77777777" w:rsidR="0040300B" w:rsidRDefault="00BB2D44">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7B67022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2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2D" w14:textId="77777777" w:rsidR="0040300B" w:rsidRDefault="00BB2D44">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7B67022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2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30" w14:textId="77777777" w:rsidR="0040300B" w:rsidRDefault="00BB2D44">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7B670231" w14:textId="77777777" w:rsidR="0040300B" w:rsidRDefault="0040300B">
            <w:pPr>
              <w:jc w:val="right"/>
              <w:rPr>
                <w:rFonts w:ascii="宋体"/>
              </w:rPr>
            </w:pPr>
          </w:p>
        </w:tc>
      </w:tr>
      <w:tr w:rsidR="0040300B" w14:paraId="7B67023F" w14:textId="77777777">
        <w:tc>
          <w:tcPr>
            <w:tcW w:w="0" w:type="auto"/>
            <w:gridSpan w:val="3"/>
            <w:shd w:val="clear" w:color="auto" w:fill="CCEEFF"/>
            <w:tcMar>
              <w:top w:w="40" w:type="dxa"/>
              <w:left w:w="20" w:type="dxa"/>
              <w:bottom w:w="40" w:type="dxa"/>
              <w:right w:w="20" w:type="dxa"/>
            </w:tcMar>
          </w:tcPr>
          <w:p w14:paraId="7B670233" w14:textId="77777777" w:rsidR="0040300B" w:rsidRDefault="00BB2D44">
            <w:pPr>
              <w:textAlignment w:val="top"/>
            </w:pPr>
            <w:r>
              <w:rPr>
                <w:rFonts w:ascii="Times New Roman" w:eastAsia="宋体" w:hAnsi="Times New Roman"/>
                <w:color w:val="000000"/>
                <w:sz w:val="20"/>
                <w:szCs w:val="20"/>
              </w:rPr>
              <w:t>Share-based 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34" w14:textId="77777777" w:rsidR="0040300B" w:rsidRDefault="00BB2D44">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3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3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37" w14:textId="77777777" w:rsidR="0040300B" w:rsidRDefault="00BB2D44">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3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3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3A" w14:textId="77777777" w:rsidR="0040300B" w:rsidRDefault="00BB2D44">
            <w:pPr>
              <w:jc w:val="right"/>
              <w:textAlignment w:val="bottom"/>
            </w:pPr>
            <w:r>
              <w:rPr>
                <w:rFonts w:ascii="Times New Roman" w:eastAsia="宋体" w:hAnsi="Times New Roman"/>
                <w:color w:val="000000"/>
                <w:sz w:val="20"/>
                <w:szCs w:val="20"/>
              </w:rPr>
              <w:t>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3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3C"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3D" w14:textId="77777777" w:rsidR="0040300B" w:rsidRDefault="00BB2D44">
            <w:pPr>
              <w:jc w:val="right"/>
              <w:textAlignment w:val="bottom"/>
            </w:pPr>
            <w:r>
              <w:rPr>
                <w:rFonts w:ascii="Times New Roman" w:eastAsia="宋体" w:hAnsi="Times New Roman"/>
                <w:color w:val="000000"/>
                <w:sz w:val="20"/>
                <w:szCs w:val="20"/>
              </w:rPr>
              <w:t>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3E" w14:textId="77777777" w:rsidR="0040300B" w:rsidRDefault="0040300B">
            <w:pPr>
              <w:jc w:val="right"/>
              <w:rPr>
                <w:rFonts w:ascii="宋体"/>
              </w:rPr>
            </w:pPr>
          </w:p>
        </w:tc>
      </w:tr>
      <w:tr w:rsidR="0040300B" w14:paraId="7B67024C" w14:textId="77777777">
        <w:tc>
          <w:tcPr>
            <w:tcW w:w="0" w:type="auto"/>
            <w:gridSpan w:val="3"/>
            <w:shd w:val="clear" w:color="auto" w:fill="FFFFFF"/>
            <w:tcMar>
              <w:top w:w="40" w:type="dxa"/>
              <w:left w:w="20" w:type="dxa"/>
              <w:bottom w:w="40" w:type="dxa"/>
              <w:right w:w="20" w:type="dxa"/>
            </w:tcMar>
          </w:tcPr>
          <w:p w14:paraId="7B670240" w14:textId="77777777" w:rsidR="0040300B" w:rsidRDefault="00BB2D44">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41" w14:textId="77777777" w:rsidR="0040300B" w:rsidRDefault="00BB2D44">
            <w:pPr>
              <w:jc w:val="right"/>
              <w:textAlignment w:val="bottom"/>
            </w:pPr>
            <w:r>
              <w:rPr>
                <w:rFonts w:ascii="Times New Roman" w:eastAsia="宋体" w:hAnsi="Times New Roman"/>
                <w:color w:val="000000"/>
                <w:sz w:val="20"/>
                <w:szCs w:val="20"/>
              </w:rPr>
              <w:t>184 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4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43"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44" w14:textId="77777777" w:rsidR="0040300B" w:rsidRDefault="00BB2D44">
            <w:pPr>
              <w:jc w:val="right"/>
              <w:textAlignment w:val="bottom"/>
            </w:pPr>
            <w:r>
              <w:rPr>
                <w:rFonts w:ascii="Times New Roman" w:eastAsia="宋体" w:hAnsi="Times New Roman"/>
                <w:color w:val="000000"/>
                <w:sz w:val="20"/>
                <w:szCs w:val="20"/>
              </w:rPr>
              <w:t>148 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4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46"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47" w14:textId="77777777" w:rsidR="0040300B" w:rsidRDefault="00BB2D44">
            <w:pPr>
              <w:jc w:val="right"/>
              <w:textAlignment w:val="bottom"/>
            </w:pPr>
            <w:r>
              <w:rPr>
                <w:rFonts w:ascii="Times New Roman" w:eastAsia="宋体" w:hAnsi="Times New Roman"/>
                <w:color w:val="000000"/>
                <w:sz w:val="20"/>
                <w:szCs w:val="20"/>
              </w:rPr>
              <w:t>522 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4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49"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4A" w14:textId="77777777" w:rsidR="0040300B" w:rsidRDefault="00BB2D44">
            <w:pPr>
              <w:jc w:val="right"/>
              <w:textAlignment w:val="bottom"/>
            </w:pPr>
            <w:r>
              <w:rPr>
                <w:rFonts w:ascii="Times New Roman" w:eastAsia="宋体" w:hAnsi="Times New Roman"/>
                <w:color w:val="000000"/>
                <w:sz w:val="20"/>
                <w:szCs w:val="20"/>
              </w:rPr>
              <w:t>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4B" w14:textId="77777777" w:rsidR="0040300B" w:rsidRDefault="0040300B">
            <w:pPr>
              <w:jc w:val="right"/>
              <w:rPr>
                <w:rFonts w:ascii="宋体"/>
              </w:rPr>
            </w:pPr>
          </w:p>
        </w:tc>
      </w:tr>
      <w:tr w:rsidR="0040300B" w14:paraId="7B670259" w14:textId="77777777">
        <w:tc>
          <w:tcPr>
            <w:tcW w:w="0" w:type="auto"/>
            <w:gridSpan w:val="3"/>
            <w:shd w:val="clear" w:color="auto" w:fill="CCEEFF"/>
            <w:tcMar>
              <w:top w:w="40" w:type="dxa"/>
              <w:left w:w="20" w:type="dxa"/>
              <w:bottom w:w="40" w:type="dxa"/>
              <w:right w:w="20" w:type="dxa"/>
            </w:tcMar>
          </w:tcPr>
          <w:p w14:paraId="7B67024D" w14:textId="77777777" w:rsidR="0040300B" w:rsidRDefault="00BB2D44">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7B67024E" w14:textId="77777777" w:rsidR="0040300B" w:rsidRDefault="00BB2D44">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left w:w="0" w:type="dxa"/>
              <w:bottom w:w="40" w:type="dxa"/>
              <w:right w:w="20" w:type="dxa"/>
            </w:tcMar>
            <w:vAlign w:val="bottom"/>
          </w:tcPr>
          <w:p w14:paraId="7B67024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5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51" w14:textId="77777777" w:rsidR="0040300B" w:rsidRDefault="00BB2D44">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7B67025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5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54" w14:textId="77777777" w:rsidR="0040300B" w:rsidRDefault="00BB2D44">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7B67025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5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57" w14:textId="77777777" w:rsidR="0040300B" w:rsidRDefault="00BB2D44">
            <w:pPr>
              <w:jc w:val="right"/>
              <w:textAlignment w:val="bottom"/>
            </w:pPr>
            <w:r>
              <w:rPr>
                <w:rFonts w:ascii="Times New Roman" w:eastAsia="宋体" w:hAnsi="Times New Roman"/>
                <w:color w:val="000000"/>
                <w:sz w:val="20"/>
                <w:szCs w:val="20"/>
              </w:rPr>
              <w:t>371 </w:t>
            </w:r>
          </w:p>
        </w:tc>
        <w:tc>
          <w:tcPr>
            <w:tcW w:w="0" w:type="auto"/>
            <w:shd w:val="clear" w:color="auto" w:fill="CCEEFF"/>
            <w:tcMar>
              <w:top w:w="40" w:type="dxa"/>
              <w:left w:w="0" w:type="dxa"/>
              <w:bottom w:w="40" w:type="dxa"/>
              <w:right w:w="20" w:type="dxa"/>
            </w:tcMar>
            <w:vAlign w:val="bottom"/>
          </w:tcPr>
          <w:p w14:paraId="7B670258" w14:textId="77777777" w:rsidR="0040300B" w:rsidRDefault="0040300B">
            <w:pPr>
              <w:jc w:val="right"/>
              <w:rPr>
                <w:rFonts w:ascii="宋体"/>
              </w:rPr>
            </w:pPr>
          </w:p>
        </w:tc>
      </w:tr>
      <w:tr w:rsidR="0040300B" w14:paraId="7B670266" w14:textId="77777777">
        <w:tc>
          <w:tcPr>
            <w:tcW w:w="0" w:type="auto"/>
            <w:gridSpan w:val="3"/>
            <w:shd w:val="clear" w:color="auto" w:fill="FFFFFF"/>
            <w:tcMar>
              <w:top w:w="40" w:type="dxa"/>
              <w:left w:w="20" w:type="dxa"/>
              <w:bottom w:w="40" w:type="dxa"/>
              <w:right w:w="20" w:type="dxa"/>
            </w:tcMar>
          </w:tcPr>
          <w:p w14:paraId="7B67025A" w14:textId="77777777" w:rsidR="0040300B" w:rsidRDefault="00BB2D44">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7B67025B" w14:textId="77777777" w:rsidR="0040300B" w:rsidRDefault="00BB2D44">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7B67025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5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5E"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7025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6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61" w14:textId="77777777" w:rsidR="0040300B" w:rsidRDefault="00BB2D44">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7B67026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6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64" w14:textId="77777777" w:rsidR="0040300B" w:rsidRDefault="00BB2D44">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7B670265" w14:textId="77777777" w:rsidR="0040300B" w:rsidRDefault="0040300B">
            <w:pPr>
              <w:jc w:val="right"/>
              <w:rPr>
                <w:rFonts w:ascii="宋体"/>
              </w:rPr>
            </w:pPr>
          </w:p>
        </w:tc>
      </w:tr>
      <w:tr w:rsidR="0040300B" w14:paraId="7B670273" w14:textId="77777777">
        <w:tc>
          <w:tcPr>
            <w:tcW w:w="0" w:type="auto"/>
            <w:gridSpan w:val="3"/>
            <w:shd w:val="clear" w:color="auto" w:fill="CCEEFF"/>
            <w:tcMar>
              <w:top w:w="40" w:type="dxa"/>
              <w:left w:w="20" w:type="dxa"/>
              <w:bottom w:w="40" w:type="dxa"/>
              <w:right w:w="20" w:type="dxa"/>
            </w:tcMar>
          </w:tcPr>
          <w:p w14:paraId="7B670267" w14:textId="77777777" w:rsidR="0040300B" w:rsidRDefault="00BB2D44">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7B670268"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B67026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6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6B"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B67026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6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6E" w14:textId="77777777" w:rsidR="0040300B" w:rsidRDefault="00BB2D44">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7B67026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7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71" w14:textId="77777777" w:rsidR="0040300B" w:rsidRDefault="00BB2D44">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7B670272" w14:textId="77777777" w:rsidR="0040300B" w:rsidRDefault="0040300B">
            <w:pPr>
              <w:jc w:val="right"/>
              <w:rPr>
                <w:rFonts w:ascii="宋体"/>
              </w:rPr>
            </w:pPr>
          </w:p>
        </w:tc>
      </w:tr>
      <w:tr w:rsidR="0040300B" w14:paraId="7B670280" w14:textId="77777777">
        <w:tc>
          <w:tcPr>
            <w:tcW w:w="0" w:type="auto"/>
            <w:gridSpan w:val="3"/>
            <w:shd w:val="clear" w:color="auto" w:fill="FFFFFF"/>
            <w:tcMar>
              <w:top w:w="40" w:type="dxa"/>
              <w:left w:w="20" w:type="dxa"/>
              <w:bottom w:w="40" w:type="dxa"/>
              <w:right w:w="20" w:type="dxa"/>
            </w:tcMar>
          </w:tcPr>
          <w:p w14:paraId="7B670274" w14:textId="77777777" w:rsidR="0040300B" w:rsidRDefault="00BB2D44">
            <w:pPr>
              <w:textAlignment w:val="top"/>
            </w:pPr>
            <w:r>
              <w:rPr>
                <w:rFonts w:ascii="Times New Roman" w:eastAsia="宋体" w:hAnsi="Times New Roman"/>
                <w:color w:val="000000"/>
                <w:sz w:val="20"/>
                <w:szCs w:val="20"/>
              </w:rPr>
              <w:t>Share-based compensation expense in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75" w14:textId="77777777" w:rsidR="0040300B" w:rsidRDefault="00BB2D44">
            <w:pPr>
              <w:jc w:val="right"/>
              <w:textAlignment w:val="bottom"/>
            </w:pPr>
            <w:r>
              <w:rPr>
                <w:rFonts w:ascii="Times New Roman" w:eastAsia="宋体" w:hAnsi="Times New Roman"/>
                <w:color w:val="000000"/>
                <w:sz w:val="20"/>
                <w:szCs w:val="20"/>
              </w:rPr>
              <w:t>388 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7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77"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78" w14:textId="77777777" w:rsidR="0040300B" w:rsidRDefault="00BB2D44">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7A"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7B" w14:textId="77777777" w:rsidR="0040300B" w:rsidRDefault="00BB2D44">
            <w:pPr>
              <w:jc w:val="right"/>
              <w:textAlignment w:val="bottom"/>
            </w:pPr>
            <w:r>
              <w:rPr>
                <w:rFonts w:ascii="Times New Roman" w:eastAsia="宋体" w:hAnsi="Times New Roman"/>
                <w:color w:val="000000"/>
                <w:sz w:val="20"/>
                <w:szCs w:val="20"/>
              </w:rPr>
              <w:t>1,129 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7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7D"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27E" w14:textId="77777777" w:rsidR="0040300B" w:rsidRDefault="00BB2D44">
            <w:pPr>
              <w:jc w:val="right"/>
              <w:textAlignment w:val="bottom"/>
            </w:pPr>
            <w:r>
              <w:rPr>
                <w:rFonts w:ascii="Times New Roman" w:eastAsia="宋体" w:hAnsi="Times New Roman"/>
                <w:color w:val="000000"/>
                <w:sz w:val="20"/>
                <w:szCs w:val="20"/>
              </w:rPr>
              <w:t>993 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27F" w14:textId="77777777" w:rsidR="0040300B" w:rsidRDefault="0040300B">
            <w:pPr>
              <w:jc w:val="right"/>
              <w:rPr>
                <w:rFonts w:ascii="宋体"/>
              </w:rPr>
            </w:pPr>
          </w:p>
        </w:tc>
      </w:tr>
      <w:tr w:rsidR="0040300B" w14:paraId="7B670291" w14:textId="77777777">
        <w:tc>
          <w:tcPr>
            <w:tcW w:w="0" w:type="auto"/>
            <w:gridSpan w:val="3"/>
            <w:shd w:val="clear" w:color="auto" w:fill="CCEEFF"/>
            <w:tcMar>
              <w:top w:w="40" w:type="dxa"/>
              <w:left w:w="20" w:type="dxa"/>
              <w:bottom w:w="40" w:type="dxa"/>
              <w:right w:w="20" w:type="dxa"/>
            </w:tcMar>
            <w:vAlign w:val="bottom"/>
          </w:tcPr>
          <w:p w14:paraId="7B670281" w14:textId="77777777" w:rsidR="0040300B" w:rsidRDefault="00BB2D44">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28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83" w14:textId="77777777" w:rsidR="0040300B" w:rsidRDefault="00BB2D44">
            <w:pPr>
              <w:jc w:val="right"/>
              <w:textAlignment w:val="bottom"/>
            </w:pPr>
            <w:r>
              <w:rPr>
                <w:rFonts w:ascii="Times New Roman" w:eastAsia="宋体" w:hAnsi="Times New Roman"/>
                <w:color w:val="000000"/>
                <w:sz w:val="20"/>
                <w:szCs w:val="20"/>
              </w:rPr>
              <w:t>463 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8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8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8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87" w14:textId="77777777" w:rsidR="0040300B" w:rsidRDefault="00BB2D44">
            <w:pPr>
              <w:jc w:val="right"/>
              <w:textAlignment w:val="bottom"/>
            </w:pPr>
            <w:r>
              <w:rPr>
                <w:rFonts w:ascii="Times New Roman" w:eastAsia="宋体" w:hAnsi="Times New Roman"/>
                <w:color w:val="000000"/>
                <w:sz w:val="20"/>
                <w:szCs w:val="20"/>
              </w:rPr>
              <w:t>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8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8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8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8B" w14:textId="77777777" w:rsidR="0040300B" w:rsidRDefault="00BB2D44">
            <w:pPr>
              <w:jc w:val="right"/>
              <w:textAlignment w:val="bottom"/>
            </w:pPr>
            <w:r>
              <w:rPr>
                <w:rFonts w:ascii="Times New Roman" w:eastAsia="宋体" w:hAnsi="Times New Roman"/>
                <w:color w:val="000000"/>
                <w:sz w:val="20"/>
                <w:szCs w:val="20"/>
              </w:rPr>
              <w:t>1,337 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8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8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8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8F" w14:textId="77777777" w:rsidR="0040300B" w:rsidRDefault="00BB2D44">
            <w:pPr>
              <w:jc w:val="right"/>
              <w:textAlignment w:val="bottom"/>
            </w:pPr>
            <w:r>
              <w:rPr>
                <w:rFonts w:ascii="Times New Roman" w:eastAsia="宋体" w:hAnsi="Times New Roman"/>
                <w:color w:val="000000"/>
                <w:sz w:val="20"/>
                <w:szCs w:val="20"/>
              </w:rPr>
              <w:t>1,169 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90" w14:textId="77777777" w:rsidR="0040300B" w:rsidRDefault="0040300B">
            <w:pPr>
              <w:jc w:val="right"/>
              <w:rPr>
                <w:rFonts w:ascii="宋体"/>
              </w:rPr>
            </w:pPr>
          </w:p>
        </w:tc>
      </w:tr>
      <w:tr w:rsidR="0040300B" w14:paraId="7B6702A2" w14:textId="77777777">
        <w:tc>
          <w:tcPr>
            <w:tcW w:w="0" w:type="auto"/>
            <w:gridSpan w:val="3"/>
            <w:shd w:val="clear" w:color="auto" w:fill="FFFFFF"/>
            <w:tcMar>
              <w:top w:w="40" w:type="dxa"/>
              <w:left w:w="20" w:type="dxa"/>
              <w:bottom w:w="40" w:type="dxa"/>
              <w:right w:w="20" w:type="dxa"/>
            </w:tcMar>
            <w:vAlign w:val="bottom"/>
          </w:tcPr>
          <w:p w14:paraId="7B670292" w14:textId="77777777" w:rsidR="0040300B" w:rsidRDefault="00BB2D44">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B67029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B670294" w14:textId="77777777" w:rsidR="0040300B" w:rsidRDefault="00BB2D44">
            <w:pPr>
              <w:jc w:val="right"/>
              <w:textAlignment w:val="bottom"/>
            </w:pPr>
            <w:r>
              <w:rPr>
                <w:rFonts w:ascii="Times New Roman" w:eastAsia="宋体" w:hAnsi="Times New Roman"/>
                <w:color w:val="000000"/>
                <w:sz w:val="20"/>
                <w:szCs w:val="20"/>
              </w:rPr>
              <w:t>88 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B67029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96" w14:textId="77777777" w:rsidR="0040300B" w:rsidRDefault="0040300B">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B67029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B670298" w14:textId="77777777" w:rsidR="0040300B" w:rsidRDefault="00BB2D44">
            <w:pPr>
              <w:jc w:val="right"/>
              <w:textAlignment w:val="bottom"/>
            </w:pPr>
            <w:r>
              <w:rPr>
                <w:rFonts w:ascii="Times New Roman" w:eastAsia="宋体" w:hAnsi="Times New Roman"/>
                <w:color w:val="000000"/>
                <w:sz w:val="20"/>
                <w:szCs w:val="20"/>
              </w:rPr>
              <w:t>81 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B67029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9A" w14:textId="77777777" w:rsidR="0040300B" w:rsidRDefault="0040300B">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B67029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B67029C" w14:textId="77777777" w:rsidR="0040300B" w:rsidRDefault="00BB2D44">
            <w:pPr>
              <w:jc w:val="right"/>
              <w:textAlignment w:val="bottom"/>
            </w:pPr>
            <w:r>
              <w:rPr>
                <w:rFonts w:ascii="Times New Roman" w:eastAsia="宋体" w:hAnsi="Times New Roman"/>
                <w:color w:val="000000"/>
                <w:sz w:val="20"/>
                <w:szCs w:val="20"/>
              </w:rPr>
              <w:t>264 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B67029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9E" w14:textId="77777777" w:rsidR="0040300B" w:rsidRDefault="0040300B">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B67029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B6702A0" w14:textId="77777777" w:rsidR="0040300B" w:rsidRDefault="00BB2D44">
            <w:pPr>
              <w:jc w:val="right"/>
              <w:textAlignment w:val="bottom"/>
            </w:pPr>
            <w:r>
              <w:rPr>
                <w:rFonts w:ascii="Times New Roman" w:eastAsia="宋体" w:hAnsi="Times New Roman"/>
                <w:color w:val="000000"/>
                <w:sz w:val="20"/>
                <w:szCs w:val="20"/>
              </w:rPr>
              <w:t>321 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B6702A1" w14:textId="77777777" w:rsidR="0040300B" w:rsidRDefault="0040300B">
            <w:pPr>
              <w:jc w:val="right"/>
              <w:rPr>
                <w:rFonts w:ascii="宋体"/>
              </w:rPr>
            </w:pPr>
          </w:p>
        </w:tc>
      </w:tr>
    </w:tbl>
    <w:p w14:paraId="7B6702A3" w14:textId="77777777" w:rsidR="0040300B" w:rsidRDefault="00BB2D44">
      <w:pPr>
        <w:spacing w:before="120"/>
        <w:jc w:val="both"/>
      </w:pPr>
      <w:r>
        <w:rPr>
          <w:rFonts w:ascii="Times New Roman" w:eastAsia="宋体" w:hAnsi="Times New Roman"/>
          <w:color w:val="000000"/>
          <w:sz w:val="20"/>
          <w:szCs w:val="20"/>
        </w:rPr>
        <w:t>As of May 1, 2021, the total compensation cost related to unvested share-based awards not yet recognized was $3.6 billion which is</w:t>
      </w:r>
      <w:r>
        <w:rPr>
          <w:rFonts w:ascii="Times New Roman" w:eastAsia="宋体" w:hAnsi="Times New Roman"/>
          <w:color w:val="000000"/>
          <w:sz w:val="20"/>
          <w:szCs w:val="20"/>
        </w:rPr>
        <w:t xml:space="preserve"> expected to be recognized over approximately 2.5 years on a weighted-average basis. </w:t>
      </w:r>
    </w:p>
    <w:p w14:paraId="7B6702A4" w14:textId="77777777" w:rsidR="0040300B" w:rsidRDefault="00BB2D44">
      <w:pPr>
        <w:spacing w:before="120"/>
        <w:ind w:hanging="360"/>
        <w:jc w:val="both"/>
      </w:pPr>
      <w:r>
        <w:rPr>
          <w:rFonts w:ascii="Times New Roman" w:eastAsia="宋体" w:hAnsi="Times New Roman"/>
          <w:b/>
          <w:bCs/>
          <w:color w:val="000000"/>
          <w:sz w:val="20"/>
          <w:szCs w:val="20"/>
        </w:rPr>
        <w:t xml:space="preserve">(d)Restricted Stock and Stock Unit Awards </w:t>
      </w:r>
    </w:p>
    <w:p w14:paraId="7B6702A5" w14:textId="77777777" w:rsidR="0040300B" w:rsidRDefault="00BB2D44">
      <w:pPr>
        <w:spacing w:before="120"/>
      </w:pPr>
      <w:r>
        <w:rPr>
          <w:rFonts w:ascii="Times New Roman" w:eastAsia="宋体" w:hAnsi="Times New Roman"/>
          <w:color w:val="000000"/>
          <w:sz w:val="20"/>
          <w:szCs w:val="20"/>
        </w:rPr>
        <w:t>A summary of the restricted stock and stock unit activity, which includes time-based and performance-based or market-based RSUs</w:t>
      </w:r>
      <w:r>
        <w:rPr>
          <w:rFonts w:ascii="Times New Roman" w:eastAsia="宋体" w:hAnsi="Times New Roman"/>
          <w:color w:val="000000"/>
          <w:sz w:val="20"/>
          <w:szCs w:val="20"/>
        </w:rPr>
        <w:t>, is as follows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40300B" w14:paraId="7B6702B8" w14:textId="77777777">
        <w:tc>
          <w:tcPr>
            <w:tcW w:w="50" w:type="pct"/>
            <w:shd w:val="clear" w:color="auto" w:fill="auto"/>
          </w:tcPr>
          <w:p w14:paraId="7B6702A6" w14:textId="77777777" w:rsidR="0040300B" w:rsidRDefault="0040300B">
            <w:pPr>
              <w:rPr>
                <w:rFonts w:ascii="宋体"/>
              </w:rPr>
            </w:pPr>
          </w:p>
        </w:tc>
        <w:tc>
          <w:tcPr>
            <w:tcW w:w="2672" w:type="pct"/>
            <w:shd w:val="clear" w:color="auto" w:fill="auto"/>
          </w:tcPr>
          <w:p w14:paraId="7B6702A7" w14:textId="77777777" w:rsidR="0040300B" w:rsidRDefault="0040300B">
            <w:pPr>
              <w:rPr>
                <w:rFonts w:ascii="宋体"/>
              </w:rPr>
            </w:pPr>
          </w:p>
        </w:tc>
        <w:tc>
          <w:tcPr>
            <w:tcW w:w="5" w:type="pct"/>
            <w:shd w:val="clear" w:color="auto" w:fill="auto"/>
          </w:tcPr>
          <w:p w14:paraId="7B6702A8" w14:textId="77777777" w:rsidR="0040300B" w:rsidRDefault="0040300B">
            <w:pPr>
              <w:rPr>
                <w:rFonts w:ascii="宋体"/>
              </w:rPr>
            </w:pPr>
          </w:p>
        </w:tc>
        <w:tc>
          <w:tcPr>
            <w:tcW w:w="50" w:type="pct"/>
            <w:shd w:val="clear" w:color="auto" w:fill="auto"/>
          </w:tcPr>
          <w:p w14:paraId="7B6702A9" w14:textId="77777777" w:rsidR="0040300B" w:rsidRDefault="0040300B">
            <w:pPr>
              <w:rPr>
                <w:rFonts w:ascii="宋体"/>
              </w:rPr>
            </w:pPr>
          </w:p>
        </w:tc>
        <w:tc>
          <w:tcPr>
            <w:tcW w:w="678" w:type="pct"/>
            <w:shd w:val="clear" w:color="auto" w:fill="auto"/>
          </w:tcPr>
          <w:p w14:paraId="7B6702AA" w14:textId="77777777" w:rsidR="0040300B" w:rsidRDefault="0040300B">
            <w:pPr>
              <w:rPr>
                <w:rFonts w:ascii="宋体"/>
              </w:rPr>
            </w:pPr>
          </w:p>
        </w:tc>
        <w:tc>
          <w:tcPr>
            <w:tcW w:w="5" w:type="pct"/>
            <w:shd w:val="clear" w:color="auto" w:fill="auto"/>
          </w:tcPr>
          <w:p w14:paraId="7B6702AB" w14:textId="77777777" w:rsidR="0040300B" w:rsidRDefault="0040300B">
            <w:pPr>
              <w:rPr>
                <w:rFonts w:ascii="宋体"/>
              </w:rPr>
            </w:pPr>
          </w:p>
        </w:tc>
        <w:tc>
          <w:tcPr>
            <w:tcW w:w="5" w:type="pct"/>
            <w:shd w:val="clear" w:color="auto" w:fill="auto"/>
          </w:tcPr>
          <w:p w14:paraId="7B6702AC" w14:textId="77777777" w:rsidR="0040300B" w:rsidRDefault="0040300B">
            <w:pPr>
              <w:rPr>
                <w:rFonts w:ascii="宋体"/>
              </w:rPr>
            </w:pPr>
          </w:p>
        </w:tc>
        <w:tc>
          <w:tcPr>
            <w:tcW w:w="26" w:type="pct"/>
            <w:shd w:val="clear" w:color="auto" w:fill="auto"/>
          </w:tcPr>
          <w:p w14:paraId="7B6702AD" w14:textId="77777777" w:rsidR="0040300B" w:rsidRDefault="0040300B">
            <w:pPr>
              <w:rPr>
                <w:rFonts w:ascii="宋体"/>
              </w:rPr>
            </w:pPr>
          </w:p>
        </w:tc>
        <w:tc>
          <w:tcPr>
            <w:tcW w:w="5" w:type="pct"/>
            <w:shd w:val="clear" w:color="auto" w:fill="auto"/>
          </w:tcPr>
          <w:p w14:paraId="7B6702AE" w14:textId="77777777" w:rsidR="0040300B" w:rsidRDefault="0040300B">
            <w:pPr>
              <w:rPr>
                <w:rFonts w:ascii="宋体"/>
              </w:rPr>
            </w:pPr>
          </w:p>
        </w:tc>
        <w:tc>
          <w:tcPr>
            <w:tcW w:w="50" w:type="pct"/>
            <w:shd w:val="clear" w:color="auto" w:fill="auto"/>
          </w:tcPr>
          <w:p w14:paraId="7B6702AF" w14:textId="77777777" w:rsidR="0040300B" w:rsidRDefault="0040300B">
            <w:pPr>
              <w:rPr>
                <w:rFonts w:ascii="宋体"/>
              </w:rPr>
            </w:pPr>
          </w:p>
        </w:tc>
        <w:tc>
          <w:tcPr>
            <w:tcW w:w="678" w:type="pct"/>
            <w:shd w:val="clear" w:color="auto" w:fill="auto"/>
          </w:tcPr>
          <w:p w14:paraId="7B6702B0" w14:textId="77777777" w:rsidR="0040300B" w:rsidRDefault="0040300B">
            <w:pPr>
              <w:rPr>
                <w:rFonts w:ascii="宋体"/>
              </w:rPr>
            </w:pPr>
          </w:p>
        </w:tc>
        <w:tc>
          <w:tcPr>
            <w:tcW w:w="5" w:type="pct"/>
            <w:shd w:val="clear" w:color="auto" w:fill="auto"/>
          </w:tcPr>
          <w:p w14:paraId="7B6702B1" w14:textId="77777777" w:rsidR="0040300B" w:rsidRDefault="0040300B">
            <w:pPr>
              <w:rPr>
                <w:rFonts w:ascii="宋体"/>
              </w:rPr>
            </w:pPr>
          </w:p>
        </w:tc>
        <w:tc>
          <w:tcPr>
            <w:tcW w:w="5" w:type="pct"/>
            <w:shd w:val="clear" w:color="auto" w:fill="auto"/>
          </w:tcPr>
          <w:p w14:paraId="7B6702B2" w14:textId="77777777" w:rsidR="0040300B" w:rsidRDefault="0040300B">
            <w:pPr>
              <w:rPr>
                <w:rFonts w:ascii="宋体"/>
              </w:rPr>
            </w:pPr>
          </w:p>
        </w:tc>
        <w:tc>
          <w:tcPr>
            <w:tcW w:w="26" w:type="pct"/>
            <w:shd w:val="clear" w:color="auto" w:fill="auto"/>
          </w:tcPr>
          <w:p w14:paraId="7B6702B3" w14:textId="77777777" w:rsidR="0040300B" w:rsidRDefault="0040300B">
            <w:pPr>
              <w:rPr>
                <w:rFonts w:ascii="宋体"/>
              </w:rPr>
            </w:pPr>
          </w:p>
        </w:tc>
        <w:tc>
          <w:tcPr>
            <w:tcW w:w="5" w:type="pct"/>
            <w:shd w:val="clear" w:color="auto" w:fill="auto"/>
          </w:tcPr>
          <w:p w14:paraId="7B6702B4" w14:textId="77777777" w:rsidR="0040300B" w:rsidRDefault="0040300B">
            <w:pPr>
              <w:rPr>
                <w:rFonts w:ascii="宋体"/>
              </w:rPr>
            </w:pPr>
          </w:p>
        </w:tc>
        <w:tc>
          <w:tcPr>
            <w:tcW w:w="50" w:type="pct"/>
            <w:shd w:val="clear" w:color="auto" w:fill="auto"/>
          </w:tcPr>
          <w:p w14:paraId="7B6702B5" w14:textId="77777777" w:rsidR="0040300B" w:rsidRDefault="0040300B">
            <w:pPr>
              <w:rPr>
                <w:rFonts w:ascii="宋体"/>
              </w:rPr>
            </w:pPr>
          </w:p>
        </w:tc>
        <w:tc>
          <w:tcPr>
            <w:tcW w:w="678" w:type="pct"/>
            <w:shd w:val="clear" w:color="auto" w:fill="auto"/>
          </w:tcPr>
          <w:p w14:paraId="7B6702B6" w14:textId="77777777" w:rsidR="0040300B" w:rsidRDefault="0040300B">
            <w:pPr>
              <w:rPr>
                <w:rFonts w:ascii="宋体"/>
              </w:rPr>
            </w:pPr>
          </w:p>
        </w:tc>
        <w:tc>
          <w:tcPr>
            <w:tcW w:w="5" w:type="pct"/>
            <w:shd w:val="clear" w:color="auto" w:fill="auto"/>
          </w:tcPr>
          <w:p w14:paraId="7B6702B7" w14:textId="77777777" w:rsidR="0040300B" w:rsidRDefault="0040300B">
            <w:pPr>
              <w:rPr>
                <w:rFonts w:ascii="宋体"/>
              </w:rPr>
            </w:pPr>
          </w:p>
        </w:tc>
      </w:tr>
      <w:tr w:rsidR="0040300B" w14:paraId="7B6702BF" w14:textId="77777777">
        <w:tc>
          <w:tcPr>
            <w:tcW w:w="0" w:type="auto"/>
            <w:gridSpan w:val="3"/>
            <w:shd w:val="clear" w:color="auto" w:fill="auto"/>
            <w:tcMar>
              <w:top w:w="0" w:type="dxa"/>
              <w:left w:w="20" w:type="dxa"/>
              <w:bottom w:w="0" w:type="dxa"/>
              <w:right w:w="20" w:type="dxa"/>
            </w:tcMar>
          </w:tcPr>
          <w:p w14:paraId="7B6702B9" w14:textId="77777777" w:rsidR="0040300B" w:rsidRDefault="0040300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B6702BA" w14:textId="77777777" w:rsidR="0040300B" w:rsidRDefault="00BB2D44">
            <w:pPr>
              <w:jc w:val="center"/>
              <w:textAlignment w:val="bottom"/>
            </w:pPr>
            <w:r>
              <w:rPr>
                <w:rFonts w:ascii="Times New Roman" w:eastAsia="宋体" w:hAnsi="Times New Roman"/>
                <w:color w:val="000000"/>
                <w:sz w:val="16"/>
                <w:szCs w:val="16"/>
              </w:rPr>
              <w:t>Restricted Stock/</w:t>
            </w:r>
            <w:r>
              <w:rPr>
                <w:rFonts w:ascii="Times New Roman" w:eastAsia="宋体" w:hAnsi="Times New Roman"/>
                <w:color w:val="000000"/>
                <w:sz w:val="16"/>
                <w:szCs w:val="16"/>
              </w:rPr>
              <w:br/>
              <w:t>Stock Units</w:t>
            </w:r>
          </w:p>
        </w:tc>
        <w:tc>
          <w:tcPr>
            <w:tcW w:w="0" w:type="auto"/>
            <w:gridSpan w:val="3"/>
            <w:shd w:val="clear" w:color="auto" w:fill="auto"/>
            <w:tcMar>
              <w:top w:w="0" w:type="dxa"/>
              <w:left w:w="20" w:type="dxa"/>
              <w:bottom w:w="0" w:type="dxa"/>
              <w:right w:w="20" w:type="dxa"/>
            </w:tcMar>
          </w:tcPr>
          <w:p w14:paraId="7B6702BB" w14:textId="77777777" w:rsidR="0040300B" w:rsidRDefault="0040300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B6702BC" w14:textId="77777777" w:rsidR="0040300B" w:rsidRDefault="00BB2D44">
            <w:pPr>
              <w:jc w:val="center"/>
              <w:textAlignment w:val="bottom"/>
            </w:pPr>
            <w:r>
              <w:rPr>
                <w:rFonts w:ascii="Times New Roman" w:eastAsia="宋体" w:hAnsi="Times New Roman"/>
                <w:color w:val="000000"/>
                <w:sz w:val="16"/>
                <w:szCs w:val="16"/>
              </w:rPr>
              <w:t>Weighted-Average</w:t>
            </w:r>
            <w:r>
              <w:rPr>
                <w:rFonts w:ascii="Times New Roman" w:eastAsia="宋体" w:hAnsi="Times New Roman"/>
                <w:color w:val="000000"/>
                <w:sz w:val="16"/>
                <w:szCs w:val="16"/>
              </w:rPr>
              <w:br/>
              <w:t>Grant Date Fair</w:t>
            </w:r>
            <w:r>
              <w:rPr>
                <w:rFonts w:ascii="Times New Roman" w:eastAsia="宋体" w:hAnsi="Times New Roman"/>
                <w:color w:val="000000"/>
                <w:sz w:val="16"/>
                <w:szCs w:val="16"/>
              </w:rPr>
              <w:br/>
              <w:t>Value per Share</w:t>
            </w:r>
          </w:p>
        </w:tc>
        <w:tc>
          <w:tcPr>
            <w:tcW w:w="0" w:type="auto"/>
            <w:gridSpan w:val="3"/>
            <w:shd w:val="clear" w:color="auto" w:fill="auto"/>
            <w:tcMar>
              <w:top w:w="0" w:type="dxa"/>
              <w:left w:w="20" w:type="dxa"/>
              <w:bottom w:w="0" w:type="dxa"/>
              <w:right w:w="20" w:type="dxa"/>
            </w:tcMar>
          </w:tcPr>
          <w:p w14:paraId="7B6702BD" w14:textId="77777777" w:rsidR="0040300B" w:rsidRDefault="0040300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B6702BE" w14:textId="77777777" w:rsidR="0040300B" w:rsidRDefault="00BB2D44">
            <w:pPr>
              <w:jc w:val="center"/>
              <w:textAlignment w:val="bottom"/>
            </w:pPr>
            <w:r>
              <w:rPr>
                <w:rFonts w:ascii="Times New Roman" w:eastAsia="宋体" w:hAnsi="Times New Roman"/>
                <w:color w:val="000000"/>
                <w:sz w:val="18"/>
                <w:szCs w:val="18"/>
              </w:rPr>
              <w:t>Aggregate Fair  Value</w:t>
            </w:r>
          </w:p>
        </w:tc>
      </w:tr>
      <w:tr w:rsidR="0040300B" w14:paraId="7B6702C9" w14:textId="77777777">
        <w:tc>
          <w:tcPr>
            <w:tcW w:w="0" w:type="auto"/>
            <w:gridSpan w:val="3"/>
            <w:shd w:val="clear" w:color="auto" w:fill="CCEEFF"/>
            <w:tcMar>
              <w:top w:w="40" w:type="dxa"/>
              <w:left w:w="20" w:type="dxa"/>
              <w:bottom w:w="40" w:type="dxa"/>
              <w:right w:w="20" w:type="dxa"/>
            </w:tcMar>
          </w:tcPr>
          <w:p w14:paraId="7B6702C0" w14:textId="77777777" w:rsidR="0040300B" w:rsidRDefault="00BB2D44">
            <w:pPr>
              <w:textAlignment w:val="top"/>
            </w:pPr>
            <w:r>
              <w:rPr>
                <w:rFonts w:ascii="Times New Roman" w:eastAsia="宋体" w:hAnsi="Times New Roman"/>
                <w:color w:val="000000"/>
                <w:sz w:val="20"/>
                <w:szCs w:val="20"/>
              </w:rPr>
              <w:t>Unvested balance at July 27,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C1" w14:textId="77777777" w:rsidR="0040300B" w:rsidRDefault="00BB2D44">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C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2C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2C5" w14:textId="77777777" w:rsidR="0040300B" w:rsidRDefault="00BB2D44">
            <w:pPr>
              <w:jc w:val="right"/>
              <w:textAlignment w:val="bottom"/>
            </w:pPr>
            <w:r>
              <w:rPr>
                <w:rFonts w:ascii="Times New Roman" w:eastAsia="宋体" w:hAnsi="Times New Roman"/>
                <w:color w:val="000000"/>
                <w:sz w:val="20"/>
                <w:szCs w:val="20"/>
              </w:rPr>
              <w:t>38.66 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C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C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2C8" w14:textId="77777777" w:rsidR="0040300B" w:rsidRDefault="0040300B">
            <w:pPr>
              <w:rPr>
                <w:rFonts w:ascii="宋体"/>
              </w:rPr>
            </w:pPr>
          </w:p>
        </w:tc>
      </w:tr>
      <w:tr w:rsidR="0040300B" w14:paraId="7B6702D2" w14:textId="77777777">
        <w:tc>
          <w:tcPr>
            <w:tcW w:w="0" w:type="auto"/>
            <w:gridSpan w:val="3"/>
            <w:shd w:val="clear" w:color="auto" w:fill="FFFFFF"/>
            <w:tcMar>
              <w:top w:w="40" w:type="dxa"/>
              <w:left w:w="20" w:type="dxa"/>
              <w:bottom w:w="40" w:type="dxa"/>
              <w:right w:w="20" w:type="dxa"/>
            </w:tcMar>
          </w:tcPr>
          <w:p w14:paraId="7B6702CA" w14:textId="77777777" w:rsidR="0040300B" w:rsidRDefault="00BB2D44">
            <w:pPr>
              <w:textAlignment w:val="top"/>
            </w:pPr>
            <w:r>
              <w:rPr>
                <w:rFonts w:ascii="Times New Roman" w:eastAsia="宋体" w:hAnsi="Times New Roman"/>
                <w:color w:val="000000"/>
                <w:sz w:val="20"/>
                <w:szCs w:val="20"/>
              </w:rPr>
              <w:t xml:space="preserve">Granted and </w:t>
            </w:r>
            <w:r>
              <w:rPr>
                <w:rFonts w:ascii="Times New Roman" w:eastAsia="宋体" w:hAnsi="Times New Roman"/>
                <w:color w:val="000000"/>
                <w:sz w:val="20"/>
                <w:szCs w:val="20"/>
              </w:rPr>
              <w:t>assumed</w:t>
            </w:r>
          </w:p>
        </w:tc>
        <w:tc>
          <w:tcPr>
            <w:tcW w:w="0" w:type="auto"/>
            <w:gridSpan w:val="2"/>
            <w:shd w:val="clear" w:color="auto" w:fill="FFFFFF"/>
            <w:tcMar>
              <w:top w:w="40" w:type="dxa"/>
              <w:left w:w="20" w:type="dxa"/>
              <w:bottom w:w="40" w:type="dxa"/>
              <w:right w:w="0" w:type="dxa"/>
            </w:tcMar>
            <w:vAlign w:val="bottom"/>
          </w:tcPr>
          <w:p w14:paraId="7B6702CB" w14:textId="77777777" w:rsidR="0040300B" w:rsidRDefault="00BB2D4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B6702C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C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CE" w14:textId="77777777" w:rsidR="0040300B" w:rsidRDefault="00BB2D44">
            <w:pPr>
              <w:jc w:val="right"/>
              <w:textAlignment w:val="bottom"/>
            </w:pPr>
            <w:r>
              <w:rPr>
                <w:rFonts w:ascii="Times New Roman" w:eastAsia="宋体" w:hAnsi="Times New Roman"/>
                <w:color w:val="000000"/>
                <w:sz w:val="20"/>
                <w:szCs w:val="20"/>
              </w:rPr>
              <w:t>42.61 </w:t>
            </w:r>
          </w:p>
        </w:tc>
        <w:tc>
          <w:tcPr>
            <w:tcW w:w="0" w:type="auto"/>
            <w:shd w:val="clear" w:color="auto" w:fill="FFFFFF"/>
            <w:tcMar>
              <w:top w:w="40" w:type="dxa"/>
              <w:left w:w="0" w:type="dxa"/>
              <w:bottom w:w="40" w:type="dxa"/>
              <w:right w:w="20" w:type="dxa"/>
            </w:tcMar>
            <w:vAlign w:val="bottom"/>
          </w:tcPr>
          <w:p w14:paraId="7B6702C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D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2D1" w14:textId="77777777" w:rsidR="0040300B" w:rsidRDefault="0040300B">
            <w:pPr>
              <w:rPr>
                <w:rFonts w:ascii="宋体"/>
              </w:rPr>
            </w:pPr>
          </w:p>
        </w:tc>
      </w:tr>
      <w:tr w:rsidR="0040300B" w14:paraId="7B6702DD" w14:textId="77777777">
        <w:tc>
          <w:tcPr>
            <w:tcW w:w="0" w:type="auto"/>
            <w:gridSpan w:val="3"/>
            <w:shd w:val="clear" w:color="auto" w:fill="CCEEFF"/>
            <w:tcMar>
              <w:top w:w="40" w:type="dxa"/>
              <w:left w:w="20" w:type="dxa"/>
              <w:bottom w:w="40" w:type="dxa"/>
              <w:right w:w="20" w:type="dxa"/>
            </w:tcMar>
          </w:tcPr>
          <w:p w14:paraId="7B6702D3" w14:textId="77777777" w:rsidR="0040300B" w:rsidRDefault="00BB2D44">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B6702D4" w14:textId="77777777" w:rsidR="0040300B" w:rsidRDefault="00BB2D44">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7B6702D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D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D7" w14:textId="77777777" w:rsidR="0040300B" w:rsidRDefault="00BB2D44">
            <w:pPr>
              <w:jc w:val="right"/>
              <w:textAlignment w:val="bottom"/>
            </w:pPr>
            <w:r>
              <w:rPr>
                <w:rFonts w:ascii="Times New Roman" w:eastAsia="宋体" w:hAnsi="Times New Roman"/>
                <w:color w:val="000000"/>
                <w:sz w:val="20"/>
                <w:szCs w:val="20"/>
              </w:rPr>
              <w:t>35.20 </w:t>
            </w:r>
          </w:p>
        </w:tc>
        <w:tc>
          <w:tcPr>
            <w:tcW w:w="0" w:type="auto"/>
            <w:shd w:val="clear" w:color="auto" w:fill="CCEEFF"/>
            <w:tcMar>
              <w:top w:w="40" w:type="dxa"/>
              <w:left w:w="0" w:type="dxa"/>
              <w:bottom w:w="40" w:type="dxa"/>
              <w:right w:w="20" w:type="dxa"/>
            </w:tcMar>
            <w:vAlign w:val="bottom"/>
          </w:tcPr>
          <w:p w14:paraId="7B6702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D9"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2D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2DB" w14:textId="77777777" w:rsidR="0040300B" w:rsidRDefault="00BB2D44">
            <w:pPr>
              <w:jc w:val="right"/>
              <w:textAlignment w:val="bottom"/>
            </w:pPr>
            <w:r>
              <w:rPr>
                <w:rFonts w:ascii="Times New Roman" w:eastAsia="宋体" w:hAnsi="Times New Roman"/>
                <w:color w:val="000000"/>
                <w:sz w:val="20"/>
                <w:szCs w:val="20"/>
              </w:rPr>
              <w:t>2,045 </w:t>
            </w:r>
          </w:p>
        </w:tc>
        <w:tc>
          <w:tcPr>
            <w:tcW w:w="0" w:type="auto"/>
            <w:shd w:val="clear" w:color="auto" w:fill="CCEEFF"/>
            <w:tcMar>
              <w:top w:w="40" w:type="dxa"/>
              <w:left w:w="0" w:type="dxa"/>
              <w:bottom w:w="40" w:type="dxa"/>
              <w:right w:w="20" w:type="dxa"/>
            </w:tcMar>
            <w:vAlign w:val="bottom"/>
          </w:tcPr>
          <w:p w14:paraId="7B6702DC" w14:textId="77777777" w:rsidR="0040300B" w:rsidRDefault="0040300B">
            <w:pPr>
              <w:jc w:val="right"/>
              <w:rPr>
                <w:rFonts w:ascii="宋体"/>
              </w:rPr>
            </w:pPr>
          </w:p>
        </w:tc>
      </w:tr>
      <w:tr w:rsidR="0040300B" w14:paraId="7B6702E6" w14:textId="77777777">
        <w:tc>
          <w:tcPr>
            <w:tcW w:w="0" w:type="auto"/>
            <w:gridSpan w:val="3"/>
            <w:shd w:val="clear" w:color="auto" w:fill="FFFFFF"/>
            <w:tcMar>
              <w:top w:w="40" w:type="dxa"/>
              <w:left w:w="20" w:type="dxa"/>
              <w:bottom w:w="40" w:type="dxa"/>
              <w:right w:w="20" w:type="dxa"/>
            </w:tcMar>
          </w:tcPr>
          <w:p w14:paraId="7B6702DE" w14:textId="77777777" w:rsidR="0040300B" w:rsidRDefault="00BB2D44">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7B6702DF" w14:textId="77777777" w:rsidR="0040300B" w:rsidRDefault="00BB2D44">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B6702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E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E2" w14:textId="77777777" w:rsidR="0040300B" w:rsidRDefault="00BB2D44">
            <w:pPr>
              <w:jc w:val="right"/>
              <w:textAlignment w:val="bottom"/>
            </w:pPr>
            <w:r>
              <w:rPr>
                <w:rFonts w:ascii="Times New Roman" w:eastAsia="宋体" w:hAnsi="Times New Roman"/>
                <w:color w:val="000000"/>
                <w:sz w:val="20"/>
                <w:szCs w:val="20"/>
              </w:rPr>
              <w:t>40.45 </w:t>
            </w:r>
          </w:p>
        </w:tc>
        <w:tc>
          <w:tcPr>
            <w:tcW w:w="0" w:type="auto"/>
            <w:shd w:val="clear" w:color="auto" w:fill="FFFFFF"/>
            <w:tcMar>
              <w:top w:w="40" w:type="dxa"/>
              <w:left w:w="0" w:type="dxa"/>
              <w:bottom w:w="40" w:type="dxa"/>
              <w:right w:w="20" w:type="dxa"/>
            </w:tcMar>
            <w:vAlign w:val="bottom"/>
          </w:tcPr>
          <w:p w14:paraId="7B6702E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E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2E5" w14:textId="77777777" w:rsidR="0040300B" w:rsidRDefault="0040300B">
            <w:pPr>
              <w:rPr>
                <w:rFonts w:ascii="宋体"/>
              </w:rPr>
            </w:pPr>
          </w:p>
        </w:tc>
      </w:tr>
      <w:tr w:rsidR="0040300B" w14:paraId="7B6702EF" w14:textId="77777777">
        <w:tc>
          <w:tcPr>
            <w:tcW w:w="0" w:type="auto"/>
            <w:gridSpan w:val="3"/>
            <w:shd w:val="clear" w:color="auto" w:fill="CCEEFF"/>
            <w:tcMar>
              <w:top w:w="40" w:type="dxa"/>
              <w:left w:w="20" w:type="dxa"/>
              <w:bottom w:w="40" w:type="dxa"/>
              <w:right w:w="20" w:type="dxa"/>
            </w:tcMar>
          </w:tcPr>
          <w:p w14:paraId="7B6702E7" w14:textId="77777777" w:rsidR="0040300B" w:rsidRDefault="00BB2D44">
            <w:pPr>
              <w:textAlignment w:val="top"/>
            </w:pPr>
            <w:r>
              <w:rPr>
                <w:rFonts w:ascii="Times New Roman" w:eastAsia="宋体" w:hAnsi="Times New Roman"/>
                <w:color w:val="000000"/>
                <w:sz w:val="20"/>
                <w:szCs w:val="20"/>
              </w:rPr>
              <w:t>Unvested 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2E8" w14:textId="77777777" w:rsidR="0040300B" w:rsidRDefault="00BB2D44">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2E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E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EB" w14:textId="77777777" w:rsidR="0040300B" w:rsidRDefault="00BB2D44">
            <w:pPr>
              <w:jc w:val="right"/>
              <w:textAlignment w:val="bottom"/>
            </w:pPr>
            <w:r>
              <w:rPr>
                <w:rFonts w:ascii="Times New Roman" w:eastAsia="宋体" w:hAnsi="Times New Roman"/>
                <w:color w:val="000000"/>
                <w:sz w:val="20"/>
                <w:szCs w:val="20"/>
              </w:rPr>
              <w:t>42.03 </w:t>
            </w:r>
          </w:p>
        </w:tc>
        <w:tc>
          <w:tcPr>
            <w:tcW w:w="0" w:type="auto"/>
            <w:shd w:val="clear" w:color="auto" w:fill="CCEEFF"/>
            <w:tcMar>
              <w:top w:w="40" w:type="dxa"/>
              <w:left w:w="0" w:type="dxa"/>
              <w:bottom w:w="40" w:type="dxa"/>
              <w:right w:w="20" w:type="dxa"/>
            </w:tcMar>
            <w:vAlign w:val="bottom"/>
          </w:tcPr>
          <w:p w14:paraId="7B6702E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E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2EE" w14:textId="77777777" w:rsidR="0040300B" w:rsidRDefault="0040300B">
            <w:pPr>
              <w:rPr>
                <w:rFonts w:ascii="宋体"/>
              </w:rPr>
            </w:pPr>
          </w:p>
        </w:tc>
      </w:tr>
      <w:tr w:rsidR="0040300B" w14:paraId="7B6702F8" w14:textId="77777777">
        <w:tc>
          <w:tcPr>
            <w:tcW w:w="0" w:type="auto"/>
            <w:gridSpan w:val="3"/>
            <w:shd w:val="clear" w:color="auto" w:fill="FFFFFF"/>
            <w:tcMar>
              <w:top w:w="40" w:type="dxa"/>
              <w:left w:w="20" w:type="dxa"/>
              <w:bottom w:w="40" w:type="dxa"/>
              <w:right w:w="20" w:type="dxa"/>
            </w:tcMar>
          </w:tcPr>
          <w:p w14:paraId="7B6702F0" w14:textId="77777777" w:rsidR="0040300B" w:rsidRDefault="00BB2D44">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7B6702F1" w14:textId="77777777" w:rsidR="0040300B" w:rsidRDefault="00BB2D44">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7B6702F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F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2F4" w14:textId="77777777" w:rsidR="0040300B" w:rsidRDefault="00BB2D44">
            <w:pPr>
              <w:jc w:val="right"/>
              <w:textAlignment w:val="bottom"/>
            </w:pPr>
            <w:r>
              <w:rPr>
                <w:rFonts w:ascii="Times New Roman" w:eastAsia="宋体" w:hAnsi="Times New Roman"/>
                <w:color w:val="000000"/>
                <w:sz w:val="20"/>
                <w:szCs w:val="20"/>
              </w:rPr>
              <w:t>38.39 </w:t>
            </w:r>
          </w:p>
        </w:tc>
        <w:tc>
          <w:tcPr>
            <w:tcW w:w="0" w:type="auto"/>
            <w:shd w:val="clear" w:color="auto" w:fill="FFFFFF"/>
            <w:tcMar>
              <w:top w:w="40" w:type="dxa"/>
              <w:left w:w="0" w:type="dxa"/>
              <w:bottom w:w="40" w:type="dxa"/>
              <w:right w:w="20" w:type="dxa"/>
            </w:tcMar>
            <w:vAlign w:val="bottom"/>
          </w:tcPr>
          <w:p w14:paraId="7B6702F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2F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2F7" w14:textId="77777777" w:rsidR="0040300B" w:rsidRDefault="0040300B">
            <w:pPr>
              <w:rPr>
                <w:rFonts w:ascii="宋体"/>
              </w:rPr>
            </w:pPr>
          </w:p>
        </w:tc>
      </w:tr>
      <w:tr w:rsidR="0040300B" w14:paraId="7B670303" w14:textId="77777777">
        <w:tc>
          <w:tcPr>
            <w:tcW w:w="0" w:type="auto"/>
            <w:gridSpan w:val="3"/>
            <w:shd w:val="clear" w:color="auto" w:fill="CCEEFF"/>
            <w:tcMar>
              <w:top w:w="40" w:type="dxa"/>
              <w:left w:w="20" w:type="dxa"/>
              <w:bottom w:w="40" w:type="dxa"/>
              <w:right w:w="20" w:type="dxa"/>
            </w:tcMar>
          </w:tcPr>
          <w:p w14:paraId="7B6702F9" w14:textId="77777777" w:rsidR="0040300B" w:rsidRDefault="00BB2D44">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7B6702FA" w14:textId="77777777" w:rsidR="0040300B" w:rsidRDefault="00BB2D44">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7B6702F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F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2FD" w14:textId="77777777" w:rsidR="0040300B" w:rsidRDefault="00BB2D44">
            <w:pPr>
              <w:jc w:val="right"/>
              <w:textAlignment w:val="bottom"/>
            </w:pPr>
            <w:r>
              <w:rPr>
                <w:rFonts w:ascii="Times New Roman" w:eastAsia="宋体" w:hAnsi="Times New Roman"/>
                <w:color w:val="000000"/>
                <w:sz w:val="20"/>
                <w:szCs w:val="20"/>
              </w:rPr>
              <w:t>39.65 </w:t>
            </w:r>
          </w:p>
        </w:tc>
        <w:tc>
          <w:tcPr>
            <w:tcW w:w="0" w:type="auto"/>
            <w:shd w:val="clear" w:color="auto" w:fill="CCEEFF"/>
            <w:tcMar>
              <w:top w:w="40" w:type="dxa"/>
              <w:left w:w="0" w:type="dxa"/>
              <w:bottom w:w="40" w:type="dxa"/>
              <w:right w:w="20" w:type="dxa"/>
            </w:tcMar>
            <w:vAlign w:val="bottom"/>
          </w:tcPr>
          <w:p w14:paraId="7B6702F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2FF"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30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301" w14:textId="77777777" w:rsidR="0040300B" w:rsidRDefault="00BB2D44">
            <w:pPr>
              <w:jc w:val="right"/>
              <w:textAlignment w:val="bottom"/>
            </w:pPr>
            <w:r>
              <w:rPr>
                <w:rFonts w:ascii="Times New Roman" w:eastAsia="宋体" w:hAnsi="Times New Roman"/>
                <w:color w:val="000000"/>
                <w:sz w:val="20"/>
                <w:szCs w:val="20"/>
              </w:rPr>
              <w:t>1,188 </w:t>
            </w:r>
          </w:p>
        </w:tc>
        <w:tc>
          <w:tcPr>
            <w:tcW w:w="0" w:type="auto"/>
            <w:shd w:val="clear" w:color="auto" w:fill="CCEEFF"/>
            <w:tcMar>
              <w:top w:w="40" w:type="dxa"/>
              <w:left w:w="0" w:type="dxa"/>
              <w:bottom w:w="40" w:type="dxa"/>
              <w:right w:w="20" w:type="dxa"/>
            </w:tcMar>
            <w:vAlign w:val="bottom"/>
          </w:tcPr>
          <w:p w14:paraId="7B670302" w14:textId="77777777" w:rsidR="0040300B" w:rsidRDefault="0040300B">
            <w:pPr>
              <w:jc w:val="right"/>
              <w:rPr>
                <w:rFonts w:ascii="宋体"/>
              </w:rPr>
            </w:pPr>
          </w:p>
        </w:tc>
      </w:tr>
      <w:tr w:rsidR="0040300B" w14:paraId="7B67030C" w14:textId="77777777">
        <w:tc>
          <w:tcPr>
            <w:tcW w:w="0" w:type="auto"/>
            <w:gridSpan w:val="3"/>
            <w:shd w:val="clear" w:color="auto" w:fill="FFFFFF"/>
            <w:tcMar>
              <w:top w:w="40" w:type="dxa"/>
              <w:left w:w="20" w:type="dxa"/>
              <w:bottom w:w="40" w:type="dxa"/>
              <w:right w:w="20" w:type="dxa"/>
            </w:tcMar>
          </w:tcPr>
          <w:p w14:paraId="7B670304" w14:textId="77777777" w:rsidR="0040300B" w:rsidRDefault="00BB2D44">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7B670305" w14:textId="77777777" w:rsidR="0040300B" w:rsidRDefault="00BB2D44">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7B67030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0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08" w14:textId="77777777" w:rsidR="0040300B" w:rsidRDefault="00BB2D44">
            <w:pPr>
              <w:jc w:val="right"/>
              <w:textAlignment w:val="bottom"/>
            </w:pPr>
            <w:r>
              <w:rPr>
                <w:rFonts w:ascii="Times New Roman" w:eastAsia="宋体" w:hAnsi="Times New Roman"/>
                <w:color w:val="000000"/>
                <w:sz w:val="20"/>
                <w:szCs w:val="20"/>
              </w:rPr>
              <w:t>42.14 </w:t>
            </w:r>
          </w:p>
        </w:tc>
        <w:tc>
          <w:tcPr>
            <w:tcW w:w="0" w:type="auto"/>
            <w:shd w:val="clear" w:color="auto" w:fill="FFFFFF"/>
            <w:tcMar>
              <w:top w:w="40" w:type="dxa"/>
              <w:left w:w="0" w:type="dxa"/>
              <w:bottom w:w="40" w:type="dxa"/>
              <w:right w:w="20" w:type="dxa"/>
            </w:tcMar>
            <w:vAlign w:val="bottom"/>
          </w:tcPr>
          <w:p w14:paraId="7B67030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0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030B" w14:textId="77777777" w:rsidR="0040300B" w:rsidRDefault="0040300B">
            <w:pPr>
              <w:rPr>
                <w:rFonts w:ascii="宋体"/>
              </w:rPr>
            </w:pPr>
          </w:p>
        </w:tc>
      </w:tr>
      <w:tr w:rsidR="0040300B" w14:paraId="7B670316" w14:textId="77777777">
        <w:tc>
          <w:tcPr>
            <w:tcW w:w="0" w:type="auto"/>
            <w:gridSpan w:val="3"/>
            <w:shd w:val="clear" w:color="auto" w:fill="CCEEFF"/>
            <w:tcMar>
              <w:top w:w="40" w:type="dxa"/>
              <w:left w:w="20" w:type="dxa"/>
              <w:bottom w:w="40" w:type="dxa"/>
              <w:right w:w="20" w:type="dxa"/>
            </w:tcMar>
          </w:tcPr>
          <w:p w14:paraId="7B67030D" w14:textId="77777777" w:rsidR="0040300B" w:rsidRDefault="00BB2D44">
            <w:pPr>
              <w:textAlignment w:val="top"/>
            </w:pPr>
            <w:r>
              <w:rPr>
                <w:rFonts w:ascii="Times New Roman" w:eastAsia="宋体" w:hAnsi="Times New Roman"/>
                <w:color w:val="000000"/>
                <w:sz w:val="20"/>
                <w:szCs w:val="20"/>
              </w:rPr>
              <w:t>Unvested balance at May 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0E" w14:textId="77777777" w:rsidR="0040300B" w:rsidRDefault="00BB2D44">
            <w:pPr>
              <w:jc w:val="right"/>
              <w:textAlignment w:val="bottom"/>
            </w:pPr>
            <w:r>
              <w:rPr>
                <w:rFonts w:ascii="Times New Roman" w:eastAsia="宋体" w:hAnsi="Times New Roman"/>
                <w:color w:val="000000"/>
                <w:sz w:val="20"/>
                <w:szCs w:val="20"/>
              </w:rPr>
              <w:t>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1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31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312" w14:textId="77777777" w:rsidR="0040300B" w:rsidRDefault="00BB2D44">
            <w:pPr>
              <w:jc w:val="right"/>
              <w:textAlignment w:val="bottom"/>
            </w:pPr>
            <w:r>
              <w:rPr>
                <w:rFonts w:ascii="Times New Roman" w:eastAsia="宋体" w:hAnsi="Times New Roman"/>
                <w:color w:val="000000"/>
                <w:sz w:val="20"/>
                <w:szCs w:val="20"/>
              </w:rPr>
              <w:t>41.34 </w:t>
            </w:r>
          </w:p>
        </w:tc>
        <w:tc>
          <w:tcPr>
            <w:tcW w:w="0" w:type="auto"/>
            <w:shd w:val="clear" w:color="auto" w:fill="CCEEFF"/>
            <w:tcMar>
              <w:top w:w="40" w:type="dxa"/>
              <w:left w:w="0" w:type="dxa"/>
              <w:bottom w:w="40" w:type="dxa"/>
              <w:right w:w="20" w:type="dxa"/>
            </w:tcMar>
            <w:vAlign w:val="bottom"/>
          </w:tcPr>
          <w:p w14:paraId="7B67031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1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315" w14:textId="77777777" w:rsidR="0040300B" w:rsidRDefault="0040300B">
            <w:pPr>
              <w:rPr>
                <w:rFonts w:ascii="宋体"/>
              </w:rPr>
            </w:pPr>
          </w:p>
        </w:tc>
      </w:tr>
    </w:tbl>
    <w:p w14:paraId="7B670317" w14:textId="77777777" w:rsidR="0040300B" w:rsidRDefault="0040300B">
      <w:pPr>
        <w:spacing w:before="120"/>
        <w:jc w:val="both"/>
      </w:pPr>
    </w:p>
    <w:p w14:paraId="7B670318" w14:textId="77777777" w:rsidR="0040300B" w:rsidRDefault="00BB2D44">
      <w:pPr>
        <w:jc w:val="center"/>
      </w:pPr>
      <w:r>
        <w:rPr>
          <w:rFonts w:ascii="Times New Roman" w:eastAsia="宋体" w:hAnsi="Times New Roman"/>
          <w:color w:val="000000"/>
          <w:sz w:val="20"/>
          <w:szCs w:val="20"/>
        </w:rPr>
        <w:t>39</w:t>
      </w:r>
    </w:p>
    <w:p w14:paraId="7B670319" w14:textId="77777777" w:rsidR="0040300B" w:rsidRDefault="00BB2D44">
      <w:r>
        <w:pict w14:anchorId="7B671C37">
          <v:rect id="_x0000_i1063" style="width:415.3pt;height:1.5pt" o:hralign="center" o:hrstd="t" o:hr="t" fillcolor="#a0a0a0" stroked="f"/>
        </w:pict>
      </w:r>
    </w:p>
    <w:p w14:paraId="7B67031A" w14:textId="77777777" w:rsidR="0040300B" w:rsidRDefault="00BB2D44">
      <w:hyperlink r:id="rId85" w:anchor="i52d5b40dbad7426a9806a2fd5167029f_7" w:history="1">
        <w:r>
          <w:rPr>
            <w:rStyle w:val="a5"/>
            <w:rFonts w:ascii="Times New Roman" w:eastAsia="宋体" w:hAnsi="Times New Roman"/>
            <w:sz w:val="18"/>
            <w:szCs w:val="18"/>
          </w:rPr>
          <w:t>Table of Contents</w:t>
        </w:r>
      </w:hyperlink>
    </w:p>
    <w:p w14:paraId="7B67031B" w14:textId="77777777" w:rsidR="0040300B" w:rsidRDefault="00BB2D44">
      <w:pPr>
        <w:jc w:val="center"/>
      </w:pPr>
      <w:r>
        <w:rPr>
          <w:rFonts w:ascii="Times New Roman" w:eastAsia="宋体" w:hAnsi="Times New Roman"/>
          <w:b/>
          <w:bCs/>
          <w:color w:val="000000"/>
          <w:sz w:val="18"/>
          <w:szCs w:val="18"/>
        </w:rPr>
        <w:t>CISCO SYSTEMS, INC.</w:t>
      </w:r>
    </w:p>
    <w:p w14:paraId="7B67031C"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31D" w14:textId="77777777" w:rsidR="0040300B" w:rsidRDefault="00BB2D44">
      <w:pPr>
        <w:jc w:val="center"/>
      </w:pPr>
      <w:r>
        <w:rPr>
          <w:rFonts w:ascii="Times New Roman" w:eastAsia="宋体" w:hAnsi="Times New Roman"/>
          <w:b/>
          <w:bCs/>
          <w:color w:val="000000"/>
          <w:sz w:val="18"/>
          <w:szCs w:val="18"/>
        </w:rPr>
        <w:t xml:space="preserve">(Unaudited) </w:t>
      </w:r>
    </w:p>
    <w:p w14:paraId="7B67031E" w14:textId="77777777" w:rsidR="0040300B" w:rsidRDefault="0040300B">
      <w:pPr>
        <w:jc w:val="center"/>
      </w:pPr>
    </w:p>
    <w:p w14:paraId="7B67031F" w14:textId="77777777" w:rsidR="0040300B" w:rsidRDefault="00BB2D44">
      <w:pPr>
        <w:ind w:hanging="360"/>
      </w:pPr>
      <w:r>
        <w:rPr>
          <w:rFonts w:ascii="Times New Roman" w:eastAsia="宋体" w:hAnsi="Times New Roman"/>
          <w:b/>
          <w:bCs/>
          <w:color w:val="000000"/>
          <w:sz w:val="20"/>
          <w:szCs w:val="20"/>
        </w:rPr>
        <w:t>17.Comprehensive Income (Loss)</w:t>
      </w:r>
    </w:p>
    <w:p w14:paraId="7B670320" w14:textId="77777777" w:rsidR="0040300B" w:rsidRDefault="00BB2D44">
      <w:pPr>
        <w:spacing w:before="60"/>
      </w:pPr>
      <w:r>
        <w:rPr>
          <w:rFonts w:ascii="Times New Roman" w:eastAsia="宋体" w:hAnsi="Times New Roman"/>
          <w:color w:val="000000"/>
          <w:sz w:val="20"/>
          <w:szCs w:val="20"/>
        </w:rPr>
        <w:t>The components of AOCI, net of tax, and the other comprehensive income (loss), for the first nine months of fiscal 2021 and 2020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40300B" w14:paraId="7B670339" w14:textId="77777777">
        <w:trPr>
          <w:jc w:val="center"/>
        </w:trPr>
        <w:tc>
          <w:tcPr>
            <w:tcW w:w="50" w:type="pct"/>
            <w:shd w:val="clear" w:color="auto" w:fill="auto"/>
          </w:tcPr>
          <w:p w14:paraId="7B670321" w14:textId="77777777" w:rsidR="0040300B" w:rsidRDefault="0040300B">
            <w:pPr>
              <w:rPr>
                <w:rFonts w:ascii="宋体"/>
              </w:rPr>
            </w:pPr>
          </w:p>
        </w:tc>
        <w:tc>
          <w:tcPr>
            <w:tcW w:w="2361" w:type="pct"/>
            <w:shd w:val="clear" w:color="auto" w:fill="auto"/>
          </w:tcPr>
          <w:p w14:paraId="7B670322" w14:textId="77777777" w:rsidR="0040300B" w:rsidRDefault="0040300B">
            <w:pPr>
              <w:rPr>
                <w:rFonts w:ascii="宋体"/>
              </w:rPr>
            </w:pPr>
          </w:p>
        </w:tc>
        <w:tc>
          <w:tcPr>
            <w:tcW w:w="5" w:type="pct"/>
            <w:shd w:val="clear" w:color="auto" w:fill="auto"/>
          </w:tcPr>
          <w:p w14:paraId="7B670323" w14:textId="77777777" w:rsidR="0040300B" w:rsidRDefault="0040300B">
            <w:pPr>
              <w:rPr>
                <w:rFonts w:ascii="宋体"/>
              </w:rPr>
            </w:pPr>
          </w:p>
        </w:tc>
        <w:tc>
          <w:tcPr>
            <w:tcW w:w="50" w:type="pct"/>
            <w:shd w:val="clear" w:color="auto" w:fill="auto"/>
          </w:tcPr>
          <w:p w14:paraId="7B670324" w14:textId="77777777" w:rsidR="0040300B" w:rsidRDefault="0040300B">
            <w:pPr>
              <w:rPr>
                <w:rFonts w:ascii="宋体"/>
              </w:rPr>
            </w:pPr>
          </w:p>
        </w:tc>
        <w:tc>
          <w:tcPr>
            <w:tcW w:w="563" w:type="pct"/>
            <w:shd w:val="clear" w:color="auto" w:fill="auto"/>
          </w:tcPr>
          <w:p w14:paraId="7B670325" w14:textId="77777777" w:rsidR="0040300B" w:rsidRDefault="0040300B">
            <w:pPr>
              <w:rPr>
                <w:rFonts w:ascii="宋体"/>
              </w:rPr>
            </w:pPr>
          </w:p>
        </w:tc>
        <w:tc>
          <w:tcPr>
            <w:tcW w:w="5" w:type="pct"/>
            <w:shd w:val="clear" w:color="auto" w:fill="auto"/>
          </w:tcPr>
          <w:p w14:paraId="7B670326" w14:textId="77777777" w:rsidR="0040300B" w:rsidRDefault="0040300B">
            <w:pPr>
              <w:rPr>
                <w:rFonts w:ascii="宋体"/>
              </w:rPr>
            </w:pPr>
          </w:p>
        </w:tc>
        <w:tc>
          <w:tcPr>
            <w:tcW w:w="5" w:type="pct"/>
            <w:shd w:val="clear" w:color="auto" w:fill="auto"/>
          </w:tcPr>
          <w:p w14:paraId="7B670327" w14:textId="77777777" w:rsidR="0040300B" w:rsidRDefault="0040300B">
            <w:pPr>
              <w:rPr>
                <w:rFonts w:ascii="宋体"/>
              </w:rPr>
            </w:pPr>
          </w:p>
        </w:tc>
        <w:tc>
          <w:tcPr>
            <w:tcW w:w="26" w:type="pct"/>
            <w:shd w:val="clear" w:color="auto" w:fill="auto"/>
          </w:tcPr>
          <w:p w14:paraId="7B670328" w14:textId="77777777" w:rsidR="0040300B" w:rsidRDefault="0040300B">
            <w:pPr>
              <w:rPr>
                <w:rFonts w:ascii="宋体"/>
              </w:rPr>
            </w:pPr>
          </w:p>
        </w:tc>
        <w:tc>
          <w:tcPr>
            <w:tcW w:w="5" w:type="pct"/>
            <w:shd w:val="clear" w:color="auto" w:fill="auto"/>
          </w:tcPr>
          <w:p w14:paraId="7B670329" w14:textId="77777777" w:rsidR="0040300B" w:rsidRDefault="0040300B">
            <w:pPr>
              <w:rPr>
                <w:rFonts w:ascii="宋体"/>
              </w:rPr>
            </w:pPr>
          </w:p>
        </w:tc>
        <w:tc>
          <w:tcPr>
            <w:tcW w:w="50" w:type="pct"/>
            <w:shd w:val="clear" w:color="auto" w:fill="auto"/>
          </w:tcPr>
          <w:p w14:paraId="7B67032A" w14:textId="77777777" w:rsidR="0040300B" w:rsidRDefault="0040300B">
            <w:pPr>
              <w:rPr>
                <w:rFonts w:ascii="宋体"/>
              </w:rPr>
            </w:pPr>
          </w:p>
        </w:tc>
        <w:tc>
          <w:tcPr>
            <w:tcW w:w="563" w:type="pct"/>
            <w:shd w:val="clear" w:color="auto" w:fill="auto"/>
          </w:tcPr>
          <w:p w14:paraId="7B67032B" w14:textId="77777777" w:rsidR="0040300B" w:rsidRDefault="0040300B">
            <w:pPr>
              <w:rPr>
                <w:rFonts w:ascii="宋体"/>
              </w:rPr>
            </w:pPr>
          </w:p>
        </w:tc>
        <w:tc>
          <w:tcPr>
            <w:tcW w:w="5" w:type="pct"/>
            <w:shd w:val="clear" w:color="auto" w:fill="auto"/>
          </w:tcPr>
          <w:p w14:paraId="7B67032C" w14:textId="77777777" w:rsidR="0040300B" w:rsidRDefault="0040300B">
            <w:pPr>
              <w:rPr>
                <w:rFonts w:ascii="宋体"/>
              </w:rPr>
            </w:pPr>
          </w:p>
        </w:tc>
        <w:tc>
          <w:tcPr>
            <w:tcW w:w="5" w:type="pct"/>
            <w:shd w:val="clear" w:color="auto" w:fill="auto"/>
          </w:tcPr>
          <w:p w14:paraId="7B67032D" w14:textId="77777777" w:rsidR="0040300B" w:rsidRDefault="0040300B">
            <w:pPr>
              <w:rPr>
                <w:rFonts w:ascii="宋体"/>
              </w:rPr>
            </w:pPr>
          </w:p>
        </w:tc>
        <w:tc>
          <w:tcPr>
            <w:tcW w:w="26" w:type="pct"/>
            <w:shd w:val="clear" w:color="auto" w:fill="auto"/>
          </w:tcPr>
          <w:p w14:paraId="7B67032E" w14:textId="77777777" w:rsidR="0040300B" w:rsidRDefault="0040300B">
            <w:pPr>
              <w:rPr>
                <w:rFonts w:ascii="宋体"/>
              </w:rPr>
            </w:pPr>
          </w:p>
        </w:tc>
        <w:tc>
          <w:tcPr>
            <w:tcW w:w="5" w:type="pct"/>
            <w:shd w:val="clear" w:color="auto" w:fill="auto"/>
          </w:tcPr>
          <w:p w14:paraId="7B67032F" w14:textId="77777777" w:rsidR="0040300B" w:rsidRDefault="0040300B">
            <w:pPr>
              <w:rPr>
                <w:rFonts w:ascii="宋体"/>
              </w:rPr>
            </w:pPr>
          </w:p>
        </w:tc>
        <w:tc>
          <w:tcPr>
            <w:tcW w:w="50" w:type="pct"/>
            <w:shd w:val="clear" w:color="auto" w:fill="auto"/>
          </w:tcPr>
          <w:p w14:paraId="7B670330" w14:textId="77777777" w:rsidR="0040300B" w:rsidRDefault="0040300B">
            <w:pPr>
              <w:rPr>
                <w:rFonts w:ascii="宋体"/>
              </w:rPr>
            </w:pPr>
          </w:p>
        </w:tc>
        <w:tc>
          <w:tcPr>
            <w:tcW w:w="563" w:type="pct"/>
            <w:shd w:val="clear" w:color="auto" w:fill="auto"/>
          </w:tcPr>
          <w:p w14:paraId="7B670331" w14:textId="77777777" w:rsidR="0040300B" w:rsidRDefault="0040300B">
            <w:pPr>
              <w:rPr>
                <w:rFonts w:ascii="宋体"/>
              </w:rPr>
            </w:pPr>
          </w:p>
        </w:tc>
        <w:tc>
          <w:tcPr>
            <w:tcW w:w="5" w:type="pct"/>
            <w:shd w:val="clear" w:color="auto" w:fill="auto"/>
          </w:tcPr>
          <w:p w14:paraId="7B670332" w14:textId="77777777" w:rsidR="0040300B" w:rsidRDefault="0040300B">
            <w:pPr>
              <w:rPr>
                <w:rFonts w:ascii="宋体"/>
              </w:rPr>
            </w:pPr>
          </w:p>
        </w:tc>
        <w:tc>
          <w:tcPr>
            <w:tcW w:w="5" w:type="pct"/>
            <w:shd w:val="clear" w:color="auto" w:fill="auto"/>
          </w:tcPr>
          <w:p w14:paraId="7B670333" w14:textId="77777777" w:rsidR="0040300B" w:rsidRDefault="0040300B">
            <w:pPr>
              <w:rPr>
                <w:rFonts w:ascii="宋体"/>
              </w:rPr>
            </w:pPr>
          </w:p>
        </w:tc>
        <w:tc>
          <w:tcPr>
            <w:tcW w:w="26" w:type="pct"/>
            <w:shd w:val="clear" w:color="auto" w:fill="auto"/>
          </w:tcPr>
          <w:p w14:paraId="7B670334" w14:textId="77777777" w:rsidR="0040300B" w:rsidRDefault="0040300B">
            <w:pPr>
              <w:rPr>
                <w:rFonts w:ascii="宋体"/>
              </w:rPr>
            </w:pPr>
          </w:p>
        </w:tc>
        <w:tc>
          <w:tcPr>
            <w:tcW w:w="5" w:type="pct"/>
            <w:shd w:val="clear" w:color="auto" w:fill="auto"/>
          </w:tcPr>
          <w:p w14:paraId="7B670335" w14:textId="77777777" w:rsidR="0040300B" w:rsidRDefault="0040300B">
            <w:pPr>
              <w:rPr>
                <w:rFonts w:ascii="宋体"/>
              </w:rPr>
            </w:pPr>
          </w:p>
        </w:tc>
        <w:tc>
          <w:tcPr>
            <w:tcW w:w="50" w:type="pct"/>
            <w:shd w:val="clear" w:color="auto" w:fill="auto"/>
          </w:tcPr>
          <w:p w14:paraId="7B670336" w14:textId="77777777" w:rsidR="0040300B" w:rsidRDefault="0040300B">
            <w:pPr>
              <w:rPr>
                <w:rFonts w:ascii="宋体"/>
              </w:rPr>
            </w:pPr>
          </w:p>
        </w:tc>
        <w:tc>
          <w:tcPr>
            <w:tcW w:w="563" w:type="pct"/>
            <w:shd w:val="clear" w:color="auto" w:fill="auto"/>
          </w:tcPr>
          <w:p w14:paraId="7B670337" w14:textId="77777777" w:rsidR="0040300B" w:rsidRDefault="0040300B">
            <w:pPr>
              <w:rPr>
                <w:rFonts w:ascii="宋体"/>
              </w:rPr>
            </w:pPr>
          </w:p>
        </w:tc>
        <w:tc>
          <w:tcPr>
            <w:tcW w:w="5" w:type="pct"/>
            <w:shd w:val="clear" w:color="auto" w:fill="auto"/>
          </w:tcPr>
          <w:p w14:paraId="7B670338" w14:textId="77777777" w:rsidR="0040300B" w:rsidRDefault="0040300B">
            <w:pPr>
              <w:rPr>
                <w:rFonts w:ascii="宋体"/>
              </w:rPr>
            </w:pPr>
          </w:p>
        </w:tc>
      </w:tr>
      <w:tr w:rsidR="0040300B" w14:paraId="7B670342" w14:textId="77777777">
        <w:trPr>
          <w:jc w:val="center"/>
        </w:trPr>
        <w:tc>
          <w:tcPr>
            <w:tcW w:w="0" w:type="auto"/>
            <w:gridSpan w:val="3"/>
            <w:shd w:val="clear" w:color="auto" w:fill="auto"/>
            <w:tcMar>
              <w:top w:w="0" w:type="dxa"/>
              <w:left w:w="20" w:type="dxa"/>
              <w:bottom w:w="0" w:type="dxa"/>
              <w:right w:w="20" w:type="dxa"/>
            </w:tcMar>
          </w:tcPr>
          <w:p w14:paraId="7B67033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3B" w14:textId="77777777" w:rsidR="0040300B" w:rsidRDefault="00BB2D44">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tcPr>
          <w:p w14:paraId="7B67033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3D" w14:textId="77777777" w:rsidR="0040300B" w:rsidRDefault="00BB2D44">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tcPr>
          <w:p w14:paraId="7B67033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3F" w14:textId="77777777" w:rsidR="0040300B" w:rsidRDefault="00BB2D44">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tcPr>
          <w:p w14:paraId="7B67034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41" w14:textId="77777777" w:rsidR="0040300B" w:rsidRDefault="00BB2D44">
            <w:pPr>
              <w:jc w:val="center"/>
              <w:textAlignment w:val="bottom"/>
            </w:pPr>
            <w:r>
              <w:rPr>
                <w:rFonts w:ascii="Times New Roman" w:eastAsia="宋体" w:hAnsi="Times New Roman"/>
                <w:color w:val="000000"/>
                <w:sz w:val="18"/>
                <w:szCs w:val="18"/>
              </w:rPr>
              <w:t>Accumulated Other Comprehensive Inc</w:t>
            </w:r>
            <w:r>
              <w:rPr>
                <w:rFonts w:ascii="Times New Roman" w:eastAsia="宋体" w:hAnsi="Times New Roman"/>
                <w:color w:val="000000"/>
                <w:sz w:val="18"/>
                <w:szCs w:val="18"/>
              </w:rPr>
              <w:t>ome (Loss)</w:t>
            </w:r>
          </w:p>
        </w:tc>
      </w:tr>
      <w:tr w:rsidR="0040300B" w14:paraId="7B670353" w14:textId="77777777">
        <w:trPr>
          <w:jc w:val="center"/>
        </w:trPr>
        <w:tc>
          <w:tcPr>
            <w:tcW w:w="0" w:type="auto"/>
            <w:gridSpan w:val="3"/>
            <w:shd w:val="clear" w:color="auto" w:fill="CCEEFF"/>
            <w:tcMar>
              <w:top w:w="40" w:type="dxa"/>
              <w:left w:w="20" w:type="dxa"/>
              <w:bottom w:w="40" w:type="dxa"/>
              <w:right w:w="20" w:type="dxa"/>
            </w:tcMar>
          </w:tcPr>
          <w:p w14:paraId="7B670343" w14:textId="77777777" w:rsidR="0040300B" w:rsidRDefault="00BB2D44">
            <w:pPr>
              <w:textAlignment w:val="top"/>
            </w:pPr>
            <w:r>
              <w:rPr>
                <w:rFonts w:ascii="Times New Roman" w:eastAsia="宋体" w:hAnsi="Times New Roman"/>
                <w:color w:val="000000"/>
                <w:sz w:val="20"/>
                <w:szCs w:val="20"/>
              </w:rPr>
              <w:t>Balance at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34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45" w14:textId="77777777" w:rsidR="0040300B" w:rsidRDefault="00BB2D44">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4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4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4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49" w14:textId="77777777" w:rsidR="0040300B" w:rsidRDefault="00BB2D44">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4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4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4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4D" w14:textId="77777777" w:rsidR="0040300B" w:rsidRDefault="00BB2D44">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4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4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5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51" w14:textId="77777777" w:rsidR="0040300B" w:rsidRDefault="00BB2D44">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52" w14:textId="77777777" w:rsidR="0040300B" w:rsidRDefault="0040300B">
            <w:pPr>
              <w:jc w:val="right"/>
              <w:rPr>
                <w:rFonts w:ascii="宋体"/>
              </w:rPr>
            </w:pPr>
          </w:p>
        </w:tc>
      </w:tr>
      <w:tr w:rsidR="0040300B" w14:paraId="7B670360" w14:textId="77777777">
        <w:trPr>
          <w:jc w:val="center"/>
        </w:trPr>
        <w:tc>
          <w:tcPr>
            <w:tcW w:w="0" w:type="auto"/>
            <w:gridSpan w:val="3"/>
            <w:shd w:val="clear" w:color="auto" w:fill="auto"/>
            <w:tcMar>
              <w:top w:w="40" w:type="dxa"/>
              <w:left w:w="245" w:type="dxa"/>
              <w:bottom w:w="40" w:type="dxa"/>
              <w:right w:w="20" w:type="dxa"/>
            </w:tcMar>
            <w:vAlign w:val="bottom"/>
          </w:tcPr>
          <w:p w14:paraId="7B670354" w14:textId="77777777" w:rsidR="0040300B" w:rsidRDefault="00BB2D44">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7B670355" w14:textId="77777777" w:rsidR="0040300B" w:rsidRDefault="00BB2D44">
            <w:pPr>
              <w:jc w:val="right"/>
              <w:textAlignment w:val="bottom"/>
            </w:pPr>
            <w:r>
              <w:rPr>
                <w:rFonts w:ascii="Times New Roman" w:eastAsia="宋体" w:hAnsi="Times New Roman"/>
                <w:color w:val="000000"/>
                <w:sz w:val="20"/>
                <w:szCs w:val="20"/>
              </w:rPr>
              <w:t>(150)</w:t>
            </w:r>
          </w:p>
        </w:tc>
        <w:tc>
          <w:tcPr>
            <w:tcW w:w="0" w:type="auto"/>
            <w:shd w:val="clear" w:color="auto" w:fill="auto"/>
            <w:tcMar>
              <w:top w:w="40" w:type="dxa"/>
              <w:left w:w="0" w:type="dxa"/>
              <w:bottom w:w="40" w:type="dxa"/>
              <w:right w:w="20" w:type="dxa"/>
            </w:tcMar>
            <w:vAlign w:val="bottom"/>
          </w:tcPr>
          <w:p w14:paraId="7B67035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5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58"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7B670359"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5A"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5B" w14:textId="77777777" w:rsidR="0040300B" w:rsidRDefault="00BB2D44">
            <w:pPr>
              <w:jc w:val="right"/>
              <w:textAlignment w:val="bottom"/>
            </w:pPr>
            <w:r>
              <w:rPr>
                <w:rFonts w:ascii="Times New Roman" w:eastAsia="宋体" w:hAnsi="Times New Roman"/>
                <w:color w:val="000000"/>
                <w:sz w:val="20"/>
                <w:szCs w:val="20"/>
              </w:rPr>
              <w:t>364 </w:t>
            </w:r>
          </w:p>
        </w:tc>
        <w:tc>
          <w:tcPr>
            <w:tcW w:w="0" w:type="auto"/>
            <w:shd w:val="clear" w:color="auto" w:fill="auto"/>
            <w:tcMar>
              <w:top w:w="40" w:type="dxa"/>
              <w:left w:w="0" w:type="dxa"/>
              <w:bottom w:w="40" w:type="dxa"/>
              <w:right w:w="20" w:type="dxa"/>
            </w:tcMar>
            <w:vAlign w:val="bottom"/>
          </w:tcPr>
          <w:p w14:paraId="7B67035C"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5D"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5E" w14:textId="77777777" w:rsidR="0040300B" w:rsidRDefault="00BB2D44">
            <w:pPr>
              <w:jc w:val="right"/>
              <w:textAlignment w:val="bottom"/>
            </w:pPr>
            <w:r>
              <w:rPr>
                <w:rFonts w:ascii="Times New Roman" w:eastAsia="宋体" w:hAnsi="Times New Roman"/>
                <w:color w:val="000000"/>
                <w:sz w:val="20"/>
                <w:szCs w:val="20"/>
              </w:rPr>
              <w:t>230 </w:t>
            </w:r>
          </w:p>
        </w:tc>
        <w:tc>
          <w:tcPr>
            <w:tcW w:w="0" w:type="auto"/>
            <w:shd w:val="clear" w:color="auto" w:fill="auto"/>
            <w:tcMar>
              <w:top w:w="40" w:type="dxa"/>
              <w:left w:w="0" w:type="dxa"/>
              <w:bottom w:w="40" w:type="dxa"/>
              <w:right w:w="20" w:type="dxa"/>
            </w:tcMar>
            <w:vAlign w:val="bottom"/>
          </w:tcPr>
          <w:p w14:paraId="7B67035F" w14:textId="77777777" w:rsidR="0040300B" w:rsidRDefault="0040300B">
            <w:pPr>
              <w:jc w:val="right"/>
              <w:rPr>
                <w:rFonts w:ascii="宋体"/>
              </w:rPr>
            </w:pPr>
          </w:p>
        </w:tc>
      </w:tr>
      <w:tr w:rsidR="0040300B" w14:paraId="7B67036D" w14:textId="77777777">
        <w:trPr>
          <w:jc w:val="center"/>
        </w:trPr>
        <w:tc>
          <w:tcPr>
            <w:tcW w:w="0" w:type="auto"/>
            <w:gridSpan w:val="3"/>
            <w:shd w:val="clear" w:color="auto" w:fill="CCEEFF"/>
            <w:tcMar>
              <w:top w:w="40" w:type="dxa"/>
              <w:left w:w="245" w:type="dxa"/>
              <w:bottom w:w="40" w:type="dxa"/>
              <w:right w:w="20" w:type="dxa"/>
            </w:tcMar>
            <w:vAlign w:val="bottom"/>
          </w:tcPr>
          <w:p w14:paraId="7B670361" w14:textId="77777777" w:rsidR="0040300B" w:rsidRDefault="00BB2D44">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7B670362" w14:textId="77777777" w:rsidR="0040300B" w:rsidRDefault="00BB2D44">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7B67036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6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65" w14:textId="77777777" w:rsidR="0040300B" w:rsidRDefault="00BB2D44">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7B67036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6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68"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7036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6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6B" w14:textId="77777777" w:rsidR="0040300B" w:rsidRDefault="00BB2D44">
            <w:pPr>
              <w:jc w:val="right"/>
              <w:textAlignment w:val="bottom"/>
            </w:pPr>
            <w:r>
              <w:rPr>
                <w:rFonts w:ascii="Times New Roman" w:eastAsia="宋体" w:hAnsi="Times New Roman"/>
                <w:color w:val="000000"/>
                <w:sz w:val="20"/>
                <w:szCs w:val="20"/>
              </w:rPr>
              <w:t>(55)</w:t>
            </w:r>
          </w:p>
        </w:tc>
        <w:tc>
          <w:tcPr>
            <w:tcW w:w="0" w:type="auto"/>
            <w:shd w:val="clear" w:color="auto" w:fill="CCEEFF"/>
            <w:tcMar>
              <w:top w:w="40" w:type="dxa"/>
              <w:left w:w="0" w:type="dxa"/>
              <w:bottom w:w="40" w:type="dxa"/>
              <w:right w:w="20" w:type="dxa"/>
            </w:tcMar>
            <w:vAlign w:val="bottom"/>
          </w:tcPr>
          <w:p w14:paraId="7B67036C" w14:textId="77777777" w:rsidR="0040300B" w:rsidRDefault="0040300B">
            <w:pPr>
              <w:jc w:val="right"/>
              <w:rPr>
                <w:rFonts w:ascii="宋体"/>
              </w:rPr>
            </w:pPr>
          </w:p>
        </w:tc>
      </w:tr>
      <w:tr w:rsidR="0040300B" w14:paraId="7B67037A" w14:textId="77777777">
        <w:trPr>
          <w:jc w:val="center"/>
        </w:trPr>
        <w:tc>
          <w:tcPr>
            <w:tcW w:w="0" w:type="auto"/>
            <w:gridSpan w:val="3"/>
            <w:shd w:val="clear" w:color="auto" w:fill="auto"/>
            <w:tcMar>
              <w:top w:w="40" w:type="dxa"/>
              <w:left w:w="245" w:type="dxa"/>
              <w:bottom w:w="40" w:type="dxa"/>
              <w:right w:w="20" w:type="dxa"/>
            </w:tcMar>
            <w:vAlign w:val="bottom"/>
          </w:tcPr>
          <w:p w14:paraId="7B67036E" w14:textId="77777777" w:rsidR="0040300B" w:rsidRDefault="00BB2D44">
            <w:pPr>
              <w:textAlignment w:val="bottom"/>
            </w:pPr>
            <w:r>
              <w:rPr>
                <w:rFonts w:ascii="Times New Roman" w:eastAsia="宋体" w:hAnsi="Times New Roman"/>
                <w:color w:val="000000"/>
                <w:sz w:val="20"/>
                <w:szCs w:val="20"/>
              </w:rPr>
              <w:t>Tax benefit (expense)</w:t>
            </w:r>
          </w:p>
        </w:tc>
        <w:tc>
          <w:tcPr>
            <w:tcW w:w="0" w:type="auto"/>
            <w:gridSpan w:val="2"/>
            <w:shd w:val="clear" w:color="auto" w:fill="auto"/>
            <w:tcMar>
              <w:top w:w="40" w:type="dxa"/>
              <w:left w:w="20" w:type="dxa"/>
              <w:bottom w:w="40" w:type="dxa"/>
              <w:right w:w="0" w:type="dxa"/>
            </w:tcMar>
            <w:vAlign w:val="bottom"/>
          </w:tcPr>
          <w:p w14:paraId="7B67036F" w14:textId="77777777" w:rsidR="0040300B" w:rsidRDefault="00BB2D44">
            <w:pPr>
              <w:jc w:val="right"/>
              <w:textAlignment w:val="bottom"/>
            </w:pPr>
            <w:r>
              <w:rPr>
                <w:rFonts w:ascii="Times New Roman" w:eastAsia="宋体" w:hAnsi="Times New Roman"/>
                <w:color w:val="000000"/>
                <w:sz w:val="20"/>
                <w:szCs w:val="20"/>
              </w:rPr>
              <w:t>59 </w:t>
            </w:r>
          </w:p>
        </w:tc>
        <w:tc>
          <w:tcPr>
            <w:tcW w:w="0" w:type="auto"/>
            <w:shd w:val="clear" w:color="auto" w:fill="auto"/>
            <w:tcMar>
              <w:top w:w="40" w:type="dxa"/>
              <w:left w:w="0" w:type="dxa"/>
              <w:bottom w:w="40" w:type="dxa"/>
              <w:right w:w="20" w:type="dxa"/>
            </w:tcMar>
            <w:vAlign w:val="bottom"/>
          </w:tcPr>
          <w:p w14:paraId="7B670370"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71"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72" w14:textId="77777777" w:rsidR="0040300B" w:rsidRDefault="00BB2D44">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7B67037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74"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75"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7B67037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37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378" w14:textId="77777777" w:rsidR="0040300B" w:rsidRDefault="00BB2D44">
            <w:pPr>
              <w:jc w:val="right"/>
              <w:textAlignment w:val="bottom"/>
            </w:pPr>
            <w:r>
              <w:rPr>
                <w:rFonts w:ascii="Times New Roman" w:eastAsia="宋体" w:hAnsi="Times New Roman"/>
                <w:color w:val="000000"/>
                <w:sz w:val="20"/>
                <w:szCs w:val="20"/>
              </w:rPr>
              <w:t>56 </w:t>
            </w:r>
          </w:p>
        </w:tc>
        <w:tc>
          <w:tcPr>
            <w:tcW w:w="0" w:type="auto"/>
            <w:shd w:val="clear" w:color="auto" w:fill="auto"/>
            <w:tcMar>
              <w:top w:w="40" w:type="dxa"/>
              <w:left w:w="0" w:type="dxa"/>
              <w:bottom w:w="40" w:type="dxa"/>
              <w:right w:w="20" w:type="dxa"/>
            </w:tcMar>
            <w:vAlign w:val="bottom"/>
          </w:tcPr>
          <w:p w14:paraId="7B670379" w14:textId="77777777" w:rsidR="0040300B" w:rsidRDefault="0040300B">
            <w:pPr>
              <w:jc w:val="right"/>
              <w:rPr>
                <w:rFonts w:ascii="宋体"/>
              </w:rPr>
            </w:pPr>
          </w:p>
        </w:tc>
      </w:tr>
      <w:tr w:rsidR="0040300B" w14:paraId="7B67038B" w14:textId="77777777">
        <w:trPr>
          <w:jc w:val="center"/>
        </w:trPr>
        <w:tc>
          <w:tcPr>
            <w:tcW w:w="0" w:type="auto"/>
            <w:gridSpan w:val="3"/>
            <w:shd w:val="clear" w:color="auto" w:fill="CCEEFF"/>
            <w:tcMar>
              <w:top w:w="40" w:type="dxa"/>
              <w:left w:w="20" w:type="dxa"/>
              <w:bottom w:w="40" w:type="dxa"/>
              <w:right w:w="20" w:type="dxa"/>
            </w:tcMar>
          </w:tcPr>
          <w:p w14:paraId="7B67037B" w14:textId="77777777" w:rsidR="0040300B" w:rsidRDefault="00BB2D44">
            <w:pPr>
              <w:textAlignment w:val="top"/>
            </w:pPr>
            <w:r>
              <w:rPr>
                <w:rFonts w:ascii="Times New Roman" w:eastAsia="宋体" w:hAnsi="Times New Roman"/>
                <w:color w:val="000000"/>
                <w:sz w:val="20"/>
                <w:szCs w:val="20"/>
              </w:rPr>
              <w:t>Balance at May 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7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7D" w14:textId="77777777" w:rsidR="0040300B" w:rsidRDefault="00BB2D44">
            <w:pPr>
              <w:jc w:val="right"/>
              <w:textAlignment w:val="bottom"/>
            </w:pPr>
            <w:r>
              <w:rPr>
                <w:rFonts w:ascii="Times New Roman" w:eastAsia="宋体" w:hAnsi="Times New Roman"/>
                <w:color w:val="000000"/>
                <w:sz w:val="20"/>
                <w:szCs w:val="20"/>
              </w:rPr>
              <w:t>178 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7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7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8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81" w14:textId="77777777" w:rsidR="0040300B" w:rsidRDefault="00BB2D44">
            <w:pPr>
              <w:jc w:val="right"/>
              <w:textAlignment w:val="bottom"/>
            </w:pPr>
            <w:r>
              <w:rPr>
                <w:rFonts w:ascii="Times New Roman" w:eastAsia="宋体" w:hAnsi="Times New Roman"/>
                <w:color w:val="000000"/>
                <w:sz w:val="20"/>
                <w:szCs w:val="20"/>
              </w:rPr>
              <w:t>(4)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8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8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8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85" w14:textId="77777777" w:rsidR="0040300B" w:rsidRDefault="00BB2D44">
            <w:pPr>
              <w:jc w:val="right"/>
              <w:textAlignment w:val="bottom"/>
            </w:pPr>
            <w:r>
              <w:rPr>
                <w:rFonts w:ascii="Times New Roman" w:eastAsia="宋体" w:hAnsi="Times New Roman"/>
                <w:color w:val="000000"/>
                <w:sz w:val="20"/>
                <w:szCs w:val="20"/>
              </w:rPr>
              <w:t>(462)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8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87"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8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89" w14:textId="77777777" w:rsidR="0040300B" w:rsidRDefault="00BB2D44">
            <w:pPr>
              <w:jc w:val="right"/>
              <w:textAlignment w:val="bottom"/>
            </w:pPr>
            <w:r>
              <w:rPr>
                <w:rFonts w:ascii="Times New Roman" w:eastAsia="宋体" w:hAnsi="Times New Roman"/>
                <w:color w:val="000000"/>
                <w:sz w:val="20"/>
                <w:szCs w:val="20"/>
              </w:rPr>
              <w:t>(288)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8A" w14:textId="77777777" w:rsidR="0040300B" w:rsidRDefault="0040300B">
            <w:pPr>
              <w:jc w:val="right"/>
              <w:rPr>
                <w:rFonts w:ascii="宋体"/>
              </w:rPr>
            </w:pPr>
          </w:p>
        </w:tc>
      </w:tr>
    </w:tbl>
    <w:p w14:paraId="7B67038C" w14:textId="77777777" w:rsidR="0040300B" w:rsidRDefault="0040300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40300B" w14:paraId="7B6703A5" w14:textId="77777777">
        <w:trPr>
          <w:jc w:val="center"/>
        </w:trPr>
        <w:tc>
          <w:tcPr>
            <w:tcW w:w="50" w:type="pct"/>
            <w:shd w:val="clear" w:color="auto" w:fill="auto"/>
          </w:tcPr>
          <w:p w14:paraId="7B67038D" w14:textId="77777777" w:rsidR="0040300B" w:rsidRDefault="0040300B">
            <w:pPr>
              <w:rPr>
                <w:rFonts w:ascii="宋体"/>
              </w:rPr>
            </w:pPr>
          </w:p>
        </w:tc>
        <w:tc>
          <w:tcPr>
            <w:tcW w:w="2361" w:type="pct"/>
            <w:shd w:val="clear" w:color="auto" w:fill="auto"/>
          </w:tcPr>
          <w:p w14:paraId="7B67038E" w14:textId="77777777" w:rsidR="0040300B" w:rsidRDefault="0040300B">
            <w:pPr>
              <w:rPr>
                <w:rFonts w:ascii="宋体"/>
              </w:rPr>
            </w:pPr>
          </w:p>
        </w:tc>
        <w:tc>
          <w:tcPr>
            <w:tcW w:w="5" w:type="pct"/>
            <w:shd w:val="clear" w:color="auto" w:fill="auto"/>
          </w:tcPr>
          <w:p w14:paraId="7B67038F" w14:textId="77777777" w:rsidR="0040300B" w:rsidRDefault="0040300B">
            <w:pPr>
              <w:rPr>
                <w:rFonts w:ascii="宋体"/>
              </w:rPr>
            </w:pPr>
          </w:p>
        </w:tc>
        <w:tc>
          <w:tcPr>
            <w:tcW w:w="50" w:type="pct"/>
            <w:shd w:val="clear" w:color="auto" w:fill="auto"/>
          </w:tcPr>
          <w:p w14:paraId="7B670390" w14:textId="77777777" w:rsidR="0040300B" w:rsidRDefault="0040300B">
            <w:pPr>
              <w:rPr>
                <w:rFonts w:ascii="宋体"/>
              </w:rPr>
            </w:pPr>
          </w:p>
        </w:tc>
        <w:tc>
          <w:tcPr>
            <w:tcW w:w="563" w:type="pct"/>
            <w:shd w:val="clear" w:color="auto" w:fill="auto"/>
          </w:tcPr>
          <w:p w14:paraId="7B670391" w14:textId="77777777" w:rsidR="0040300B" w:rsidRDefault="0040300B">
            <w:pPr>
              <w:rPr>
                <w:rFonts w:ascii="宋体"/>
              </w:rPr>
            </w:pPr>
          </w:p>
        </w:tc>
        <w:tc>
          <w:tcPr>
            <w:tcW w:w="5" w:type="pct"/>
            <w:shd w:val="clear" w:color="auto" w:fill="auto"/>
          </w:tcPr>
          <w:p w14:paraId="7B670392" w14:textId="77777777" w:rsidR="0040300B" w:rsidRDefault="0040300B">
            <w:pPr>
              <w:rPr>
                <w:rFonts w:ascii="宋体"/>
              </w:rPr>
            </w:pPr>
          </w:p>
        </w:tc>
        <w:tc>
          <w:tcPr>
            <w:tcW w:w="5" w:type="pct"/>
            <w:shd w:val="clear" w:color="auto" w:fill="auto"/>
          </w:tcPr>
          <w:p w14:paraId="7B670393" w14:textId="77777777" w:rsidR="0040300B" w:rsidRDefault="0040300B">
            <w:pPr>
              <w:rPr>
                <w:rFonts w:ascii="宋体"/>
              </w:rPr>
            </w:pPr>
          </w:p>
        </w:tc>
        <w:tc>
          <w:tcPr>
            <w:tcW w:w="26" w:type="pct"/>
            <w:shd w:val="clear" w:color="auto" w:fill="auto"/>
          </w:tcPr>
          <w:p w14:paraId="7B670394" w14:textId="77777777" w:rsidR="0040300B" w:rsidRDefault="0040300B">
            <w:pPr>
              <w:rPr>
                <w:rFonts w:ascii="宋体"/>
              </w:rPr>
            </w:pPr>
          </w:p>
        </w:tc>
        <w:tc>
          <w:tcPr>
            <w:tcW w:w="5" w:type="pct"/>
            <w:shd w:val="clear" w:color="auto" w:fill="auto"/>
          </w:tcPr>
          <w:p w14:paraId="7B670395" w14:textId="77777777" w:rsidR="0040300B" w:rsidRDefault="0040300B">
            <w:pPr>
              <w:rPr>
                <w:rFonts w:ascii="宋体"/>
              </w:rPr>
            </w:pPr>
          </w:p>
        </w:tc>
        <w:tc>
          <w:tcPr>
            <w:tcW w:w="50" w:type="pct"/>
            <w:shd w:val="clear" w:color="auto" w:fill="auto"/>
          </w:tcPr>
          <w:p w14:paraId="7B670396" w14:textId="77777777" w:rsidR="0040300B" w:rsidRDefault="0040300B">
            <w:pPr>
              <w:rPr>
                <w:rFonts w:ascii="宋体"/>
              </w:rPr>
            </w:pPr>
          </w:p>
        </w:tc>
        <w:tc>
          <w:tcPr>
            <w:tcW w:w="563" w:type="pct"/>
            <w:shd w:val="clear" w:color="auto" w:fill="auto"/>
          </w:tcPr>
          <w:p w14:paraId="7B670397" w14:textId="77777777" w:rsidR="0040300B" w:rsidRDefault="0040300B">
            <w:pPr>
              <w:rPr>
                <w:rFonts w:ascii="宋体"/>
              </w:rPr>
            </w:pPr>
          </w:p>
        </w:tc>
        <w:tc>
          <w:tcPr>
            <w:tcW w:w="5" w:type="pct"/>
            <w:shd w:val="clear" w:color="auto" w:fill="auto"/>
          </w:tcPr>
          <w:p w14:paraId="7B670398" w14:textId="77777777" w:rsidR="0040300B" w:rsidRDefault="0040300B">
            <w:pPr>
              <w:rPr>
                <w:rFonts w:ascii="宋体"/>
              </w:rPr>
            </w:pPr>
          </w:p>
        </w:tc>
        <w:tc>
          <w:tcPr>
            <w:tcW w:w="5" w:type="pct"/>
            <w:shd w:val="clear" w:color="auto" w:fill="auto"/>
          </w:tcPr>
          <w:p w14:paraId="7B670399" w14:textId="77777777" w:rsidR="0040300B" w:rsidRDefault="0040300B">
            <w:pPr>
              <w:rPr>
                <w:rFonts w:ascii="宋体"/>
              </w:rPr>
            </w:pPr>
          </w:p>
        </w:tc>
        <w:tc>
          <w:tcPr>
            <w:tcW w:w="26" w:type="pct"/>
            <w:shd w:val="clear" w:color="auto" w:fill="auto"/>
          </w:tcPr>
          <w:p w14:paraId="7B67039A" w14:textId="77777777" w:rsidR="0040300B" w:rsidRDefault="0040300B">
            <w:pPr>
              <w:rPr>
                <w:rFonts w:ascii="宋体"/>
              </w:rPr>
            </w:pPr>
          </w:p>
        </w:tc>
        <w:tc>
          <w:tcPr>
            <w:tcW w:w="5" w:type="pct"/>
            <w:shd w:val="clear" w:color="auto" w:fill="auto"/>
          </w:tcPr>
          <w:p w14:paraId="7B67039B" w14:textId="77777777" w:rsidR="0040300B" w:rsidRDefault="0040300B">
            <w:pPr>
              <w:rPr>
                <w:rFonts w:ascii="宋体"/>
              </w:rPr>
            </w:pPr>
          </w:p>
        </w:tc>
        <w:tc>
          <w:tcPr>
            <w:tcW w:w="50" w:type="pct"/>
            <w:shd w:val="clear" w:color="auto" w:fill="auto"/>
          </w:tcPr>
          <w:p w14:paraId="7B67039C" w14:textId="77777777" w:rsidR="0040300B" w:rsidRDefault="0040300B">
            <w:pPr>
              <w:rPr>
                <w:rFonts w:ascii="宋体"/>
              </w:rPr>
            </w:pPr>
          </w:p>
        </w:tc>
        <w:tc>
          <w:tcPr>
            <w:tcW w:w="563" w:type="pct"/>
            <w:shd w:val="clear" w:color="auto" w:fill="auto"/>
          </w:tcPr>
          <w:p w14:paraId="7B67039D" w14:textId="77777777" w:rsidR="0040300B" w:rsidRDefault="0040300B">
            <w:pPr>
              <w:rPr>
                <w:rFonts w:ascii="宋体"/>
              </w:rPr>
            </w:pPr>
          </w:p>
        </w:tc>
        <w:tc>
          <w:tcPr>
            <w:tcW w:w="5" w:type="pct"/>
            <w:shd w:val="clear" w:color="auto" w:fill="auto"/>
          </w:tcPr>
          <w:p w14:paraId="7B67039E" w14:textId="77777777" w:rsidR="0040300B" w:rsidRDefault="0040300B">
            <w:pPr>
              <w:rPr>
                <w:rFonts w:ascii="宋体"/>
              </w:rPr>
            </w:pPr>
          </w:p>
        </w:tc>
        <w:tc>
          <w:tcPr>
            <w:tcW w:w="5" w:type="pct"/>
            <w:shd w:val="clear" w:color="auto" w:fill="auto"/>
          </w:tcPr>
          <w:p w14:paraId="7B67039F" w14:textId="77777777" w:rsidR="0040300B" w:rsidRDefault="0040300B">
            <w:pPr>
              <w:rPr>
                <w:rFonts w:ascii="宋体"/>
              </w:rPr>
            </w:pPr>
          </w:p>
        </w:tc>
        <w:tc>
          <w:tcPr>
            <w:tcW w:w="26" w:type="pct"/>
            <w:shd w:val="clear" w:color="auto" w:fill="auto"/>
          </w:tcPr>
          <w:p w14:paraId="7B6703A0" w14:textId="77777777" w:rsidR="0040300B" w:rsidRDefault="0040300B">
            <w:pPr>
              <w:rPr>
                <w:rFonts w:ascii="宋体"/>
              </w:rPr>
            </w:pPr>
          </w:p>
        </w:tc>
        <w:tc>
          <w:tcPr>
            <w:tcW w:w="5" w:type="pct"/>
            <w:shd w:val="clear" w:color="auto" w:fill="auto"/>
          </w:tcPr>
          <w:p w14:paraId="7B6703A1" w14:textId="77777777" w:rsidR="0040300B" w:rsidRDefault="0040300B">
            <w:pPr>
              <w:rPr>
                <w:rFonts w:ascii="宋体"/>
              </w:rPr>
            </w:pPr>
          </w:p>
        </w:tc>
        <w:tc>
          <w:tcPr>
            <w:tcW w:w="50" w:type="pct"/>
            <w:shd w:val="clear" w:color="auto" w:fill="auto"/>
          </w:tcPr>
          <w:p w14:paraId="7B6703A2" w14:textId="77777777" w:rsidR="0040300B" w:rsidRDefault="0040300B">
            <w:pPr>
              <w:rPr>
                <w:rFonts w:ascii="宋体"/>
              </w:rPr>
            </w:pPr>
          </w:p>
        </w:tc>
        <w:tc>
          <w:tcPr>
            <w:tcW w:w="563" w:type="pct"/>
            <w:shd w:val="clear" w:color="auto" w:fill="auto"/>
          </w:tcPr>
          <w:p w14:paraId="7B6703A3" w14:textId="77777777" w:rsidR="0040300B" w:rsidRDefault="0040300B">
            <w:pPr>
              <w:rPr>
                <w:rFonts w:ascii="宋体"/>
              </w:rPr>
            </w:pPr>
          </w:p>
        </w:tc>
        <w:tc>
          <w:tcPr>
            <w:tcW w:w="5" w:type="pct"/>
            <w:shd w:val="clear" w:color="auto" w:fill="auto"/>
          </w:tcPr>
          <w:p w14:paraId="7B6703A4" w14:textId="77777777" w:rsidR="0040300B" w:rsidRDefault="0040300B">
            <w:pPr>
              <w:rPr>
                <w:rFonts w:ascii="宋体"/>
              </w:rPr>
            </w:pPr>
          </w:p>
        </w:tc>
      </w:tr>
      <w:tr w:rsidR="0040300B" w14:paraId="7B6703AE" w14:textId="77777777">
        <w:trPr>
          <w:jc w:val="center"/>
        </w:trPr>
        <w:tc>
          <w:tcPr>
            <w:tcW w:w="0" w:type="auto"/>
            <w:gridSpan w:val="3"/>
            <w:shd w:val="clear" w:color="auto" w:fill="auto"/>
            <w:tcMar>
              <w:top w:w="0" w:type="dxa"/>
              <w:left w:w="20" w:type="dxa"/>
              <w:bottom w:w="0" w:type="dxa"/>
              <w:right w:w="20" w:type="dxa"/>
            </w:tcMar>
          </w:tcPr>
          <w:p w14:paraId="7B6703A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A7" w14:textId="77777777" w:rsidR="0040300B" w:rsidRDefault="00BB2D44">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tcPr>
          <w:p w14:paraId="7B6703A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A9" w14:textId="77777777" w:rsidR="0040300B" w:rsidRDefault="00BB2D44">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tcPr>
          <w:p w14:paraId="7B6703A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AB" w14:textId="77777777" w:rsidR="0040300B" w:rsidRDefault="00BB2D44">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tcPr>
          <w:p w14:paraId="7B6703A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3AD" w14:textId="77777777" w:rsidR="0040300B" w:rsidRDefault="00BB2D44">
            <w:pPr>
              <w:jc w:val="center"/>
              <w:textAlignment w:val="bottom"/>
            </w:pPr>
            <w:r>
              <w:rPr>
                <w:rFonts w:ascii="Times New Roman" w:eastAsia="宋体" w:hAnsi="Times New Roman"/>
                <w:color w:val="000000"/>
                <w:sz w:val="18"/>
                <w:szCs w:val="18"/>
              </w:rPr>
              <w:t xml:space="preserve">Accumulated Other </w:t>
            </w:r>
            <w:r>
              <w:rPr>
                <w:rFonts w:ascii="Times New Roman" w:eastAsia="宋体" w:hAnsi="Times New Roman"/>
                <w:color w:val="000000"/>
                <w:sz w:val="18"/>
                <w:szCs w:val="18"/>
              </w:rPr>
              <w:t>Comprehensive Income (Loss)</w:t>
            </w:r>
          </w:p>
        </w:tc>
      </w:tr>
      <w:tr w:rsidR="0040300B" w14:paraId="7B6703BF" w14:textId="77777777">
        <w:trPr>
          <w:jc w:val="center"/>
        </w:trPr>
        <w:tc>
          <w:tcPr>
            <w:tcW w:w="0" w:type="auto"/>
            <w:gridSpan w:val="3"/>
            <w:shd w:val="clear" w:color="auto" w:fill="CCEEFF"/>
            <w:tcMar>
              <w:top w:w="40" w:type="dxa"/>
              <w:left w:w="20" w:type="dxa"/>
              <w:bottom w:w="40" w:type="dxa"/>
              <w:right w:w="20" w:type="dxa"/>
            </w:tcMar>
          </w:tcPr>
          <w:p w14:paraId="7B6703AF" w14:textId="77777777" w:rsidR="0040300B" w:rsidRDefault="00BB2D44">
            <w:pPr>
              <w:textAlignment w:val="top"/>
            </w:pPr>
            <w:r>
              <w:rPr>
                <w:rFonts w:ascii="Times New Roman" w:eastAsia="宋体" w:hAnsi="Times New Roman"/>
                <w:color w:val="000000"/>
                <w:sz w:val="20"/>
                <w:szCs w:val="20"/>
              </w:rPr>
              <w:t>Balance at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3B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B1"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B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B3"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B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B5" w14:textId="77777777" w:rsidR="0040300B" w:rsidRDefault="00BB2D44">
            <w:pPr>
              <w:jc w:val="right"/>
              <w:textAlignment w:val="bottom"/>
            </w:pPr>
            <w:r>
              <w:rPr>
                <w:rFonts w:ascii="Times New Roman" w:eastAsia="宋体" w:hAnsi="Times New Roman"/>
                <w:color w:val="000000"/>
                <w:sz w:val="20"/>
                <w:szCs w:val="20"/>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B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B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B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B9" w14:textId="77777777" w:rsidR="0040300B" w:rsidRDefault="00BB2D44">
            <w:pPr>
              <w:jc w:val="right"/>
              <w:textAlignment w:val="bottom"/>
            </w:pPr>
            <w:r>
              <w:rPr>
                <w:rFonts w:ascii="Times New Roman" w:eastAsia="宋体" w:hAnsi="Times New Roman"/>
                <w:color w:val="000000"/>
                <w:sz w:val="20"/>
                <w:szCs w:val="20"/>
              </w:rPr>
              <w:t>(778)</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B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B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3B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3BD" w14:textId="77777777" w:rsidR="0040300B" w:rsidRDefault="00BB2D44">
            <w:pPr>
              <w:jc w:val="right"/>
              <w:textAlignment w:val="bottom"/>
            </w:pPr>
            <w:r>
              <w:rPr>
                <w:rFonts w:ascii="Times New Roman" w:eastAsia="宋体" w:hAnsi="Times New Roman"/>
                <w:color w:val="000000"/>
                <w:sz w:val="20"/>
                <w:szCs w:val="20"/>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3BE" w14:textId="77777777" w:rsidR="0040300B" w:rsidRDefault="0040300B">
            <w:pPr>
              <w:jc w:val="right"/>
              <w:rPr>
                <w:rFonts w:ascii="宋体"/>
              </w:rPr>
            </w:pPr>
          </w:p>
        </w:tc>
      </w:tr>
      <w:tr w:rsidR="0040300B" w14:paraId="7B6703CC" w14:textId="77777777">
        <w:trPr>
          <w:jc w:val="center"/>
        </w:trPr>
        <w:tc>
          <w:tcPr>
            <w:tcW w:w="0" w:type="auto"/>
            <w:gridSpan w:val="3"/>
            <w:shd w:val="clear" w:color="auto" w:fill="FFFFFF"/>
            <w:tcMar>
              <w:top w:w="40" w:type="dxa"/>
              <w:left w:w="245" w:type="dxa"/>
              <w:bottom w:w="40" w:type="dxa"/>
              <w:right w:w="20" w:type="dxa"/>
            </w:tcMar>
            <w:vAlign w:val="bottom"/>
          </w:tcPr>
          <w:p w14:paraId="7B6703C0" w14:textId="77777777" w:rsidR="0040300B" w:rsidRDefault="00BB2D44">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B6703C1" w14:textId="77777777" w:rsidR="0040300B" w:rsidRDefault="00BB2D44">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7B6703C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C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C4" w14:textId="77777777" w:rsidR="0040300B" w:rsidRDefault="00BB2D44">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B6703C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C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C7" w14:textId="77777777" w:rsidR="0040300B" w:rsidRDefault="00BB2D44">
            <w:pPr>
              <w:jc w:val="right"/>
              <w:textAlignment w:val="bottom"/>
            </w:pPr>
            <w:r>
              <w:rPr>
                <w:rFonts w:ascii="Times New Roman" w:eastAsia="宋体" w:hAnsi="Times New Roman"/>
                <w:color w:val="000000"/>
                <w:sz w:val="20"/>
                <w:szCs w:val="20"/>
              </w:rPr>
              <w:t>(472)</w:t>
            </w:r>
          </w:p>
        </w:tc>
        <w:tc>
          <w:tcPr>
            <w:tcW w:w="0" w:type="auto"/>
            <w:shd w:val="clear" w:color="auto" w:fill="FFFFFF"/>
            <w:tcMar>
              <w:top w:w="40" w:type="dxa"/>
              <w:left w:w="0" w:type="dxa"/>
              <w:bottom w:w="40" w:type="dxa"/>
              <w:right w:w="20" w:type="dxa"/>
            </w:tcMar>
            <w:vAlign w:val="bottom"/>
          </w:tcPr>
          <w:p w14:paraId="7B6703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C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CA" w14:textId="77777777" w:rsidR="0040300B" w:rsidRDefault="00BB2D44">
            <w:pPr>
              <w:jc w:val="right"/>
              <w:textAlignment w:val="bottom"/>
            </w:pPr>
            <w:r>
              <w:rPr>
                <w:rFonts w:ascii="Times New Roman" w:eastAsia="宋体" w:hAnsi="Times New Roman"/>
                <w:color w:val="000000"/>
                <w:sz w:val="20"/>
                <w:szCs w:val="20"/>
              </w:rPr>
              <w:t>(289)</w:t>
            </w:r>
          </w:p>
        </w:tc>
        <w:tc>
          <w:tcPr>
            <w:tcW w:w="0" w:type="auto"/>
            <w:shd w:val="clear" w:color="auto" w:fill="FFFFFF"/>
            <w:tcMar>
              <w:top w:w="40" w:type="dxa"/>
              <w:left w:w="0" w:type="dxa"/>
              <w:bottom w:w="40" w:type="dxa"/>
              <w:right w:w="20" w:type="dxa"/>
            </w:tcMar>
            <w:vAlign w:val="bottom"/>
          </w:tcPr>
          <w:p w14:paraId="7B6703CB" w14:textId="77777777" w:rsidR="0040300B" w:rsidRDefault="0040300B">
            <w:pPr>
              <w:jc w:val="right"/>
              <w:rPr>
                <w:rFonts w:ascii="宋体"/>
              </w:rPr>
            </w:pPr>
          </w:p>
        </w:tc>
      </w:tr>
      <w:tr w:rsidR="0040300B" w14:paraId="7B6703D9" w14:textId="77777777">
        <w:trPr>
          <w:jc w:val="center"/>
        </w:trPr>
        <w:tc>
          <w:tcPr>
            <w:tcW w:w="0" w:type="auto"/>
            <w:gridSpan w:val="3"/>
            <w:shd w:val="clear" w:color="auto" w:fill="CCEEFF"/>
            <w:tcMar>
              <w:top w:w="40" w:type="dxa"/>
              <w:left w:w="245" w:type="dxa"/>
              <w:bottom w:w="40" w:type="dxa"/>
              <w:right w:w="20" w:type="dxa"/>
            </w:tcMar>
            <w:vAlign w:val="bottom"/>
          </w:tcPr>
          <w:p w14:paraId="7B6703CD" w14:textId="77777777" w:rsidR="0040300B" w:rsidRDefault="00BB2D44">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7B6703CE" w14:textId="77777777" w:rsidR="0040300B" w:rsidRDefault="00BB2D44">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7B6703C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D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D1"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B6703D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D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D4"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B6703D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D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3D7" w14:textId="77777777" w:rsidR="0040300B" w:rsidRDefault="00BB2D44">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7B6703D8" w14:textId="77777777" w:rsidR="0040300B" w:rsidRDefault="0040300B">
            <w:pPr>
              <w:jc w:val="right"/>
              <w:rPr>
                <w:rFonts w:ascii="宋体"/>
              </w:rPr>
            </w:pPr>
          </w:p>
        </w:tc>
      </w:tr>
      <w:tr w:rsidR="0040300B" w14:paraId="7B6703E6" w14:textId="77777777">
        <w:trPr>
          <w:jc w:val="center"/>
        </w:trPr>
        <w:tc>
          <w:tcPr>
            <w:tcW w:w="0" w:type="auto"/>
            <w:gridSpan w:val="3"/>
            <w:shd w:val="clear" w:color="auto" w:fill="FFFFFF"/>
            <w:tcMar>
              <w:top w:w="40" w:type="dxa"/>
              <w:left w:w="245" w:type="dxa"/>
              <w:bottom w:w="40" w:type="dxa"/>
              <w:right w:w="20" w:type="dxa"/>
            </w:tcMar>
            <w:vAlign w:val="bottom"/>
          </w:tcPr>
          <w:p w14:paraId="7B6703DA" w14:textId="77777777" w:rsidR="0040300B" w:rsidRDefault="00BB2D44">
            <w:pPr>
              <w:textAlignment w:val="bottom"/>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7B6703DB" w14:textId="77777777" w:rsidR="0040300B" w:rsidRDefault="00BB2D44">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7B6703D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D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DE"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703D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E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E1"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B6703E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3E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3E4" w14:textId="77777777" w:rsidR="0040300B" w:rsidRDefault="00BB2D44">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7B6703E5" w14:textId="77777777" w:rsidR="0040300B" w:rsidRDefault="0040300B">
            <w:pPr>
              <w:jc w:val="right"/>
              <w:rPr>
                <w:rFonts w:ascii="宋体"/>
              </w:rPr>
            </w:pPr>
          </w:p>
        </w:tc>
      </w:tr>
      <w:tr w:rsidR="0040300B" w14:paraId="7B6703F7" w14:textId="77777777">
        <w:trPr>
          <w:jc w:val="center"/>
        </w:trPr>
        <w:tc>
          <w:tcPr>
            <w:tcW w:w="0" w:type="auto"/>
            <w:gridSpan w:val="3"/>
            <w:shd w:val="clear" w:color="auto" w:fill="CCEEFF"/>
            <w:tcMar>
              <w:top w:w="40" w:type="dxa"/>
              <w:left w:w="20" w:type="dxa"/>
              <w:bottom w:w="40" w:type="dxa"/>
              <w:right w:w="20" w:type="dxa"/>
            </w:tcMar>
          </w:tcPr>
          <w:p w14:paraId="7B6703E7" w14:textId="77777777" w:rsidR="0040300B" w:rsidRDefault="00BB2D44">
            <w:pPr>
              <w:textAlignment w:val="top"/>
            </w:pPr>
            <w:r>
              <w:rPr>
                <w:rFonts w:ascii="Times New Roman" w:eastAsia="宋体" w:hAnsi="Times New Roman"/>
                <w:color w:val="000000"/>
                <w:sz w:val="20"/>
                <w:szCs w:val="20"/>
              </w:rPr>
              <w:t>Balance at April 25,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E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E9" w14:textId="77777777" w:rsidR="0040300B" w:rsidRDefault="00BB2D44">
            <w:pPr>
              <w:jc w:val="right"/>
              <w:textAlignment w:val="bottom"/>
            </w:pPr>
            <w:r>
              <w:rPr>
                <w:rFonts w:ascii="Times New Roman" w:eastAsia="宋体" w:hAnsi="Times New Roman"/>
                <w:color w:val="000000"/>
                <w:sz w:val="20"/>
                <w:szCs w:val="20"/>
              </w:rPr>
              <w:t>137 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E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EB"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E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ED" w14:textId="77777777" w:rsidR="0040300B" w:rsidRDefault="00BB2D4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E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F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F1" w14:textId="77777777" w:rsidR="0040300B" w:rsidRDefault="00BB2D44">
            <w:pPr>
              <w:jc w:val="right"/>
              <w:textAlignment w:val="bottom"/>
            </w:pPr>
            <w:r>
              <w:rPr>
                <w:rFonts w:ascii="Times New Roman" w:eastAsia="宋体" w:hAnsi="Times New Roman"/>
                <w:color w:val="000000"/>
                <w:sz w:val="20"/>
                <w:szCs w:val="20"/>
              </w:rPr>
              <w:t>(1,246)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F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3F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3F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03F5" w14:textId="77777777" w:rsidR="0040300B" w:rsidRDefault="00BB2D44">
            <w:pPr>
              <w:jc w:val="right"/>
              <w:textAlignment w:val="bottom"/>
            </w:pPr>
            <w:r>
              <w:rPr>
                <w:rFonts w:ascii="Times New Roman" w:eastAsia="宋体" w:hAnsi="Times New Roman"/>
                <w:color w:val="000000"/>
                <w:sz w:val="20"/>
                <w:szCs w:val="20"/>
              </w:rPr>
              <w:t>(1,109)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3F6" w14:textId="77777777" w:rsidR="0040300B" w:rsidRDefault="0040300B">
            <w:pPr>
              <w:jc w:val="right"/>
              <w:rPr>
                <w:rFonts w:ascii="宋体"/>
              </w:rPr>
            </w:pPr>
          </w:p>
        </w:tc>
      </w:tr>
    </w:tbl>
    <w:p w14:paraId="7B6703F8" w14:textId="77777777" w:rsidR="0040300B" w:rsidRDefault="0040300B"/>
    <w:p w14:paraId="7B6703F9" w14:textId="77777777" w:rsidR="0040300B" w:rsidRDefault="0040300B"/>
    <w:p w14:paraId="7B6703FA" w14:textId="77777777" w:rsidR="0040300B" w:rsidRDefault="00BB2D44">
      <w:pPr>
        <w:spacing w:before="120"/>
        <w:ind w:hanging="360"/>
      </w:pPr>
      <w:r>
        <w:rPr>
          <w:rFonts w:ascii="Times New Roman" w:eastAsia="宋体" w:hAnsi="Times New Roman"/>
          <w:b/>
          <w:bCs/>
          <w:color w:val="000000"/>
          <w:sz w:val="20"/>
          <w:szCs w:val="20"/>
        </w:rPr>
        <w:t>18.Income Taxes</w:t>
      </w:r>
    </w:p>
    <w:p w14:paraId="7B6703FB" w14:textId="77777777" w:rsidR="0040300B" w:rsidRDefault="00BB2D44">
      <w:pPr>
        <w:spacing w:before="120"/>
        <w:jc w:val="both"/>
      </w:pPr>
      <w:r>
        <w:rPr>
          <w:rFonts w:ascii="Times New Roman" w:eastAsia="宋体" w:hAnsi="Times New Roman"/>
          <w:color w:val="000000"/>
          <w:sz w:val="20"/>
          <w:szCs w:val="20"/>
        </w:rPr>
        <w:t>The following table provides details of income taxes (in millions, except percenta</w:t>
      </w:r>
      <w:r>
        <w:rPr>
          <w:rFonts w:ascii="Times New Roman" w:eastAsia="宋体" w:hAnsi="Times New Roman"/>
          <w:color w:val="000000"/>
          <w:sz w:val="20"/>
          <w:szCs w:val="20"/>
        </w:rPr>
        <w:t>ges):</w:t>
      </w:r>
    </w:p>
    <w:tbl>
      <w:tblPr>
        <w:tblW w:w="5000" w:type="pct"/>
        <w:tblCellMar>
          <w:top w:w="15" w:type="dxa"/>
          <w:left w:w="15" w:type="dxa"/>
          <w:bottom w:w="15" w:type="dxa"/>
          <w:right w:w="15" w:type="dxa"/>
        </w:tblCellMar>
        <w:tblLook w:val="04A0" w:firstRow="1" w:lastRow="0" w:firstColumn="1" w:lastColumn="0" w:noHBand="0" w:noVBand="1"/>
      </w:tblPr>
      <w:tblGrid>
        <w:gridCol w:w="37"/>
        <w:gridCol w:w="4311"/>
        <w:gridCol w:w="36"/>
        <w:gridCol w:w="120"/>
        <w:gridCol w:w="673"/>
        <w:gridCol w:w="187"/>
        <w:gridCol w:w="36"/>
        <w:gridCol w:w="36"/>
        <w:gridCol w:w="36"/>
        <w:gridCol w:w="120"/>
        <w:gridCol w:w="563"/>
        <w:gridCol w:w="187"/>
        <w:gridCol w:w="36"/>
        <w:gridCol w:w="36"/>
        <w:gridCol w:w="36"/>
        <w:gridCol w:w="120"/>
        <w:gridCol w:w="564"/>
        <w:gridCol w:w="187"/>
        <w:gridCol w:w="36"/>
        <w:gridCol w:w="36"/>
        <w:gridCol w:w="36"/>
        <w:gridCol w:w="120"/>
        <w:gridCol w:w="600"/>
        <w:gridCol w:w="187"/>
      </w:tblGrid>
      <w:tr w:rsidR="0040300B" w14:paraId="7B670414" w14:textId="77777777">
        <w:tc>
          <w:tcPr>
            <w:tcW w:w="50" w:type="pct"/>
            <w:shd w:val="clear" w:color="auto" w:fill="auto"/>
          </w:tcPr>
          <w:p w14:paraId="7B6703FC" w14:textId="77777777" w:rsidR="0040300B" w:rsidRDefault="0040300B">
            <w:pPr>
              <w:rPr>
                <w:rFonts w:ascii="宋体"/>
              </w:rPr>
            </w:pPr>
          </w:p>
        </w:tc>
        <w:tc>
          <w:tcPr>
            <w:tcW w:w="2700" w:type="pct"/>
            <w:shd w:val="clear" w:color="auto" w:fill="auto"/>
          </w:tcPr>
          <w:p w14:paraId="7B6703FD" w14:textId="77777777" w:rsidR="0040300B" w:rsidRDefault="0040300B">
            <w:pPr>
              <w:rPr>
                <w:rFonts w:ascii="宋体"/>
              </w:rPr>
            </w:pPr>
          </w:p>
        </w:tc>
        <w:tc>
          <w:tcPr>
            <w:tcW w:w="5" w:type="pct"/>
            <w:shd w:val="clear" w:color="auto" w:fill="auto"/>
          </w:tcPr>
          <w:p w14:paraId="7B6703FE" w14:textId="77777777" w:rsidR="0040300B" w:rsidRDefault="0040300B">
            <w:pPr>
              <w:rPr>
                <w:rFonts w:ascii="宋体"/>
              </w:rPr>
            </w:pPr>
          </w:p>
        </w:tc>
        <w:tc>
          <w:tcPr>
            <w:tcW w:w="50" w:type="pct"/>
            <w:shd w:val="clear" w:color="auto" w:fill="auto"/>
          </w:tcPr>
          <w:p w14:paraId="7B6703FF" w14:textId="77777777" w:rsidR="0040300B" w:rsidRDefault="0040300B">
            <w:pPr>
              <w:rPr>
                <w:rFonts w:ascii="宋体"/>
              </w:rPr>
            </w:pPr>
          </w:p>
        </w:tc>
        <w:tc>
          <w:tcPr>
            <w:tcW w:w="478" w:type="pct"/>
            <w:shd w:val="clear" w:color="auto" w:fill="auto"/>
          </w:tcPr>
          <w:p w14:paraId="7B670400" w14:textId="77777777" w:rsidR="0040300B" w:rsidRDefault="0040300B">
            <w:pPr>
              <w:rPr>
                <w:rFonts w:ascii="宋体"/>
              </w:rPr>
            </w:pPr>
          </w:p>
        </w:tc>
        <w:tc>
          <w:tcPr>
            <w:tcW w:w="5" w:type="pct"/>
            <w:shd w:val="clear" w:color="auto" w:fill="auto"/>
          </w:tcPr>
          <w:p w14:paraId="7B670401" w14:textId="77777777" w:rsidR="0040300B" w:rsidRDefault="0040300B">
            <w:pPr>
              <w:rPr>
                <w:rFonts w:ascii="宋体"/>
              </w:rPr>
            </w:pPr>
          </w:p>
        </w:tc>
        <w:tc>
          <w:tcPr>
            <w:tcW w:w="5" w:type="pct"/>
            <w:shd w:val="clear" w:color="auto" w:fill="auto"/>
          </w:tcPr>
          <w:p w14:paraId="7B670402" w14:textId="77777777" w:rsidR="0040300B" w:rsidRDefault="0040300B">
            <w:pPr>
              <w:rPr>
                <w:rFonts w:ascii="宋体"/>
              </w:rPr>
            </w:pPr>
          </w:p>
        </w:tc>
        <w:tc>
          <w:tcPr>
            <w:tcW w:w="26" w:type="pct"/>
            <w:shd w:val="clear" w:color="auto" w:fill="auto"/>
          </w:tcPr>
          <w:p w14:paraId="7B670403" w14:textId="77777777" w:rsidR="0040300B" w:rsidRDefault="0040300B">
            <w:pPr>
              <w:rPr>
                <w:rFonts w:ascii="宋体"/>
              </w:rPr>
            </w:pPr>
          </w:p>
        </w:tc>
        <w:tc>
          <w:tcPr>
            <w:tcW w:w="5" w:type="pct"/>
            <w:shd w:val="clear" w:color="auto" w:fill="auto"/>
          </w:tcPr>
          <w:p w14:paraId="7B670404" w14:textId="77777777" w:rsidR="0040300B" w:rsidRDefault="0040300B">
            <w:pPr>
              <w:rPr>
                <w:rFonts w:ascii="宋体"/>
              </w:rPr>
            </w:pPr>
          </w:p>
        </w:tc>
        <w:tc>
          <w:tcPr>
            <w:tcW w:w="50" w:type="pct"/>
            <w:shd w:val="clear" w:color="auto" w:fill="auto"/>
          </w:tcPr>
          <w:p w14:paraId="7B670405" w14:textId="77777777" w:rsidR="0040300B" w:rsidRDefault="0040300B">
            <w:pPr>
              <w:rPr>
                <w:rFonts w:ascii="宋体"/>
              </w:rPr>
            </w:pPr>
          </w:p>
        </w:tc>
        <w:tc>
          <w:tcPr>
            <w:tcW w:w="478" w:type="pct"/>
            <w:shd w:val="clear" w:color="auto" w:fill="auto"/>
          </w:tcPr>
          <w:p w14:paraId="7B670406" w14:textId="77777777" w:rsidR="0040300B" w:rsidRDefault="0040300B">
            <w:pPr>
              <w:rPr>
                <w:rFonts w:ascii="宋体"/>
              </w:rPr>
            </w:pPr>
          </w:p>
        </w:tc>
        <w:tc>
          <w:tcPr>
            <w:tcW w:w="5" w:type="pct"/>
            <w:shd w:val="clear" w:color="auto" w:fill="auto"/>
          </w:tcPr>
          <w:p w14:paraId="7B670407" w14:textId="77777777" w:rsidR="0040300B" w:rsidRDefault="0040300B">
            <w:pPr>
              <w:rPr>
                <w:rFonts w:ascii="宋体"/>
              </w:rPr>
            </w:pPr>
          </w:p>
        </w:tc>
        <w:tc>
          <w:tcPr>
            <w:tcW w:w="5" w:type="pct"/>
            <w:shd w:val="clear" w:color="auto" w:fill="auto"/>
          </w:tcPr>
          <w:p w14:paraId="7B670408" w14:textId="77777777" w:rsidR="0040300B" w:rsidRDefault="0040300B">
            <w:pPr>
              <w:rPr>
                <w:rFonts w:ascii="宋体"/>
              </w:rPr>
            </w:pPr>
          </w:p>
        </w:tc>
        <w:tc>
          <w:tcPr>
            <w:tcW w:w="26" w:type="pct"/>
            <w:shd w:val="clear" w:color="auto" w:fill="auto"/>
          </w:tcPr>
          <w:p w14:paraId="7B670409" w14:textId="77777777" w:rsidR="0040300B" w:rsidRDefault="0040300B">
            <w:pPr>
              <w:rPr>
                <w:rFonts w:ascii="宋体"/>
              </w:rPr>
            </w:pPr>
          </w:p>
        </w:tc>
        <w:tc>
          <w:tcPr>
            <w:tcW w:w="5" w:type="pct"/>
            <w:shd w:val="clear" w:color="auto" w:fill="auto"/>
          </w:tcPr>
          <w:p w14:paraId="7B67040A" w14:textId="77777777" w:rsidR="0040300B" w:rsidRDefault="0040300B">
            <w:pPr>
              <w:rPr>
                <w:rFonts w:ascii="宋体"/>
              </w:rPr>
            </w:pPr>
          </w:p>
        </w:tc>
        <w:tc>
          <w:tcPr>
            <w:tcW w:w="50" w:type="pct"/>
            <w:shd w:val="clear" w:color="auto" w:fill="auto"/>
          </w:tcPr>
          <w:p w14:paraId="7B67040B" w14:textId="77777777" w:rsidR="0040300B" w:rsidRDefault="0040300B">
            <w:pPr>
              <w:rPr>
                <w:rFonts w:ascii="宋体"/>
              </w:rPr>
            </w:pPr>
          </w:p>
        </w:tc>
        <w:tc>
          <w:tcPr>
            <w:tcW w:w="478" w:type="pct"/>
            <w:shd w:val="clear" w:color="auto" w:fill="auto"/>
          </w:tcPr>
          <w:p w14:paraId="7B67040C" w14:textId="77777777" w:rsidR="0040300B" w:rsidRDefault="0040300B">
            <w:pPr>
              <w:rPr>
                <w:rFonts w:ascii="宋体"/>
              </w:rPr>
            </w:pPr>
          </w:p>
        </w:tc>
        <w:tc>
          <w:tcPr>
            <w:tcW w:w="5" w:type="pct"/>
            <w:shd w:val="clear" w:color="auto" w:fill="auto"/>
          </w:tcPr>
          <w:p w14:paraId="7B67040D" w14:textId="77777777" w:rsidR="0040300B" w:rsidRDefault="0040300B">
            <w:pPr>
              <w:rPr>
                <w:rFonts w:ascii="宋体"/>
              </w:rPr>
            </w:pPr>
          </w:p>
        </w:tc>
        <w:tc>
          <w:tcPr>
            <w:tcW w:w="5" w:type="pct"/>
            <w:shd w:val="clear" w:color="auto" w:fill="auto"/>
          </w:tcPr>
          <w:p w14:paraId="7B67040E" w14:textId="77777777" w:rsidR="0040300B" w:rsidRDefault="0040300B">
            <w:pPr>
              <w:rPr>
                <w:rFonts w:ascii="宋体"/>
              </w:rPr>
            </w:pPr>
          </w:p>
        </w:tc>
        <w:tc>
          <w:tcPr>
            <w:tcW w:w="26" w:type="pct"/>
            <w:shd w:val="clear" w:color="auto" w:fill="auto"/>
          </w:tcPr>
          <w:p w14:paraId="7B67040F" w14:textId="77777777" w:rsidR="0040300B" w:rsidRDefault="0040300B">
            <w:pPr>
              <w:rPr>
                <w:rFonts w:ascii="宋体"/>
              </w:rPr>
            </w:pPr>
          </w:p>
        </w:tc>
        <w:tc>
          <w:tcPr>
            <w:tcW w:w="5" w:type="pct"/>
            <w:shd w:val="clear" w:color="auto" w:fill="auto"/>
          </w:tcPr>
          <w:p w14:paraId="7B670410" w14:textId="77777777" w:rsidR="0040300B" w:rsidRDefault="0040300B">
            <w:pPr>
              <w:rPr>
                <w:rFonts w:ascii="宋体"/>
              </w:rPr>
            </w:pPr>
          </w:p>
        </w:tc>
        <w:tc>
          <w:tcPr>
            <w:tcW w:w="50" w:type="pct"/>
            <w:shd w:val="clear" w:color="auto" w:fill="auto"/>
          </w:tcPr>
          <w:p w14:paraId="7B670411" w14:textId="77777777" w:rsidR="0040300B" w:rsidRDefault="0040300B">
            <w:pPr>
              <w:rPr>
                <w:rFonts w:ascii="宋体"/>
              </w:rPr>
            </w:pPr>
          </w:p>
        </w:tc>
        <w:tc>
          <w:tcPr>
            <w:tcW w:w="478" w:type="pct"/>
            <w:shd w:val="clear" w:color="auto" w:fill="auto"/>
          </w:tcPr>
          <w:p w14:paraId="7B670412" w14:textId="77777777" w:rsidR="0040300B" w:rsidRDefault="0040300B">
            <w:pPr>
              <w:rPr>
                <w:rFonts w:ascii="宋体"/>
              </w:rPr>
            </w:pPr>
          </w:p>
        </w:tc>
        <w:tc>
          <w:tcPr>
            <w:tcW w:w="5" w:type="pct"/>
            <w:shd w:val="clear" w:color="auto" w:fill="auto"/>
          </w:tcPr>
          <w:p w14:paraId="7B670413" w14:textId="77777777" w:rsidR="0040300B" w:rsidRDefault="0040300B">
            <w:pPr>
              <w:rPr>
                <w:rFonts w:ascii="宋体"/>
              </w:rPr>
            </w:pPr>
          </w:p>
        </w:tc>
      </w:tr>
      <w:tr w:rsidR="0040300B" w14:paraId="7B670419" w14:textId="77777777">
        <w:tc>
          <w:tcPr>
            <w:tcW w:w="0" w:type="auto"/>
            <w:gridSpan w:val="3"/>
            <w:shd w:val="clear" w:color="auto" w:fill="auto"/>
            <w:tcMar>
              <w:top w:w="0" w:type="dxa"/>
              <w:left w:w="20" w:type="dxa"/>
              <w:bottom w:w="0" w:type="dxa"/>
              <w:right w:w="20" w:type="dxa"/>
            </w:tcMar>
          </w:tcPr>
          <w:p w14:paraId="7B670415"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416"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417"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418"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422" w14:textId="77777777">
        <w:tc>
          <w:tcPr>
            <w:tcW w:w="0" w:type="auto"/>
            <w:gridSpan w:val="3"/>
            <w:shd w:val="clear" w:color="auto" w:fill="auto"/>
            <w:tcMar>
              <w:top w:w="0" w:type="dxa"/>
              <w:left w:w="20" w:type="dxa"/>
              <w:bottom w:w="0" w:type="dxa"/>
              <w:right w:w="20" w:type="dxa"/>
            </w:tcMar>
          </w:tcPr>
          <w:p w14:paraId="7B67041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1B"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41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1D"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41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1F"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42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21"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433" w14:textId="77777777">
        <w:tc>
          <w:tcPr>
            <w:tcW w:w="0" w:type="auto"/>
            <w:gridSpan w:val="3"/>
            <w:shd w:val="clear" w:color="auto" w:fill="CCEEFF"/>
            <w:tcMar>
              <w:top w:w="40" w:type="dxa"/>
              <w:left w:w="20" w:type="dxa"/>
              <w:bottom w:w="40" w:type="dxa"/>
              <w:right w:w="20" w:type="dxa"/>
            </w:tcMar>
          </w:tcPr>
          <w:p w14:paraId="7B670423" w14:textId="77777777" w:rsidR="0040300B" w:rsidRDefault="00BB2D44">
            <w:pPr>
              <w:textAlignment w:val="top"/>
            </w:pPr>
            <w:r>
              <w:rPr>
                <w:rFonts w:ascii="Times New Roman" w:eastAsia="宋体" w:hAnsi="Times New Roman"/>
                <w:color w:val="000000"/>
                <w:sz w:val="20"/>
                <w:szCs w:val="20"/>
              </w:rPr>
              <w:t>Income before provision for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42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25" w14:textId="77777777" w:rsidR="0040300B" w:rsidRDefault="00BB2D44">
            <w:pPr>
              <w:jc w:val="right"/>
              <w:textAlignment w:val="bottom"/>
            </w:pPr>
            <w:r>
              <w:rPr>
                <w:rFonts w:ascii="Times New Roman" w:eastAsia="宋体" w:hAnsi="Times New Roman"/>
                <w:color w:val="000000"/>
                <w:sz w:val="20"/>
                <w:szCs w:val="20"/>
              </w:rPr>
              <w:t>3,591 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2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2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2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29" w14:textId="77777777" w:rsidR="0040300B" w:rsidRDefault="00BB2D44">
            <w:pPr>
              <w:jc w:val="right"/>
              <w:textAlignment w:val="bottom"/>
            </w:pPr>
            <w:r>
              <w:rPr>
                <w:rFonts w:ascii="Times New Roman" w:eastAsia="宋体" w:hAnsi="Times New Roman"/>
                <w:color w:val="000000"/>
                <w:sz w:val="20"/>
                <w:szCs w:val="20"/>
              </w:rPr>
              <w:t>3,444 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2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2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2D" w14:textId="77777777" w:rsidR="0040300B" w:rsidRDefault="00BB2D44">
            <w:pPr>
              <w:jc w:val="right"/>
              <w:textAlignment w:val="bottom"/>
            </w:pPr>
            <w:r>
              <w:rPr>
                <w:rFonts w:ascii="Times New Roman" w:eastAsia="宋体" w:hAnsi="Times New Roman"/>
                <w:color w:val="000000"/>
                <w:sz w:val="20"/>
                <w:szCs w:val="20"/>
              </w:rPr>
              <w:t>9,527 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2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2F"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3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31" w14:textId="77777777" w:rsidR="0040300B" w:rsidRDefault="00BB2D44">
            <w:pPr>
              <w:jc w:val="right"/>
              <w:textAlignment w:val="bottom"/>
            </w:pPr>
            <w:r>
              <w:rPr>
                <w:rFonts w:ascii="Times New Roman" w:eastAsia="宋体" w:hAnsi="Times New Roman"/>
                <w:color w:val="000000"/>
                <w:sz w:val="20"/>
                <w:szCs w:val="20"/>
              </w:rPr>
              <w:t>10,664 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32" w14:textId="77777777" w:rsidR="0040300B" w:rsidRDefault="0040300B">
            <w:pPr>
              <w:jc w:val="right"/>
              <w:rPr>
                <w:rFonts w:ascii="宋体"/>
              </w:rPr>
            </w:pPr>
          </w:p>
        </w:tc>
      </w:tr>
      <w:tr w:rsidR="0040300B" w14:paraId="7B670444" w14:textId="77777777">
        <w:tc>
          <w:tcPr>
            <w:tcW w:w="0" w:type="auto"/>
            <w:gridSpan w:val="3"/>
            <w:shd w:val="clear" w:color="auto" w:fill="auto"/>
            <w:tcMar>
              <w:top w:w="40" w:type="dxa"/>
              <w:left w:w="20" w:type="dxa"/>
              <w:bottom w:w="40" w:type="dxa"/>
              <w:right w:w="20" w:type="dxa"/>
            </w:tcMar>
          </w:tcPr>
          <w:p w14:paraId="7B670434" w14:textId="77777777" w:rsidR="0040300B" w:rsidRDefault="00BB2D44">
            <w:pPr>
              <w:textAlignment w:val="top"/>
            </w:pPr>
            <w:r>
              <w:rPr>
                <w:rFonts w:ascii="Times New Roman" w:eastAsia="宋体" w:hAnsi="Times New Roman"/>
                <w:color w:val="000000"/>
                <w:sz w:val="20"/>
                <w:szCs w:val="20"/>
              </w:rPr>
              <w:t>Provision for income taxes</w:t>
            </w:r>
          </w:p>
        </w:tc>
        <w:tc>
          <w:tcPr>
            <w:tcW w:w="0" w:type="auto"/>
            <w:shd w:val="clear" w:color="auto" w:fill="auto"/>
            <w:tcMar>
              <w:top w:w="40" w:type="dxa"/>
              <w:left w:w="20" w:type="dxa"/>
              <w:bottom w:w="40" w:type="dxa"/>
              <w:right w:w="0" w:type="dxa"/>
            </w:tcMar>
            <w:vAlign w:val="bottom"/>
          </w:tcPr>
          <w:p w14:paraId="7B67043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36" w14:textId="77777777" w:rsidR="0040300B" w:rsidRDefault="00BB2D44">
            <w:pPr>
              <w:jc w:val="right"/>
              <w:textAlignment w:val="bottom"/>
            </w:pPr>
            <w:r>
              <w:rPr>
                <w:rFonts w:ascii="Times New Roman" w:eastAsia="宋体" w:hAnsi="Times New Roman"/>
                <w:color w:val="000000"/>
                <w:sz w:val="20"/>
                <w:szCs w:val="20"/>
              </w:rPr>
              <w:t>728 </w:t>
            </w:r>
          </w:p>
        </w:tc>
        <w:tc>
          <w:tcPr>
            <w:tcW w:w="0" w:type="auto"/>
            <w:shd w:val="clear" w:color="auto" w:fill="auto"/>
            <w:tcMar>
              <w:top w:w="40" w:type="dxa"/>
              <w:left w:w="0" w:type="dxa"/>
              <w:bottom w:w="40" w:type="dxa"/>
              <w:right w:w="20" w:type="dxa"/>
            </w:tcMar>
            <w:vAlign w:val="bottom"/>
          </w:tcPr>
          <w:p w14:paraId="7B670437"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38"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3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3A" w14:textId="77777777" w:rsidR="0040300B" w:rsidRDefault="00BB2D44">
            <w:pPr>
              <w:jc w:val="right"/>
              <w:textAlignment w:val="bottom"/>
            </w:pPr>
            <w:r>
              <w:rPr>
                <w:rFonts w:ascii="Times New Roman" w:eastAsia="宋体" w:hAnsi="Times New Roman"/>
                <w:color w:val="000000"/>
                <w:sz w:val="20"/>
                <w:szCs w:val="20"/>
              </w:rPr>
              <w:t>670 </w:t>
            </w:r>
          </w:p>
        </w:tc>
        <w:tc>
          <w:tcPr>
            <w:tcW w:w="0" w:type="auto"/>
            <w:shd w:val="clear" w:color="auto" w:fill="auto"/>
            <w:tcMar>
              <w:top w:w="40" w:type="dxa"/>
              <w:left w:w="0" w:type="dxa"/>
              <w:bottom w:w="40" w:type="dxa"/>
              <w:right w:w="20" w:type="dxa"/>
            </w:tcMar>
            <w:vAlign w:val="bottom"/>
          </w:tcPr>
          <w:p w14:paraId="7B67043B"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3C"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3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3E" w14:textId="77777777" w:rsidR="0040300B" w:rsidRDefault="00BB2D44">
            <w:pPr>
              <w:jc w:val="right"/>
              <w:textAlignment w:val="bottom"/>
            </w:pPr>
            <w:r>
              <w:rPr>
                <w:rFonts w:ascii="Times New Roman" w:eastAsia="宋体" w:hAnsi="Times New Roman"/>
                <w:color w:val="000000"/>
                <w:sz w:val="20"/>
                <w:szCs w:val="20"/>
              </w:rPr>
              <w:t>1,945 </w:t>
            </w:r>
          </w:p>
        </w:tc>
        <w:tc>
          <w:tcPr>
            <w:tcW w:w="0" w:type="auto"/>
            <w:shd w:val="clear" w:color="auto" w:fill="auto"/>
            <w:tcMar>
              <w:top w:w="40" w:type="dxa"/>
              <w:left w:w="0" w:type="dxa"/>
              <w:bottom w:w="40" w:type="dxa"/>
              <w:right w:w="20" w:type="dxa"/>
            </w:tcMar>
            <w:vAlign w:val="bottom"/>
          </w:tcPr>
          <w:p w14:paraId="7B67043F"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40"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4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42" w14:textId="77777777" w:rsidR="0040300B" w:rsidRDefault="00BB2D44">
            <w:pPr>
              <w:jc w:val="right"/>
              <w:textAlignment w:val="bottom"/>
            </w:pPr>
            <w:r>
              <w:rPr>
                <w:rFonts w:ascii="Times New Roman" w:eastAsia="宋体" w:hAnsi="Times New Roman"/>
                <w:color w:val="000000"/>
                <w:sz w:val="20"/>
                <w:szCs w:val="20"/>
              </w:rPr>
              <w:t>2,086 </w:t>
            </w:r>
          </w:p>
        </w:tc>
        <w:tc>
          <w:tcPr>
            <w:tcW w:w="0" w:type="auto"/>
            <w:shd w:val="clear" w:color="auto" w:fill="auto"/>
            <w:tcMar>
              <w:top w:w="40" w:type="dxa"/>
              <w:left w:w="0" w:type="dxa"/>
              <w:bottom w:w="40" w:type="dxa"/>
              <w:right w:w="20" w:type="dxa"/>
            </w:tcMar>
            <w:vAlign w:val="bottom"/>
          </w:tcPr>
          <w:p w14:paraId="7B670443" w14:textId="77777777" w:rsidR="0040300B" w:rsidRDefault="0040300B">
            <w:pPr>
              <w:jc w:val="right"/>
              <w:rPr>
                <w:rFonts w:ascii="宋体"/>
              </w:rPr>
            </w:pPr>
          </w:p>
        </w:tc>
      </w:tr>
      <w:tr w:rsidR="0040300B" w14:paraId="7B670451" w14:textId="77777777">
        <w:tc>
          <w:tcPr>
            <w:tcW w:w="0" w:type="auto"/>
            <w:gridSpan w:val="3"/>
            <w:shd w:val="clear" w:color="auto" w:fill="CCEEFF"/>
            <w:tcMar>
              <w:top w:w="40" w:type="dxa"/>
              <w:left w:w="20" w:type="dxa"/>
              <w:bottom w:w="40" w:type="dxa"/>
              <w:right w:w="20" w:type="dxa"/>
            </w:tcMar>
          </w:tcPr>
          <w:p w14:paraId="7B670445" w14:textId="77777777" w:rsidR="0040300B" w:rsidRDefault="00BB2D44">
            <w:pPr>
              <w:textAlignment w:val="top"/>
            </w:pPr>
            <w:r>
              <w:rPr>
                <w:rFonts w:ascii="Times New Roman" w:eastAsia="宋体" w:hAnsi="Times New Roman"/>
                <w:color w:val="000000"/>
                <w:sz w:val="20"/>
                <w:szCs w:val="20"/>
              </w:rPr>
              <w:t>Effective tax rate</w:t>
            </w:r>
          </w:p>
        </w:tc>
        <w:tc>
          <w:tcPr>
            <w:tcW w:w="0" w:type="auto"/>
            <w:gridSpan w:val="2"/>
            <w:shd w:val="clear" w:color="auto" w:fill="CCEEFF"/>
            <w:tcMar>
              <w:top w:w="40" w:type="dxa"/>
              <w:left w:w="20" w:type="dxa"/>
              <w:bottom w:w="40" w:type="dxa"/>
              <w:right w:w="0" w:type="dxa"/>
            </w:tcMar>
            <w:vAlign w:val="bottom"/>
          </w:tcPr>
          <w:p w14:paraId="7B670446" w14:textId="77777777" w:rsidR="0040300B" w:rsidRDefault="00BB2D44">
            <w:pPr>
              <w:jc w:val="right"/>
              <w:textAlignment w:val="bottom"/>
            </w:pPr>
            <w:r>
              <w:rPr>
                <w:rFonts w:ascii="Times New Roman" w:eastAsia="宋体" w:hAnsi="Times New Roman"/>
                <w:color w:val="000000"/>
                <w:sz w:val="20"/>
                <w:szCs w:val="20"/>
              </w:rPr>
              <w:t>20.3 </w:t>
            </w:r>
          </w:p>
        </w:tc>
        <w:tc>
          <w:tcPr>
            <w:tcW w:w="0" w:type="auto"/>
            <w:shd w:val="clear" w:color="auto" w:fill="CCEEFF"/>
            <w:tcMar>
              <w:top w:w="40" w:type="dxa"/>
              <w:left w:w="0" w:type="dxa"/>
              <w:bottom w:w="40" w:type="dxa"/>
              <w:right w:w="20" w:type="dxa"/>
            </w:tcMar>
            <w:vAlign w:val="bottom"/>
          </w:tcPr>
          <w:p w14:paraId="7B67044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44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49" w14:textId="77777777" w:rsidR="0040300B" w:rsidRDefault="00BB2D44">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B67044A"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44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4C" w14:textId="77777777" w:rsidR="0040300B" w:rsidRDefault="00BB2D44">
            <w:pPr>
              <w:jc w:val="right"/>
              <w:textAlignment w:val="bottom"/>
            </w:pPr>
            <w:r>
              <w:rPr>
                <w:rFonts w:ascii="Times New Roman" w:eastAsia="宋体" w:hAnsi="Times New Roman"/>
                <w:color w:val="000000"/>
                <w:sz w:val="20"/>
                <w:szCs w:val="20"/>
              </w:rPr>
              <w:t>20.4 </w:t>
            </w:r>
          </w:p>
        </w:tc>
        <w:tc>
          <w:tcPr>
            <w:tcW w:w="0" w:type="auto"/>
            <w:shd w:val="clear" w:color="auto" w:fill="CCEEFF"/>
            <w:tcMar>
              <w:top w:w="40" w:type="dxa"/>
              <w:left w:w="0" w:type="dxa"/>
              <w:bottom w:w="40" w:type="dxa"/>
              <w:right w:w="20" w:type="dxa"/>
            </w:tcMar>
            <w:vAlign w:val="bottom"/>
          </w:tcPr>
          <w:p w14:paraId="7B67044D"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44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4F" w14:textId="77777777" w:rsidR="0040300B" w:rsidRDefault="00BB2D44">
            <w:pPr>
              <w:jc w:val="right"/>
              <w:textAlignment w:val="bottom"/>
            </w:pPr>
            <w:r>
              <w:rPr>
                <w:rFonts w:ascii="Times New Roman" w:eastAsia="宋体" w:hAnsi="Times New Roman"/>
                <w:color w:val="000000"/>
                <w:sz w:val="20"/>
                <w:szCs w:val="20"/>
              </w:rPr>
              <w:t>19.6 </w:t>
            </w:r>
          </w:p>
        </w:tc>
        <w:tc>
          <w:tcPr>
            <w:tcW w:w="0" w:type="auto"/>
            <w:shd w:val="clear" w:color="auto" w:fill="CCEEFF"/>
            <w:tcMar>
              <w:top w:w="40" w:type="dxa"/>
              <w:left w:w="0" w:type="dxa"/>
              <w:bottom w:w="40" w:type="dxa"/>
              <w:right w:w="20" w:type="dxa"/>
            </w:tcMar>
            <w:vAlign w:val="bottom"/>
          </w:tcPr>
          <w:p w14:paraId="7B670450" w14:textId="77777777" w:rsidR="0040300B" w:rsidRDefault="00BB2D44">
            <w:pPr>
              <w:jc w:val="right"/>
              <w:textAlignment w:val="bottom"/>
            </w:pPr>
            <w:r>
              <w:rPr>
                <w:rFonts w:ascii="Times New Roman" w:eastAsia="宋体" w:hAnsi="Times New Roman"/>
                <w:color w:val="000000"/>
                <w:sz w:val="20"/>
                <w:szCs w:val="20"/>
              </w:rPr>
              <w:t>%</w:t>
            </w:r>
          </w:p>
        </w:tc>
      </w:tr>
    </w:tbl>
    <w:p w14:paraId="7B670452" w14:textId="77777777" w:rsidR="0040300B" w:rsidRDefault="00BB2D44">
      <w:pPr>
        <w:spacing w:before="120"/>
        <w:jc w:val="both"/>
      </w:pPr>
      <w:r>
        <w:rPr>
          <w:rFonts w:ascii="Times New Roman" w:eastAsia="宋体" w:hAnsi="Times New Roman"/>
          <w:color w:val="000000"/>
          <w:sz w:val="20"/>
          <w:szCs w:val="20"/>
        </w:rPr>
        <w:t>As of May 1, 2021, we had $2.5 billion of unrecognized tax benefits, of which $2.1 billion, if recognized, would favorably impact the effective tax rate. We regularly engage in discussions and negotiations with tax authorities</w:t>
      </w:r>
      <w:r>
        <w:rPr>
          <w:rFonts w:ascii="Times New Roman" w:eastAsia="宋体" w:hAnsi="Times New Roman"/>
          <w:color w:val="000000"/>
          <w:sz w:val="20"/>
          <w:szCs w:val="20"/>
        </w:rPr>
        <w:t xml:space="preserve"> regarding tax matters in various jurisdictions. We believe it is reasonably possible that certain federal, foreign, and state tax matters may be concluded in the next 12 months. Specific positions that may be resolved include issues involving transfer pri</w:t>
      </w:r>
      <w:r>
        <w:rPr>
          <w:rFonts w:ascii="Times New Roman" w:eastAsia="宋体" w:hAnsi="Times New Roman"/>
          <w:color w:val="000000"/>
          <w:sz w:val="20"/>
          <w:szCs w:val="20"/>
        </w:rPr>
        <w:t>cing and various other matters.</w:t>
      </w:r>
    </w:p>
    <w:p w14:paraId="7B670453" w14:textId="77777777" w:rsidR="0040300B" w:rsidRDefault="00BB2D44">
      <w:pPr>
        <w:jc w:val="center"/>
      </w:pPr>
      <w:r>
        <w:rPr>
          <w:rFonts w:ascii="Times New Roman" w:eastAsia="宋体" w:hAnsi="Times New Roman"/>
          <w:color w:val="000000"/>
          <w:sz w:val="20"/>
          <w:szCs w:val="20"/>
        </w:rPr>
        <w:t>40</w:t>
      </w:r>
    </w:p>
    <w:p w14:paraId="7B670454" w14:textId="77777777" w:rsidR="0040300B" w:rsidRDefault="00BB2D44">
      <w:r>
        <w:pict w14:anchorId="7B671C38">
          <v:rect id="_x0000_i1064" style="width:415.3pt;height:1.5pt" o:hralign="center" o:hrstd="t" o:hr="t" fillcolor="#a0a0a0" stroked="f"/>
        </w:pict>
      </w:r>
    </w:p>
    <w:p w14:paraId="7B670455" w14:textId="77777777" w:rsidR="0040300B" w:rsidRDefault="00BB2D44">
      <w:hyperlink r:id="rId86" w:anchor="i52d5b40dbad7426a9806a2fd5167029f_7" w:history="1">
        <w:r>
          <w:rPr>
            <w:rStyle w:val="a5"/>
            <w:rFonts w:ascii="Times New Roman" w:eastAsia="宋体" w:hAnsi="Times New Roman"/>
            <w:sz w:val="18"/>
            <w:szCs w:val="18"/>
          </w:rPr>
          <w:t>Table of Contents</w:t>
        </w:r>
      </w:hyperlink>
    </w:p>
    <w:p w14:paraId="7B670456" w14:textId="77777777" w:rsidR="0040300B" w:rsidRDefault="00BB2D44">
      <w:pPr>
        <w:jc w:val="center"/>
      </w:pPr>
      <w:r>
        <w:rPr>
          <w:rFonts w:ascii="Times New Roman" w:eastAsia="宋体" w:hAnsi="Times New Roman"/>
          <w:b/>
          <w:bCs/>
          <w:color w:val="000000"/>
          <w:sz w:val="18"/>
          <w:szCs w:val="18"/>
        </w:rPr>
        <w:t>CISCO SYSTEMS, INC.</w:t>
      </w:r>
    </w:p>
    <w:p w14:paraId="7B670457" w14:textId="77777777" w:rsidR="0040300B" w:rsidRDefault="00BB2D44">
      <w:pPr>
        <w:jc w:val="center"/>
      </w:pPr>
      <w:r>
        <w:rPr>
          <w:rFonts w:ascii="Times New Roman" w:eastAsia="宋体" w:hAnsi="Times New Roman"/>
          <w:b/>
          <w:bCs/>
          <w:color w:val="000000"/>
          <w:sz w:val="18"/>
          <w:szCs w:val="18"/>
        </w:rPr>
        <w:t xml:space="preserve">NOTES TO CONSOLIDATED FINANCIAL </w:t>
      </w:r>
      <w:r>
        <w:rPr>
          <w:rFonts w:ascii="Times New Roman" w:eastAsia="宋体" w:hAnsi="Times New Roman"/>
          <w:b/>
          <w:bCs/>
          <w:color w:val="000000"/>
          <w:sz w:val="18"/>
          <w:szCs w:val="18"/>
        </w:rPr>
        <w:t>STATEMENTS (Continued)</w:t>
      </w:r>
    </w:p>
    <w:p w14:paraId="7B670458" w14:textId="77777777" w:rsidR="0040300B" w:rsidRDefault="00BB2D44">
      <w:pPr>
        <w:jc w:val="center"/>
      </w:pPr>
      <w:r>
        <w:rPr>
          <w:rFonts w:ascii="Times New Roman" w:eastAsia="宋体" w:hAnsi="Times New Roman"/>
          <w:b/>
          <w:bCs/>
          <w:color w:val="000000"/>
          <w:sz w:val="18"/>
          <w:szCs w:val="18"/>
        </w:rPr>
        <w:t xml:space="preserve">(Unaudited) </w:t>
      </w:r>
    </w:p>
    <w:p w14:paraId="7B670459" w14:textId="77777777" w:rsidR="0040300B" w:rsidRDefault="0040300B">
      <w:pPr>
        <w:jc w:val="center"/>
      </w:pPr>
    </w:p>
    <w:p w14:paraId="7B67045A" w14:textId="77777777" w:rsidR="0040300B" w:rsidRDefault="00BB2D44">
      <w:pPr>
        <w:ind w:hanging="360"/>
      </w:pPr>
      <w:r>
        <w:rPr>
          <w:rFonts w:ascii="Times New Roman" w:eastAsia="宋体" w:hAnsi="Times New Roman"/>
          <w:b/>
          <w:bCs/>
          <w:color w:val="000000"/>
          <w:sz w:val="20"/>
          <w:szCs w:val="20"/>
        </w:rPr>
        <w:t xml:space="preserve">19.Segment Information and Major Customers </w:t>
      </w:r>
    </w:p>
    <w:p w14:paraId="7B67045B" w14:textId="77777777" w:rsidR="0040300B" w:rsidRDefault="00BB2D44">
      <w:pPr>
        <w:spacing w:before="120"/>
        <w:ind w:hanging="360"/>
        <w:jc w:val="both"/>
      </w:pPr>
      <w:r>
        <w:rPr>
          <w:rFonts w:ascii="Times New Roman" w:eastAsia="宋体" w:hAnsi="Times New Roman"/>
          <w:b/>
          <w:bCs/>
          <w:color w:val="000000"/>
          <w:sz w:val="20"/>
          <w:szCs w:val="20"/>
        </w:rPr>
        <w:t>(a)Revenue and Gross Margin by Segment</w:t>
      </w:r>
    </w:p>
    <w:p w14:paraId="7B67045C" w14:textId="77777777" w:rsidR="0040300B" w:rsidRDefault="00BB2D44">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 and APJC. Our management makes financial decisions and allocates resources based on the information it receives from our internal</w:t>
      </w:r>
      <w:r>
        <w:rPr>
          <w:rFonts w:ascii="Times New Roman" w:eastAsia="宋体" w:hAnsi="Times New Roman"/>
          <w:color w:val="000000"/>
          <w:sz w:val="20"/>
          <w:szCs w:val="20"/>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color w:val="000000"/>
          <w:sz w:val="20"/>
          <w:szCs w:val="20"/>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color w:val="000000"/>
          <w:sz w:val="20"/>
          <w:szCs w:val="20"/>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color w:val="000000"/>
          <w:sz w:val="20"/>
          <w:szCs w:val="20"/>
        </w:rPr>
        <w:t xml:space="preserve">e performance of the operating segments. </w:t>
      </w:r>
    </w:p>
    <w:p w14:paraId="7B67045D" w14:textId="77777777" w:rsidR="0040300B" w:rsidRDefault="00BB2D44">
      <w:pPr>
        <w:spacing w:before="120"/>
        <w:jc w:val="both"/>
      </w:pPr>
      <w:r>
        <w:rPr>
          <w:rFonts w:ascii="Times New Roman" w:eastAsia="宋体" w:hAnsi="Times New Roman"/>
          <w:color w:val="000000"/>
          <w:sz w:val="20"/>
          <w:szCs w:val="20"/>
        </w:rPr>
        <w:t>Summarized financial information by segment for the third quarter and first nine months of fiscal 2021 and 2020, based on our internal management system and as utilized by our Chief Operating Decision Maker (“CODM”</w:t>
      </w:r>
      <w:r>
        <w:rPr>
          <w:rFonts w:ascii="Times New Roman" w:eastAsia="宋体" w:hAnsi="Times New Roman"/>
          <w:color w:val="000000"/>
          <w:sz w:val="20"/>
          <w:szCs w:val="20"/>
        </w:rPr>
        <w: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443"/>
        <w:gridCol w:w="36"/>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40300B" w14:paraId="7B670476" w14:textId="77777777">
        <w:tc>
          <w:tcPr>
            <w:tcW w:w="50" w:type="pct"/>
            <w:shd w:val="clear" w:color="auto" w:fill="auto"/>
          </w:tcPr>
          <w:p w14:paraId="7B67045E" w14:textId="77777777" w:rsidR="0040300B" w:rsidRDefault="0040300B">
            <w:pPr>
              <w:rPr>
                <w:rFonts w:ascii="宋体"/>
              </w:rPr>
            </w:pPr>
          </w:p>
        </w:tc>
        <w:tc>
          <w:tcPr>
            <w:tcW w:w="2715" w:type="pct"/>
            <w:shd w:val="clear" w:color="auto" w:fill="auto"/>
          </w:tcPr>
          <w:p w14:paraId="7B67045F" w14:textId="77777777" w:rsidR="0040300B" w:rsidRDefault="0040300B">
            <w:pPr>
              <w:rPr>
                <w:rFonts w:ascii="宋体"/>
              </w:rPr>
            </w:pPr>
          </w:p>
        </w:tc>
        <w:tc>
          <w:tcPr>
            <w:tcW w:w="5" w:type="pct"/>
            <w:shd w:val="clear" w:color="auto" w:fill="auto"/>
          </w:tcPr>
          <w:p w14:paraId="7B670460" w14:textId="77777777" w:rsidR="0040300B" w:rsidRDefault="0040300B">
            <w:pPr>
              <w:rPr>
                <w:rFonts w:ascii="宋体"/>
              </w:rPr>
            </w:pPr>
          </w:p>
        </w:tc>
        <w:tc>
          <w:tcPr>
            <w:tcW w:w="50" w:type="pct"/>
            <w:shd w:val="clear" w:color="auto" w:fill="auto"/>
          </w:tcPr>
          <w:p w14:paraId="7B670461" w14:textId="77777777" w:rsidR="0040300B" w:rsidRDefault="0040300B">
            <w:pPr>
              <w:rPr>
                <w:rFonts w:ascii="宋体"/>
              </w:rPr>
            </w:pPr>
          </w:p>
        </w:tc>
        <w:tc>
          <w:tcPr>
            <w:tcW w:w="478" w:type="pct"/>
            <w:shd w:val="clear" w:color="auto" w:fill="auto"/>
          </w:tcPr>
          <w:p w14:paraId="7B670462" w14:textId="77777777" w:rsidR="0040300B" w:rsidRDefault="0040300B">
            <w:pPr>
              <w:rPr>
                <w:rFonts w:ascii="宋体"/>
              </w:rPr>
            </w:pPr>
          </w:p>
        </w:tc>
        <w:tc>
          <w:tcPr>
            <w:tcW w:w="5" w:type="pct"/>
            <w:shd w:val="clear" w:color="auto" w:fill="auto"/>
          </w:tcPr>
          <w:p w14:paraId="7B670463" w14:textId="77777777" w:rsidR="0040300B" w:rsidRDefault="0040300B">
            <w:pPr>
              <w:rPr>
                <w:rFonts w:ascii="宋体"/>
              </w:rPr>
            </w:pPr>
          </w:p>
        </w:tc>
        <w:tc>
          <w:tcPr>
            <w:tcW w:w="5" w:type="pct"/>
            <w:shd w:val="clear" w:color="auto" w:fill="auto"/>
          </w:tcPr>
          <w:p w14:paraId="7B670464" w14:textId="77777777" w:rsidR="0040300B" w:rsidRDefault="0040300B">
            <w:pPr>
              <w:rPr>
                <w:rFonts w:ascii="宋体"/>
              </w:rPr>
            </w:pPr>
          </w:p>
        </w:tc>
        <w:tc>
          <w:tcPr>
            <w:tcW w:w="26" w:type="pct"/>
            <w:shd w:val="clear" w:color="auto" w:fill="auto"/>
          </w:tcPr>
          <w:p w14:paraId="7B670465" w14:textId="77777777" w:rsidR="0040300B" w:rsidRDefault="0040300B">
            <w:pPr>
              <w:rPr>
                <w:rFonts w:ascii="宋体"/>
              </w:rPr>
            </w:pPr>
          </w:p>
        </w:tc>
        <w:tc>
          <w:tcPr>
            <w:tcW w:w="5" w:type="pct"/>
            <w:shd w:val="clear" w:color="auto" w:fill="auto"/>
          </w:tcPr>
          <w:p w14:paraId="7B670466" w14:textId="77777777" w:rsidR="0040300B" w:rsidRDefault="0040300B">
            <w:pPr>
              <w:rPr>
                <w:rFonts w:ascii="宋体"/>
              </w:rPr>
            </w:pPr>
          </w:p>
        </w:tc>
        <w:tc>
          <w:tcPr>
            <w:tcW w:w="50" w:type="pct"/>
            <w:shd w:val="clear" w:color="auto" w:fill="auto"/>
          </w:tcPr>
          <w:p w14:paraId="7B670467" w14:textId="77777777" w:rsidR="0040300B" w:rsidRDefault="0040300B">
            <w:pPr>
              <w:rPr>
                <w:rFonts w:ascii="宋体"/>
              </w:rPr>
            </w:pPr>
          </w:p>
        </w:tc>
        <w:tc>
          <w:tcPr>
            <w:tcW w:w="478" w:type="pct"/>
            <w:shd w:val="clear" w:color="auto" w:fill="auto"/>
          </w:tcPr>
          <w:p w14:paraId="7B670468" w14:textId="77777777" w:rsidR="0040300B" w:rsidRDefault="0040300B">
            <w:pPr>
              <w:rPr>
                <w:rFonts w:ascii="宋体"/>
              </w:rPr>
            </w:pPr>
          </w:p>
        </w:tc>
        <w:tc>
          <w:tcPr>
            <w:tcW w:w="5" w:type="pct"/>
            <w:shd w:val="clear" w:color="auto" w:fill="auto"/>
          </w:tcPr>
          <w:p w14:paraId="7B670469" w14:textId="77777777" w:rsidR="0040300B" w:rsidRDefault="0040300B">
            <w:pPr>
              <w:rPr>
                <w:rFonts w:ascii="宋体"/>
              </w:rPr>
            </w:pPr>
          </w:p>
        </w:tc>
        <w:tc>
          <w:tcPr>
            <w:tcW w:w="5" w:type="pct"/>
            <w:shd w:val="clear" w:color="auto" w:fill="auto"/>
          </w:tcPr>
          <w:p w14:paraId="7B67046A" w14:textId="77777777" w:rsidR="0040300B" w:rsidRDefault="0040300B">
            <w:pPr>
              <w:rPr>
                <w:rFonts w:ascii="宋体"/>
              </w:rPr>
            </w:pPr>
          </w:p>
        </w:tc>
        <w:tc>
          <w:tcPr>
            <w:tcW w:w="19" w:type="pct"/>
            <w:shd w:val="clear" w:color="auto" w:fill="auto"/>
          </w:tcPr>
          <w:p w14:paraId="7B67046B" w14:textId="77777777" w:rsidR="0040300B" w:rsidRDefault="0040300B">
            <w:pPr>
              <w:rPr>
                <w:rFonts w:ascii="宋体"/>
              </w:rPr>
            </w:pPr>
          </w:p>
        </w:tc>
        <w:tc>
          <w:tcPr>
            <w:tcW w:w="5" w:type="pct"/>
            <w:shd w:val="clear" w:color="auto" w:fill="auto"/>
          </w:tcPr>
          <w:p w14:paraId="7B67046C" w14:textId="77777777" w:rsidR="0040300B" w:rsidRDefault="0040300B">
            <w:pPr>
              <w:rPr>
                <w:rFonts w:ascii="宋体"/>
              </w:rPr>
            </w:pPr>
          </w:p>
        </w:tc>
        <w:tc>
          <w:tcPr>
            <w:tcW w:w="50" w:type="pct"/>
            <w:shd w:val="clear" w:color="auto" w:fill="auto"/>
          </w:tcPr>
          <w:p w14:paraId="7B67046D" w14:textId="77777777" w:rsidR="0040300B" w:rsidRDefault="0040300B">
            <w:pPr>
              <w:rPr>
                <w:rFonts w:ascii="宋体"/>
              </w:rPr>
            </w:pPr>
          </w:p>
        </w:tc>
        <w:tc>
          <w:tcPr>
            <w:tcW w:w="478" w:type="pct"/>
            <w:shd w:val="clear" w:color="auto" w:fill="auto"/>
          </w:tcPr>
          <w:p w14:paraId="7B67046E" w14:textId="77777777" w:rsidR="0040300B" w:rsidRDefault="0040300B">
            <w:pPr>
              <w:rPr>
                <w:rFonts w:ascii="宋体"/>
              </w:rPr>
            </w:pPr>
          </w:p>
        </w:tc>
        <w:tc>
          <w:tcPr>
            <w:tcW w:w="5" w:type="pct"/>
            <w:shd w:val="clear" w:color="auto" w:fill="auto"/>
          </w:tcPr>
          <w:p w14:paraId="7B67046F" w14:textId="77777777" w:rsidR="0040300B" w:rsidRDefault="0040300B">
            <w:pPr>
              <w:rPr>
                <w:rFonts w:ascii="宋体"/>
              </w:rPr>
            </w:pPr>
          </w:p>
        </w:tc>
        <w:tc>
          <w:tcPr>
            <w:tcW w:w="5" w:type="pct"/>
            <w:shd w:val="clear" w:color="auto" w:fill="auto"/>
          </w:tcPr>
          <w:p w14:paraId="7B670470" w14:textId="77777777" w:rsidR="0040300B" w:rsidRDefault="0040300B">
            <w:pPr>
              <w:rPr>
                <w:rFonts w:ascii="宋体"/>
              </w:rPr>
            </w:pPr>
          </w:p>
        </w:tc>
        <w:tc>
          <w:tcPr>
            <w:tcW w:w="19" w:type="pct"/>
            <w:shd w:val="clear" w:color="auto" w:fill="auto"/>
          </w:tcPr>
          <w:p w14:paraId="7B670471" w14:textId="77777777" w:rsidR="0040300B" w:rsidRDefault="0040300B">
            <w:pPr>
              <w:rPr>
                <w:rFonts w:ascii="宋体"/>
              </w:rPr>
            </w:pPr>
          </w:p>
        </w:tc>
        <w:tc>
          <w:tcPr>
            <w:tcW w:w="5" w:type="pct"/>
            <w:shd w:val="clear" w:color="auto" w:fill="auto"/>
          </w:tcPr>
          <w:p w14:paraId="7B670472" w14:textId="77777777" w:rsidR="0040300B" w:rsidRDefault="0040300B">
            <w:pPr>
              <w:rPr>
                <w:rFonts w:ascii="宋体"/>
              </w:rPr>
            </w:pPr>
          </w:p>
        </w:tc>
        <w:tc>
          <w:tcPr>
            <w:tcW w:w="50" w:type="pct"/>
            <w:shd w:val="clear" w:color="auto" w:fill="auto"/>
          </w:tcPr>
          <w:p w14:paraId="7B670473" w14:textId="77777777" w:rsidR="0040300B" w:rsidRDefault="0040300B">
            <w:pPr>
              <w:rPr>
                <w:rFonts w:ascii="宋体"/>
              </w:rPr>
            </w:pPr>
          </w:p>
        </w:tc>
        <w:tc>
          <w:tcPr>
            <w:tcW w:w="478" w:type="pct"/>
            <w:shd w:val="clear" w:color="auto" w:fill="auto"/>
          </w:tcPr>
          <w:p w14:paraId="7B670474" w14:textId="77777777" w:rsidR="0040300B" w:rsidRDefault="0040300B">
            <w:pPr>
              <w:rPr>
                <w:rFonts w:ascii="宋体"/>
              </w:rPr>
            </w:pPr>
          </w:p>
        </w:tc>
        <w:tc>
          <w:tcPr>
            <w:tcW w:w="5" w:type="pct"/>
            <w:shd w:val="clear" w:color="auto" w:fill="auto"/>
          </w:tcPr>
          <w:p w14:paraId="7B670475" w14:textId="77777777" w:rsidR="0040300B" w:rsidRDefault="0040300B">
            <w:pPr>
              <w:rPr>
                <w:rFonts w:ascii="宋体"/>
              </w:rPr>
            </w:pPr>
          </w:p>
        </w:tc>
      </w:tr>
      <w:tr w:rsidR="0040300B" w14:paraId="7B67047B" w14:textId="77777777">
        <w:tc>
          <w:tcPr>
            <w:tcW w:w="0" w:type="auto"/>
            <w:gridSpan w:val="3"/>
            <w:shd w:val="clear" w:color="auto" w:fill="auto"/>
            <w:tcMar>
              <w:top w:w="0" w:type="dxa"/>
              <w:left w:w="20" w:type="dxa"/>
              <w:bottom w:w="0" w:type="dxa"/>
              <w:right w:w="20" w:type="dxa"/>
            </w:tcMar>
          </w:tcPr>
          <w:p w14:paraId="7B670477"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478"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479"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47A"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484" w14:textId="77777777">
        <w:tc>
          <w:tcPr>
            <w:tcW w:w="0" w:type="auto"/>
            <w:gridSpan w:val="3"/>
            <w:shd w:val="clear" w:color="auto" w:fill="auto"/>
            <w:tcMar>
              <w:top w:w="0" w:type="dxa"/>
              <w:left w:w="20" w:type="dxa"/>
              <w:bottom w:w="0" w:type="dxa"/>
              <w:right w:w="20" w:type="dxa"/>
            </w:tcMar>
          </w:tcPr>
          <w:p w14:paraId="7B67047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7D"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47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7F"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48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81"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48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483" w14:textId="77777777" w:rsidR="0040300B" w:rsidRDefault="00BB2D44">
            <w:pPr>
              <w:jc w:val="center"/>
              <w:textAlignment w:val="bottom"/>
            </w:pPr>
            <w:r>
              <w:rPr>
                <w:rFonts w:ascii="Times New Roman" w:eastAsia="宋体" w:hAnsi="Times New Roman"/>
                <w:color w:val="000000"/>
                <w:sz w:val="18"/>
                <w:szCs w:val="18"/>
              </w:rPr>
              <w:t>April 25, 2020</w:t>
            </w:r>
          </w:p>
        </w:tc>
      </w:tr>
      <w:tr w:rsidR="0040300B" w14:paraId="7B67048D" w14:textId="77777777">
        <w:tc>
          <w:tcPr>
            <w:tcW w:w="0" w:type="auto"/>
            <w:gridSpan w:val="3"/>
            <w:shd w:val="clear" w:color="auto" w:fill="CCEEFF"/>
            <w:tcMar>
              <w:top w:w="40" w:type="dxa"/>
              <w:left w:w="20" w:type="dxa"/>
              <w:bottom w:w="40" w:type="dxa"/>
              <w:right w:w="20" w:type="dxa"/>
            </w:tcMar>
          </w:tcPr>
          <w:p w14:paraId="7B670485" w14:textId="77777777" w:rsidR="0040300B" w:rsidRDefault="00BB2D44">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B67048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48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48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48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48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48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48C" w14:textId="77777777" w:rsidR="0040300B" w:rsidRDefault="0040300B">
            <w:pPr>
              <w:rPr>
                <w:rFonts w:ascii="宋体"/>
              </w:rPr>
            </w:pPr>
          </w:p>
        </w:tc>
      </w:tr>
      <w:tr w:rsidR="0040300B" w14:paraId="7B67049E" w14:textId="77777777">
        <w:tc>
          <w:tcPr>
            <w:tcW w:w="0" w:type="auto"/>
            <w:gridSpan w:val="3"/>
            <w:shd w:val="clear" w:color="auto" w:fill="auto"/>
            <w:tcMar>
              <w:top w:w="40" w:type="dxa"/>
              <w:left w:w="380" w:type="dxa"/>
              <w:bottom w:w="40" w:type="dxa"/>
              <w:right w:w="20" w:type="dxa"/>
            </w:tcMar>
          </w:tcPr>
          <w:p w14:paraId="7B67048E" w14:textId="77777777" w:rsidR="0040300B" w:rsidRDefault="00BB2D44">
            <w:pPr>
              <w:textAlignment w:val="top"/>
            </w:pPr>
            <w:r>
              <w:rPr>
                <w:rFonts w:ascii="Times New Roman" w:eastAsia="宋体" w:hAnsi="Times New Roman"/>
                <w:color w:val="000000"/>
                <w:sz w:val="20"/>
                <w:szCs w:val="20"/>
              </w:rPr>
              <w:t>Americas</w:t>
            </w:r>
          </w:p>
        </w:tc>
        <w:tc>
          <w:tcPr>
            <w:tcW w:w="0" w:type="auto"/>
            <w:shd w:val="clear" w:color="auto" w:fill="auto"/>
            <w:tcMar>
              <w:top w:w="40" w:type="dxa"/>
              <w:left w:w="20" w:type="dxa"/>
              <w:bottom w:w="40" w:type="dxa"/>
              <w:right w:w="0" w:type="dxa"/>
            </w:tcMar>
            <w:vAlign w:val="bottom"/>
          </w:tcPr>
          <w:p w14:paraId="7B67048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90" w14:textId="77777777" w:rsidR="0040300B" w:rsidRDefault="00BB2D44">
            <w:pPr>
              <w:jc w:val="right"/>
              <w:textAlignment w:val="bottom"/>
            </w:pPr>
            <w:r>
              <w:rPr>
                <w:rFonts w:ascii="Times New Roman" w:eastAsia="宋体" w:hAnsi="Times New Roman"/>
                <w:color w:val="000000"/>
                <w:sz w:val="20"/>
                <w:szCs w:val="20"/>
              </w:rPr>
              <w:t>7,262 </w:t>
            </w:r>
          </w:p>
        </w:tc>
        <w:tc>
          <w:tcPr>
            <w:tcW w:w="0" w:type="auto"/>
            <w:shd w:val="clear" w:color="auto" w:fill="auto"/>
            <w:tcMar>
              <w:top w:w="40" w:type="dxa"/>
              <w:left w:w="0" w:type="dxa"/>
              <w:bottom w:w="40" w:type="dxa"/>
              <w:right w:w="20" w:type="dxa"/>
            </w:tcMar>
            <w:vAlign w:val="bottom"/>
          </w:tcPr>
          <w:p w14:paraId="7B670491"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92"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9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94" w14:textId="77777777" w:rsidR="0040300B" w:rsidRDefault="00BB2D44">
            <w:pPr>
              <w:jc w:val="right"/>
              <w:textAlignment w:val="bottom"/>
            </w:pPr>
            <w:r>
              <w:rPr>
                <w:rFonts w:ascii="Times New Roman" w:eastAsia="宋体" w:hAnsi="Times New Roman"/>
                <w:color w:val="000000"/>
                <w:sz w:val="20"/>
                <w:szCs w:val="20"/>
              </w:rPr>
              <w:t>7,116 </w:t>
            </w:r>
          </w:p>
        </w:tc>
        <w:tc>
          <w:tcPr>
            <w:tcW w:w="0" w:type="auto"/>
            <w:shd w:val="clear" w:color="auto" w:fill="auto"/>
            <w:tcMar>
              <w:top w:w="40" w:type="dxa"/>
              <w:left w:w="0" w:type="dxa"/>
              <w:bottom w:w="40" w:type="dxa"/>
              <w:right w:w="20" w:type="dxa"/>
            </w:tcMar>
            <w:vAlign w:val="bottom"/>
          </w:tcPr>
          <w:p w14:paraId="7B670495"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96"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9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98" w14:textId="77777777" w:rsidR="0040300B" w:rsidRDefault="00BB2D44">
            <w:pPr>
              <w:jc w:val="right"/>
              <w:textAlignment w:val="bottom"/>
            </w:pPr>
            <w:r>
              <w:rPr>
                <w:rFonts w:ascii="Times New Roman" w:eastAsia="宋体" w:hAnsi="Times New Roman"/>
                <w:color w:val="000000"/>
                <w:sz w:val="20"/>
                <w:szCs w:val="20"/>
              </w:rPr>
              <w:t>21,430 </w:t>
            </w:r>
          </w:p>
        </w:tc>
        <w:tc>
          <w:tcPr>
            <w:tcW w:w="0" w:type="auto"/>
            <w:shd w:val="clear" w:color="auto" w:fill="auto"/>
            <w:tcMar>
              <w:top w:w="40" w:type="dxa"/>
              <w:left w:w="0" w:type="dxa"/>
              <w:bottom w:w="40" w:type="dxa"/>
              <w:right w:w="20" w:type="dxa"/>
            </w:tcMar>
            <w:vAlign w:val="bottom"/>
          </w:tcPr>
          <w:p w14:paraId="7B670499"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9A" w14:textId="77777777" w:rsidR="0040300B" w:rsidRDefault="0040300B">
            <w:pPr>
              <w:rPr>
                <w:rFonts w:ascii="宋体"/>
              </w:rPr>
            </w:pPr>
          </w:p>
        </w:tc>
        <w:tc>
          <w:tcPr>
            <w:tcW w:w="0" w:type="auto"/>
            <w:shd w:val="clear" w:color="auto" w:fill="auto"/>
            <w:tcMar>
              <w:top w:w="40" w:type="dxa"/>
              <w:left w:w="20" w:type="dxa"/>
              <w:bottom w:w="40" w:type="dxa"/>
              <w:right w:w="0" w:type="dxa"/>
            </w:tcMar>
            <w:vAlign w:val="bottom"/>
          </w:tcPr>
          <w:p w14:paraId="7B67049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7B67049C" w14:textId="77777777" w:rsidR="0040300B" w:rsidRDefault="00BB2D44">
            <w:pPr>
              <w:jc w:val="right"/>
              <w:textAlignment w:val="bottom"/>
            </w:pPr>
            <w:r>
              <w:rPr>
                <w:rFonts w:ascii="Times New Roman" w:eastAsia="宋体" w:hAnsi="Times New Roman"/>
                <w:color w:val="000000"/>
                <w:sz w:val="20"/>
                <w:szCs w:val="20"/>
              </w:rPr>
              <w:t>22,106 </w:t>
            </w:r>
          </w:p>
        </w:tc>
        <w:tc>
          <w:tcPr>
            <w:tcW w:w="0" w:type="auto"/>
            <w:shd w:val="clear" w:color="auto" w:fill="auto"/>
            <w:tcMar>
              <w:top w:w="40" w:type="dxa"/>
              <w:left w:w="0" w:type="dxa"/>
              <w:bottom w:w="40" w:type="dxa"/>
              <w:right w:w="20" w:type="dxa"/>
            </w:tcMar>
            <w:vAlign w:val="bottom"/>
          </w:tcPr>
          <w:p w14:paraId="7B67049D" w14:textId="77777777" w:rsidR="0040300B" w:rsidRDefault="0040300B">
            <w:pPr>
              <w:jc w:val="right"/>
              <w:rPr>
                <w:rFonts w:ascii="宋体"/>
              </w:rPr>
            </w:pPr>
          </w:p>
        </w:tc>
      </w:tr>
      <w:tr w:rsidR="0040300B" w14:paraId="7B6704AB" w14:textId="77777777">
        <w:tc>
          <w:tcPr>
            <w:tcW w:w="0" w:type="auto"/>
            <w:gridSpan w:val="3"/>
            <w:shd w:val="clear" w:color="auto" w:fill="CCEEFF"/>
            <w:tcMar>
              <w:top w:w="40" w:type="dxa"/>
              <w:left w:w="380" w:type="dxa"/>
              <w:bottom w:w="40" w:type="dxa"/>
              <w:right w:w="20" w:type="dxa"/>
            </w:tcMar>
          </w:tcPr>
          <w:p w14:paraId="7B67049F" w14:textId="77777777" w:rsidR="0040300B" w:rsidRDefault="00BB2D44">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7B6704A0" w14:textId="77777777" w:rsidR="0040300B" w:rsidRDefault="00BB2D44">
            <w:pPr>
              <w:jc w:val="right"/>
              <w:textAlignment w:val="bottom"/>
            </w:pPr>
            <w:r>
              <w:rPr>
                <w:rFonts w:ascii="Times New Roman" w:eastAsia="宋体" w:hAnsi="Times New Roman"/>
                <w:color w:val="000000"/>
                <w:sz w:val="20"/>
                <w:szCs w:val="20"/>
              </w:rPr>
              <w:t>3,483 </w:t>
            </w:r>
          </w:p>
        </w:tc>
        <w:tc>
          <w:tcPr>
            <w:tcW w:w="0" w:type="auto"/>
            <w:shd w:val="clear" w:color="auto" w:fill="CCEEFF"/>
            <w:tcMar>
              <w:top w:w="40" w:type="dxa"/>
              <w:left w:w="0" w:type="dxa"/>
              <w:bottom w:w="40" w:type="dxa"/>
              <w:right w:w="20" w:type="dxa"/>
            </w:tcMar>
            <w:vAlign w:val="bottom"/>
          </w:tcPr>
          <w:p w14:paraId="7B6704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A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A3" w14:textId="77777777" w:rsidR="0040300B" w:rsidRDefault="00BB2D44">
            <w:pPr>
              <w:jc w:val="right"/>
              <w:textAlignment w:val="bottom"/>
            </w:pPr>
            <w:r>
              <w:rPr>
                <w:rFonts w:ascii="Times New Roman" w:eastAsia="宋体" w:hAnsi="Times New Roman"/>
                <w:color w:val="000000"/>
                <w:sz w:val="20"/>
                <w:szCs w:val="20"/>
              </w:rPr>
              <w:t>3,136 </w:t>
            </w:r>
          </w:p>
        </w:tc>
        <w:tc>
          <w:tcPr>
            <w:tcW w:w="0" w:type="auto"/>
            <w:shd w:val="clear" w:color="auto" w:fill="CCEEFF"/>
            <w:tcMar>
              <w:top w:w="40" w:type="dxa"/>
              <w:left w:w="0" w:type="dxa"/>
              <w:bottom w:w="40" w:type="dxa"/>
              <w:right w:w="20" w:type="dxa"/>
            </w:tcMar>
            <w:vAlign w:val="bottom"/>
          </w:tcPr>
          <w:p w14:paraId="7B6704A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A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A6" w14:textId="77777777" w:rsidR="0040300B" w:rsidRDefault="00BB2D44">
            <w:pPr>
              <w:jc w:val="right"/>
              <w:textAlignment w:val="bottom"/>
            </w:pPr>
            <w:r>
              <w:rPr>
                <w:rFonts w:ascii="Times New Roman" w:eastAsia="宋体" w:hAnsi="Times New Roman"/>
                <w:color w:val="000000"/>
                <w:sz w:val="20"/>
                <w:szCs w:val="20"/>
              </w:rPr>
              <w:t>9,654 </w:t>
            </w:r>
          </w:p>
        </w:tc>
        <w:tc>
          <w:tcPr>
            <w:tcW w:w="0" w:type="auto"/>
            <w:shd w:val="clear" w:color="auto" w:fill="CCEEFF"/>
            <w:tcMar>
              <w:top w:w="40" w:type="dxa"/>
              <w:left w:w="0" w:type="dxa"/>
              <w:bottom w:w="40" w:type="dxa"/>
              <w:right w:w="20" w:type="dxa"/>
            </w:tcMar>
            <w:vAlign w:val="bottom"/>
          </w:tcPr>
          <w:p w14:paraId="7B6704A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A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A9" w14:textId="77777777" w:rsidR="0040300B" w:rsidRDefault="00BB2D44">
            <w:pPr>
              <w:jc w:val="right"/>
              <w:textAlignment w:val="bottom"/>
            </w:pPr>
            <w:r>
              <w:rPr>
                <w:rFonts w:ascii="Times New Roman" w:eastAsia="宋体" w:hAnsi="Times New Roman"/>
                <w:color w:val="000000"/>
                <w:sz w:val="20"/>
                <w:szCs w:val="20"/>
              </w:rPr>
              <w:t>9,553 </w:t>
            </w:r>
          </w:p>
        </w:tc>
        <w:tc>
          <w:tcPr>
            <w:tcW w:w="0" w:type="auto"/>
            <w:shd w:val="clear" w:color="auto" w:fill="CCEEFF"/>
            <w:tcMar>
              <w:top w:w="40" w:type="dxa"/>
              <w:left w:w="0" w:type="dxa"/>
              <w:bottom w:w="40" w:type="dxa"/>
              <w:right w:w="20" w:type="dxa"/>
            </w:tcMar>
            <w:vAlign w:val="bottom"/>
          </w:tcPr>
          <w:p w14:paraId="7B6704AA" w14:textId="77777777" w:rsidR="0040300B" w:rsidRDefault="0040300B">
            <w:pPr>
              <w:jc w:val="right"/>
              <w:rPr>
                <w:rFonts w:ascii="宋体"/>
              </w:rPr>
            </w:pPr>
          </w:p>
        </w:tc>
      </w:tr>
      <w:tr w:rsidR="0040300B" w14:paraId="7B6704B8" w14:textId="77777777">
        <w:tc>
          <w:tcPr>
            <w:tcW w:w="0" w:type="auto"/>
            <w:gridSpan w:val="3"/>
            <w:shd w:val="clear" w:color="auto" w:fill="auto"/>
            <w:tcMar>
              <w:top w:w="40" w:type="dxa"/>
              <w:left w:w="380" w:type="dxa"/>
              <w:bottom w:w="40" w:type="dxa"/>
              <w:right w:w="20" w:type="dxa"/>
            </w:tcMar>
          </w:tcPr>
          <w:p w14:paraId="7B6704AC" w14:textId="77777777" w:rsidR="0040300B" w:rsidRDefault="00BB2D44">
            <w:pPr>
              <w:textAlignment w:val="top"/>
            </w:pPr>
            <w:r>
              <w:rPr>
                <w:rFonts w:ascii="Times New Roman" w:eastAsia="宋体" w:hAnsi="Times New Roman"/>
                <w:color w:val="000000"/>
                <w:sz w:val="20"/>
                <w:szCs w:val="20"/>
              </w:rPr>
              <w:t>APJC</w:t>
            </w:r>
          </w:p>
        </w:tc>
        <w:tc>
          <w:tcPr>
            <w:tcW w:w="0" w:type="auto"/>
            <w:gridSpan w:val="2"/>
            <w:shd w:val="clear" w:color="auto" w:fill="auto"/>
            <w:tcMar>
              <w:top w:w="40" w:type="dxa"/>
              <w:left w:w="20" w:type="dxa"/>
              <w:bottom w:w="40" w:type="dxa"/>
              <w:right w:w="0" w:type="dxa"/>
            </w:tcMar>
            <w:vAlign w:val="bottom"/>
          </w:tcPr>
          <w:p w14:paraId="7B6704AD" w14:textId="77777777" w:rsidR="0040300B" w:rsidRDefault="00BB2D44">
            <w:pPr>
              <w:jc w:val="right"/>
              <w:textAlignment w:val="bottom"/>
            </w:pPr>
            <w:r>
              <w:rPr>
                <w:rFonts w:ascii="Times New Roman" w:eastAsia="宋体" w:hAnsi="Times New Roman"/>
                <w:color w:val="000000"/>
                <w:sz w:val="20"/>
                <w:szCs w:val="20"/>
              </w:rPr>
              <w:t>2,057 </w:t>
            </w:r>
          </w:p>
        </w:tc>
        <w:tc>
          <w:tcPr>
            <w:tcW w:w="0" w:type="auto"/>
            <w:shd w:val="clear" w:color="auto" w:fill="auto"/>
            <w:tcMar>
              <w:top w:w="40" w:type="dxa"/>
              <w:left w:w="0" w:type="dxa"/>
              <w:bottom w:w="40" w:type="dxa"/>
              <w:right w:w="20" w:type="dxa"/>
            </w:tcMar>
            <w:vAlign w:val="bottom"/>
          </w:tcPr>
          <w:p w14:paraId="7B6704AE"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AF"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B0" w14:textId="77777777" w:rsidR="0040300B" w:rsidRDefault="00BB2D44">
            <w:pPr>
              <w:jc w:val="right"/>
              <w:textAlignment w:val="bottom"/>
            </w:pPr>
            <w:r>
              <w:rPr>
                <w:rFonts w:ascii="Times New Roman" w:eastAsia="宋体" w:hAnsi="Times New Roman"/>
                <w:color w:val="000000"/>
                <w:sz w:val="20"/>
                <w:szCs w:val="20"/>
              </w:rPr>
              <w:t>1,730 </w:t>
            </w:r>
          </w:p>
        </w:tc>
        <w:tc>
          <w:tcPr>
            <w:tcW w:w="0" w:type="auto"/>
            <w:shd w:val="clear" w:color="auto" w:fill="auto"/>
            <w:tcMar>
              <w:top w:w="40" w:type="dxa"/>
              <w:left w:w="0" w:type="dxa"/>
              <w:bottom w:w="40" w:type="dxa"/>
              <w:right w:w="20" w:type="dxa"/>
            </w:tcMar>
            <w:vAlign w:val="bottom"/>
          </w:tcPr>
          <w:p w14:paraId="7B6704B1"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B2"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B3" w14:textId="77777777" w:rsidR="0040300B" w:rsidRDefault="00BB2D44">
            <w:pPr>
              <w:jc w:val="right"/>
              <w:textAlignment w:val="bottom"/>
            </w:pPr>
            <w:r>
              <w:rPr>
                <w:rFonts w:ascii="Times New Roman" w:eastAsia="宋体" w:hAnsi="Times New Roman"/>
                <w:color w:val="000000"/>
                <w:sz w:val="20"/>
                <w:szCs w:val="20"/>
              </w:rPr>
              <w:t>5,608 </w:t>
            </w:r>
          </w:p>
        </w:tc>
        <w:tc>
          <w:tcPr>
            <w:tcW w:w="0" w:type="auto"/>
            <w:shd w:val="clear" w:color="auto" w:fill="auto"/>
            <w:tcMar>
              <w:top w:w="40" w:type="dxa"/>
              <w:left w:w="0" w:type="dxa"/>
              <w:bottom w:w="40" w:type="dxa"/>
              <w:right w:w="20" w:type="dxa"/>
            </w:tcMar>
            <w:vAlign w:val="bottom"/>
          </w:tcPr>
          <w:p w14:paraId="7B6704B4"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B5"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B6" w14:textId="77777777" w:rsidR="0040300B" w:rsidRDefault="00BB2D44">
            <w:pPr>
              <w:jc w:val="right"/>
              <w:textAlignment w:val="bottom"/>
            </w:pPr>
            <w:r>
              <w:rPr>
                <w:rFonts w:ascii="Times New Roman" w:eastAsia="宋体" w:hAnsi="Times New Roman"/>
                <w:color w:val="000000"/>
                <w:sz w:val="20"/>
                <w:szCs w:val="20"/>
              </w:rPr>
              <w:t>5,489 </w:t>
            </w:r>
          </w:p>
        </w:tc>
        <w:tc>
          <w:tcPr>
            <w:tcW w:w="0" w:type="auto"/>
            <w:shd w:val="clear" w:color="auto" w:fill="auto"/>
            <w:tcMar>
              <w:top w:w="40" w:type="dxa"/>
              <w:left w:w="0" w:type="dxa"/>
              <w:bottom w:w="40" w:type="dxa"/>
              <w:right w:w="20" w:type="dxa"/>
            </w:tcMar>
            <w:vAlign w:val="bottom"/>
          </w:tcPr>
          <w:p w14:paraId="7B6704B7" w14:textId="77777777" w:rsidR="0040300B" w:rsidRDefault="0040300B">
            <w:pPr>
              <w:jc w:val="right"/>
              <w:rPr>
                <w:rFonts w:ascii="宋体"/>
              </w:rPr>
            </w:pPr>
          </w:p>
        </w:tc>
      </w:tr>
      <w:tr w:rsidR="0040300B" w14:paraId="7B6704C9" w14:textId="77777777">
        <w:tc>
          <w:tcPr>
            <w:tcW w:w="0" w:type="auto"/>
            <w:gridSpan w:val="3"/>
            <w:shd w:val="clear" w:color="auto" w:fill="CCEEFF"/>
            <w:tcMar>
              <w:top w:w="40" w:type="dxa"/>
              <w:left w:w="740" w:type="dxa"/>
              <w:bottom w:w="40" w:type="dxa"/>
              <w:right w:w="20" w:type="dxa"/>
            </w:tcMar>
          </w:tcPr>
          <w:p w14:paraId="7B6704B9"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4B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BB"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B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B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B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BF"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C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C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C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C3"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C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C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4C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4C7"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4C8" w14:textId="77777777" w:rsidR="0040300B" w:rsidRDefault="0040300B">
            <w:pPr>
              <w:jc w:val="right"/>
              <w:rPr>
                <w:rFonts w:ascii="宋体"/>
              </w:rPr>
            </w:pPr>
          </w:p>
        </w:tc>
      </w:tr>
      <w:tr w:rsidR="0040300B" w14:paraId="7B6704D2" w14:textId="77777777">
        <w:tc>
          <w:tcPr>
            <w:tcW w:w="0" w:type="auto"/>
            <w:gridSpan w:val="3"/>
            <w:shd w:val="clear" w:color="auto" w:fill="auto"/>
            <w:tcMar>
              <w:top w:w="40" w:type="dxa"/>
              <w:left w:w="20" w:type="dxa"/>
              <w:bottom w:w="40" w:type="dxa"/>
              <w:right w:w="20" w:type="dxa"/>
            </w:tcMar>
          </w:tcPr>
          <w:p w14:paraId="7B6704CA" w14:textId="77777777" w:rsidR="0040300B" w:rsidRDefault="00BB2D44">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tcPr>
          <w:p w14:paraId="7B6704C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4CC"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04C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4CE"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04C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4D0"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04D1" w14:textId="77777777" w:rsidR="0040300B" w:rsidRDefault="0040300B">
            <w:pPr>
              <w:rPr>
                <w:rFonts w:ascii="宋体"/>
              </w:rPr>
            </w:pPr>
          </w:p>
        </w:tc>
      </w:tr>
      <w:tr w:rsidR="0040300B" w14:paraId="7B6704E3" w14:textId="77777777">
        <w:tc>
          <w:tcPr>
            <w:tcW w:w="0" w:type="auto"/>
            <w:gridSpan w:val="3"/>
            <w:shd w:val="clear" w:color="auto" w:fill="CCEEFF"/>
            <w:tcMar>
              <w:top w:w="40" w:type="dxa"/>
              <w:left w:w="380" w:type="dxa"/>
              <w:bottom w:w="40" w:type="dxa"/>
              <w:right w:w="20" w:type="dxa"/>
            </w:tcMar>
          </w:tcPr>
          <w:p w14:paraId="7B6704D3" w14:textId="77777777" w:rsidR="0040300B" w:rsidRDefault="00BB2D44">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7B6704D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4D5" w14:textId="77777777" w:rsidR="0040300B" w:rsidRDefault="00BB2D44">
            <w:pPr>
              <w:jc w:val="right"/>
              <w:textAlignment w:val="bottom"/>
            </w:pPr>
            <w:r>
              <w:rPr>
                <w:rFonts w:ascii="Times New Roman" w:eastAsia="宋体" w:hAnsi="Times New Roman"/>
                <w:color w:val="000000"/>
                <w:sz w:val="20"/>
                <w:szCs w:val="20"/>
              </w:rPr>
              <w:t>4,831 </w:t>
            </w:r>
          </w:p>
        </w:tc>
        <w:tc>
          <w:tcPr>
            <w:tcW w:w="0" w:type="auto"/>
            <w:shd w:val="clear" w:color="auto" w:fill="CCEEFF"/>
            <w:tcMar>
              <w:top w:w="40" w:type="dxa"/>
              <w:left w:w="0" w:type="dxa"/>
              <w:bottom w:w="40" w:type="dxa"/>
              <w:right w:w="20" w:type="dxa"/>
            </w:tcMar>
            <w:vAlign w:val="bottom"/>
          </w:tcPr>
          <w:p w14:paraId="7B6704D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D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4D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4D9" w14:textId="77777777" w:rsidR="0040300B" w:rsidRDefault="00BB2D44">
            <w:pPr>
              <w:jc w:val="right"/>
              <w:textAlignment w:val="bottom"/>
            </w:pPr>
            <w:r>
              <w:rPr>
                <w:rFonts w:ascii="Times New Roman" w:eastAsia="宋体" w:hAnsi="Times New Roman"/>
                <w:color w:val="000000"/>
                <w:sz w:val="20"/>
                <w:szCs w:val="20"/>
              </w:rPr>
              <w:t>4,828 </w:t>
            </w:r>
          </w:p>
        </w:tc>
        <w:tc>
          <w:tcPr>
            <w:tcW w:w="0" w:type="auto"/>
            <w:shd w:val="clear" w:color="auto" w:fill="CCEEFF"/>
            <w:tcMar>
              <w:top w:w="40" w:type="dxa"/>
              <w:left w:w="0" w:type="dxa"/>
              <w:bottom w:w="40" w:type="dxa"/>
              <w:right w:w="20" w:type="dxa"/>
            </w:tcMar>
            <w:vAlign w:val="bottom"/>
          </w:tcPr>
          <w:p w14:paraId="7B6704D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D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4D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4DD" w14:textId="77777777" w:rsidR="0040300B" w:rsidRDefault="00BB2D44">
            <w:pPr>
              <w:jc w:val="right"/>
              <w:textAlignment w:val="bottom"/>
            </w:pPr>
            <w:r>
              <w:rPr>
                <w:rFonts w:ascii="Times New Roman" w:eastAsia="宋体" w:hAnsi="Times New Roman"/>
                <w:color w:val="000000"/>
                <w:sz w:val="20"/>
                <w:szCs w:val="20"/>
              </w:rPr>
              <w:t>14,383 </w:t>
            </w:r>
          </w:p>
        </w:tc>
        <w:tc>
          <w:tcPr>
            <w:tcW w:w="0" w:type="auto"/>
            <w:shd w:val="clear" w:color="auto" w:fill="CCEEFF"/>
            <w:tcMar>
              <w:top w:w="40" w:type="dxa"/>
              <w:left w:w="0" w:type="dxa"/>
              <w:bottom w:w="40" w:type="dxa"/>
              <w:right w:w="20" w:type="dxa"/>
            </w:tcMar>
            <w:vAlign w:val="bottom"/>
          </w:tcPr>
          <w:p w14:paraId="7B6704D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DF"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4E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4E1" w14:textId="77777777" w:rsidR="0040300B" w:rsidRDefault="00BB2D44">
            <w:pPr>
              <w:jc w:val="right"/>
              <w:textAlignment w:val="bottom"/>
            </w:pPr>
            <w:r>
              <w:rPr>
                <w:rFonts w:ascii="Times New Roman" w:eastAsia="宋体" w:hAnsi="Times New Roman"/>
                <w:color w:val="000000"/>
                <w:sz w:val="20"/>
                <w:szCs w:val="20"/>
              </w:rPr>
              <w:t>14,836 </w:t>
            </w:r>
          </w:p>
        </w:tc>
        <w:tc>
          <w:tcPr>
            <w:tcW w:w="0" w:type="auto"/>
            <w:shd w:val="clear" w:color="auto" w:fill="CCEEFF"/>
            <w:tcMar>
              <w:top w:w="40" w:type="dxa"/>
              <w:left w:w="0" w:type="dxa"/>
              <w:bottom w:w="40" w:type="dxa"/>
              <w:right w:w="20" w:type="dxa"/>
            </w:tcMar>
            <w:vAlign w:val="bottom"/>
          </w:tcPr>
          <w:p w14:paraId="7B6704E2" w14:textId="77777777" w:rsidR="0040300B" w:rsidRDefault="0040300B">
            <w:pPr>
              <w:jc w:val="right"/>
              <w:rPr>
                <w:rFonts w:ascii="宋体"/>
              </w:rPr>
            </w:pPr>
          </w:p>
        </w:tc>
      </w:tr>
      <w:tr w:rsidR="0040300B" w14:paraId="7B6704F0" w14:textId="77777777">
        <w:tc>
          <w:tcPr>
            <w:tcW w:w="0" w:type="auto"/>
            <w:gridSpan w:val="3"/>
            <w:shd w:val="clear" w:color="auto" w:fill="auto"/>
            <w:tcMar>
              <w:top w:w="40" w:type="dxa"/>
              <w:left w:w="380" w:type="dxa"/>
              <w:bottom w:w="40" w:type="dxa"/>
              <w:right w:w="20" w:type="dxa"/>
            </w:tcMar>
          </w:tcPr>
          <w:p w14:paraId="7B6704E4" w14:textId="77777777" w:rsidR="0040300B" w:rsidRDefault="00BB2D44">
            <w:pPr>
              <w:textAlignment w:val="top"/>
            </w:pPr>
            <w:r>
              <w:rPr>
                <w:rFonts w:ascii="Times New Roman" w:eastAsia="宋体" w:hAnsi="Times New Roman"/>
                <w:color w:val="000000"/>
                <w:sz w:val="20"/>
                <w:szCs w:val="20"/>
              </w:rPr>
              <w:t>EMEA</w:t>
            </w:r>
          </w:p>
        </w:tc>
        <w:tc>
          <w:tcPr>
            <w:tcW w:w="0" w:type="auto"/>
            <w:gridSpan w:val="2"/>
            <w:shd w:val="clear" w:color="auto" w:fill="auto"/>
            <w:tcMar>
              <w:top w:w="40" w:type="dxa"/>
              <w:left w:w="20" w:type="dxa"/>
              <w:bottom w:w="40" w:type="dxa"/>
              <w:right w:w="0" w:type="dxa"/>
            </w:tcMar>
            <w:vAlign w:val="bottom"/>
          </w:tcPr>
          <w:p w14:paraId="7B6704E5" w14:textId="77777777" w:rsidR="0040300B" w:rsidRDefault="00BB2D44">
            <w:pPr>
              <w:jc w:val="right"/>
              <w:textAlignment w:val="bottom"/>
            </w:pPr>
            <w:r>
              <w:rPr>
                <w:rFonts w:ascii="Times New Roman" w:eastAsia="宋体" w:hAnsi="Times New Roman"/>
                <w:color w:val="000000"/>
                <w:sz w:val="20"/>
                <w:szCs w:val="20"/>
              </w:rPr>
              <w:t>2,283 </w:t>
            </w:r>
          </w:p>
        </w:tc>
        <w:tc>
          <w:tcPr>
            <w:tcW w:w="0" w:type="auto"/>
            <w:shd w:val="clear" w:color="auto" w:fill="auto"/>
            <w:tcMar>
              <w:top w:w="40" w:type="dxa"/>
              <w:left w:w="0" w:type="dxa"/>
              <w:bottom w:w="40" w:type="dxa"/>
              <w:right w:w="20" w:type="dxa"/>
            </w:tcMar>
            <w:vAlign w:val="bottom"/>
          </w:tcPr>
          <w:p w14:paraId="7B6704E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E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E8" w14:textId="77777777" w:rsidR="0040300B" w:rsidRDefault="00BB2D44">
            <w:pPr>
              <w:jc w:val="right"/>
              <w:textAlignment w:val="bottom"/>
            </w:pPr>
            <w:r>
              <w:rPr>
                <w:rFonts w:ascii="Times New Roman" w:eastAsia="宋体" w:hAnsi="Times New Roman"/>
                <w:color w:val="000000"/>
                <w:sz w:val="20"/>
                <w:szCs w:val="20"/>
              </w:rPr>
              <w:t>2,061 </w:t>
            </w:r>
          </w:p>
        </w:tc>
        <w:tc>
          <w:tcPr>
            <w:tcW w:w="0" w:type="auto"/>
            <w:shd w:val="clear" w:color="auto" w:fill="auto"/>
            <w:tcMar>
              <w:top w:w="40" w:type="dxa"/>
              <w:left w:w="0" w:type="dxa"/>
              <w:bottom w:w="40" w:type="dxa"/>
              <w:right w:w="20" w:type="dxa"/>
            </w:tcMar>
            <w:vAlign w:val="bottom"/>
          </w:tcPr>
          <w:p w14:paraId="7B6704E9"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EA"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EB" w14:textId="77777777" w:rsidR="0040300B" w:rsidRDefault="00BB2D44">
            <w:pPr>
              <w:jc w:val="right"/>
              <w:textAlignment w:val="bottom"/>
            </w:pPr>
            <w:r>
              <w:rPr>
                <w:rFonts w:ascii="Times New Roman" w:eastAsia="宋体" w:hAnsi="Times New Roman"/>
                <w:color w:val="000000"/>
                <w:sz w:val="20"/>
                <w:szCs w:val="20"/>
              </w:rPr>
              <w:t>6,322 </w:t>
            </w:r>
          </w:p>
        </w:tc>
        <w:tc>
          <w:tcPr>
            <w:tcW w:w="0" w:type="auto"/>
            <w:shd w:val="clear" w:color="auto" w:fill="auto"/>
            <w:tcMar>
              <w:top w:w="40" w:type="dxa"/>
              <w:left w:w="0" w:type="dxa"/>
              <w:bottom w:w="40" w:type="dxa"/>
              <w:right w:w="20" w:type="dxa"/>
            </w:tcMar>
            <w:vAlign w:val="bottom"/>
          </w:tcPr>
          <w:p w14:paraId="7B6704EC"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4ED"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04EE" w14:textId="77777777" w:rsidR="0040300B" w:rsidRDefault="00BB2D44">
            <w:pPr>
              <w:jc w:val="right"/>
              <w:textAlignment w:val="bottom"/>
            </w:pPr>
            <w:r>
              <w:rPr>
                <w:rFonts w:ascii="Times New Roman" w:eastAsia="宋体" w:hAnsi="Times New Roman"/>
                <w:color w:val="000000"/>
                <w:sz w:val="20"/>
                <w:szCs w:val="20"/>
              </w:rPr>
              <w:t>6,289 </w:t>
            </w:r>
          </w:p>
        </w:tc>
        <w:tc>
          <w:tcPr>
            <w:tcW w:w="0" w:type="auto"/>
            <w:shd w:val="clear" w:color="auto" w:fill="auto"/>
            <w:tcMar>
              <w:top w:w="40" w:type="dxa"/>
              <w:left w:w="0" w:type="dxa"/>
              <w:bottom w:w="40" w:type="dxa"/>
              <w:right w:w="20" w:type="dxa"/>
            </w:tcMar>
            <w:vAlign w:val="bottom"/>
          </w:tcPr>
          <w:p w14:paraId="7B6704EF" w14:textId="77777777" w:rsidR="0040300B" w:rsidRDefault="0040300B">
            <w:pPr>
              <w:jc w:val="right"/>
              <w:rPr>
                <w:rFonts w:ascii="宋体"/>
              </w:rPr>
            </w:pPr>
          </w:p>
        </w:tc>
      </w:tr>
      <w:tr w:rsidR="0040300B" w14:paraId="7B6704FD" w14:textId="77777777">
        <w:tc>
          <w:tcPr>
            <w:tcW w:w="0" w:type="auto"/>
            <w:gridSpan w:val="3"/>
            <w:shd w:val="clear" w:color="auto" w:fill="CCEEFF"/>
            <w:tcMar>
              <w:top w:w="40" w:type="dxa"/>
              <w:left w:w="380" w:type="dxa"/>
              <w:bottom w:w="40" w:type="dxa"/>
              <w:right w:w="20" w:type="dxa"/>
            </w:tcMar>
          </w:tcPr>
          <w:p w14:paraId="7B6704F1" w14:textId="77777777" w:rsidR="0040300B" w:rsidRDefault="00BB2D44">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7B6704F2" w14:textId="77777777" w:rsidR="0040300B" w:rsidRDefault="00BB2D44">
            <w:pPr>
              <w:jc w:val="right"/>
              <w:textAlignment w:val="bottom"/>
            </w:pPr>
            <w:r>
              <w:rPr>
                <w:rFonts w:ascii="Times New Roman" w:eastAsia="宋体" w:hAnsi="Times New Roman"/>
                <w:color w:val="000000"/>
                <w:sz w:val="20"/>
                <w:szCs w:val="20"/>
              </w:rPr>
              <w:t>1,331 </w:t>
            </w:r>
          </w:p>
        </w:tc>
        <w:tc>
          <w:tcPr>
            <w:tcW w:w="0" w:type="auto"/>
            <w:shd w:val="clear" w:color="auto" w:fill="CCEEFF"/>
            <w:tcMar>
              <w:top w:w="40" w:type="dxa"/>
              <w:left w:w="0" w:type="dxa"/>
              <w:bottom w:w="40" w:type="dxa"/>
              <w:right w:w="20" w:type="dxa"/>
            </w:tcMar>
            <w:vAlign w:val="bottom"/>
          </w:tcPr>
          <w:p w14:paraId="7B6704F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F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F5" w14:textId="77777777" w:rsidR="0040300B" w:rsidRDefault="00BB2D44">
            <w:pPr>
              <w:jc w:val="right"/>
              <w:textAlignment w:val="bottom"/>
            </w:pPr>
            <w:r>
              <w:rPr>
                <w:rFonts w:ascii="Times New Roman" w:eastAsia="宋体" w:hAnsi="Times New Roman"/>
                <w:color w:val="000000"/>
                <w:sz w:val="20"/>
                <w:szCs w:val="20"/>
              </w:rPr>
              <w:t>1,098 </w:t>
            </w:r>
          </w:p>
        </w:tc>
        <w:tc>
          <w:tcPr>
            <w:tcW w:w="0" w:type="auto"/>
            <w:shd w:val="clear" w:color="auto" w:fill="CCEEFF"/>
            <w:tcMar>
              <w:top w:w="40" w:type="dxa"/>
              <w:left w:w="0" w:type="dxa"/>
              <w:bottom w:w="40" w:type="dxa"/>
              <w:right w:w="20" w:type="dxa"/>
            </w:tcMar>
            <w:vAlign w:val="bottom"/>
          </w:tcPr>
          <w:p w14:paraId="7B6704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F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F8" w14:textId="77777777" w:rsidR="0040300B" w:rsidRDefault="00BB2D44">
            <w:pPr>
              <w:jc w:val="right"/>
              <w:textAlignment w:val="bottom"/>
            </w:pPr>
            <w:r>
              <w:rPr>
                <w:rFonts w:ascii="Times New Roman" w:eastAsia="宋体" w:hAnsi="Times New Roman"/>
                <w:color w:val="000000"/>
                <w:sz w:val="20"/>
                <w:szCs w:val="20"/>
              </w:rPr>
              <w:t>3,599 </w:t>
            </w:r>
          </w:p>
        </w:tc>
        <w:tc>
          <w:tcPr>
            <w:tcW w:w="0" w:type="auto"/>
            <w:shd w:val="clear" w:color="auto" w:fill="CCEEFF"/>
            <w:tcMar>
              <w:top w:w="40" w:type="dxa"/>
              <w:left w:w="0" w:type="dxa"/>
              <w:bottom w:w="40" w:type="dxa"/>
              <w:right w:w="20" w:type="dxa"/>
            </w:tcMar>
            <w:vAlign w:val="bottom"/>
          </w:tcPr>
          <w:p w14:paraId="7B6704F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4F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4FB" w14:textId="77777777" w:rsidR="0040300B" w:rsidRDefault="00BB2D44">
            <w:pPr>
              <w:jc w:val="right"/>
              <w:textAlignment w:val="bottom"/>
            </w:pPr>
            <w:r>
              <w:rPr>
                <w:rFonts w:ascii="Times New Roman" w:eastAsia="宋体" w:hAnsi="Times New Roman"/>
                <w:color w:val="000000"/>
                <w:sz w:val="20"/>
                <w:szCs w:val="20"/>
              </w:rPr>
              <w:t>3,511 </w:t>
            </w:r>
          </w:p>
        </w:tc>
        <w:tc>
          <w:tcPr>
            <w:tcW w:w="0" w:type="auto"/>
            <w:shd w:val="clear" w:color="auto" w:fill="CCEEFF"/>
            <w:tcMar>
              <w:top w:w="40" w:type="dxa"/>
              <w:left w:w="0" w:type="dxa"/>
              <w:bottom w:w="40" w:type="dxa"/>
              <w:right w:w="20" w:type="dxa"/>
            </w:tcMar>
            <w:vAlign w:val="bottom"/>
          </w:tcPr>
          <w:p w14:paraId="7B6704FC" w14:textId="77777777" w:rsidR="0040300B" w:rsidRDefault="0040300B">
            <w:pPr>
              <w:jc w:val="right"/>
              <w:rPr>
                <w:rFonts w:ascii="宋体"/>
              </w:rPr>
            </w:pPr>
          </w:p>
        </w:tc>
      </w:tr>
      <w:tr w:rsidR="0040300B" w14:paraId="7B67050A" w14:textId="77777777">
        <w:tc>
          <w:tcPr>
            <w:tcW w:w="0" w:type="auto"/>
            <w:gridSpan w:val="3"/>
            <w:shd w:val="clear" w:color="auto" w:fill="auto"/>
            <w:tcMar>
              <w:top w:w="40" w:type="dxa"/>
              <w:left w:w="740" w:type="dxa"/>
              <w:bottom w:w="40" w:type="dxa"/>
              <w:right w:w="20" w:type="dxa"/>
            </w:tcMar>
          </w:tcPr>
          <w:p w14:paraId="7B6704FE" w14:textId="77777777" w:rsidR="0040300B" w:rsidRDefault="00BB2D44">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B6704FF" w14:textId="77777777" w:rsidR="0040300B" w:rsidRDefault="00BB2D44">
            <w:pPr>
              <w:jc w:val="right"/>
              <w:textAlignment w:val="bottom"/>
            </w:pPr>
            <w:r>
              <w:rPr>
                <w:rFonts w:ascii="Times New Roman" w:eastAsia="宋体" w:hAnsi="Times New Roman"/>
                <w:color w:val="000000"/>
                <w:sz w:val="20"/>
                <w:szCs w:val="20"/>
              </w:rPr>
              <w:t>8,445 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500"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01" w14:textId="77777777" w:rsidR="0040300B" w:rsidRDefault="0040300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B670502" w14:textId="77777777" w:rsidR="0040300B" w:rsidRDefault="00BB2D44">
            <w:pPr>
              <w:jc w:val="right"/>
              <w:textAlignment w:val="bottom"/>
            </w:pPr>
            <w:r>
              <w:rPr>
                <w:rFonts w:ascii="Times New Roman" w:eastAsia="宋体" w:hAnsi="Times New Roman"/>
                <w:color w:val="000000"/>
                <w:sz w:val="20"/>
                <w:szCs w:val="20"/>
              </w:rPr>
              <w:t>7,986 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50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04" w14:textId="77777777" w:rsidR="0040300B" w:rsidRDefault="0040300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B670505" w14:textId="77777777" w:rsidR="0040300B" w:rsidRDefault="00BB2D44">
            <w:pPr>
              <w:jc w:val="right"/>
              <w:textAlignment w:val="bottom"/>
            </w:pPr>
            <w:r>
              <w:rPr>
                <w:rFonts w:ascii="Times New Roman" w:eastAsia="宋体" w:hAnsi="Times New Roman"/>
                <w:color w:val="000000"/>
                <w:sz w:val="20"/>
                <w:szCs w:val="20"/>
              </w:rPr>
              <w:t>24,303 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50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07" w14:textId="77777777" w:rsidR="0040300B" w:rsidRDefault="0040300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7B670508" w14:textId="77777777" w:rsidR="0040300B" w:rsidRDefault="00BB2D44">
            <w:pPr>
              <w:jc w:val="right"/>
              <w:textAlignment w:val="bottom"/>
            </w:pPr>
            <w:r>
              <w:rPr>
                <w:rFonts w:ascii="Times New Roman" w:eastAsia="宋体" w:hAnsi="Times New Roman"/>
                <w:color w:val="000000"/>
                <w:sz w:val="20"/>
                <w:szCs w:val="20"/>
              </w:rPr>
              <w:t>24,636 </w:t>
            </w:r>
          </w:p>
        </w:tc>
        <w:tc>
          <w:tcPr>
            <w:tcW w:w="0" w:type="auto"/>
            <w:tcBorders>
              <w:top w:val="single" w:sz="8" w:space="0" w:color="000000"/>
            </w:tcBorders>
            <w:shd w:val="clear" w:color="auto" w:fill="auto"/>
            <w:tcMar>
              <w:top w:w="40" w:type="dxa"/>
              <w:left w:w="0" w:type="dxa"/>
              <w:bottom w:w="40" w:type="dxa"/>
              <w:right w:w="20" w:type="dxa"/>
            </w:tcMar>
            <w:vAlign w:val="bottom"/>
          </w:tcPr>
          <w:p w14:paraId="7B670509" w14:textId="77777777" w:rsidR="0040300B" w:rsidRDefault="0040300B">
            <w:pPr>
              <w:jc w:val="right"/>
              <w:rPr>
                <w:rFonts w:ascii="宋体"/>
              </w:rPr>
            </w:pPr>
          </w:p>
        </w:tc>
      </w:tr>
      <w:tr w:rsidR="0040300B" w14:paraId="7B670517" w14:textId="77777777">
        <w:tc>
          <w:tcPr>
            <w:tcW w:w="0" w:type="auto"/>
            <w:gridSpan w:val="3"/>
            <w:shd w:val="clear" w:color="auto" w:fill="CCEEFF"/>
            <w:tcMar>
              <w:top w:w="40" w:type="dxa"/>
              <w:left w:w="20" w:type="dxa"/>
              <w:bottom w:w="40" w:type="dxa"/>
              <w:right w:w="20" w:type="dxa"/>
            </w:tcMar>
            <w:vAlign w:val="bottom"/>
          </w:tcPr>
          <w:p w14:paraId="7B67050B" w14:textId="77777777" w:rsidR="0040300B" w:rsidRDefault="00BB2D44">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50C" w14:textId="77777777" w:rsidR="0040300B" w:rsidRDefault="00BB2D44">
            <w:pPr>
              <w:jc w:val="right"/>
              <w:textAlignment w:val="bottom"/>
            </w:pPr>
            <w:r>
              <w:rPr>
                <w:rFonts w:ascii="Times New Roman" w:eastAsia="宋体" w:hAnsi="Times New Roman"/>
                <w:color w:val="000000"/>
                <w:sz w:val="20"/>
                <w:szCs w:val="20"/>
              </w:rPr>
              <w:t>(260)</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0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0E"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50F" w14:textId="77777777" w:rsidR="0040300B" w:rsidRDefault="00BB2D44">
            <w:pPr>
              <w:jc w:val="right"/>
              <w:textAlignment w:val="bottom"/>
            </w:pPr>
            <w:r>
              <w:rPr>
                <w:rFonts w:ascii="Times New Roman" w:eastAsia="宋体" w:hAnsi="Times New Roman"/>
                <w:color w:val="000000"/>
                <w:sz w:val="20"/>
                <w:szCs w:val="20"/>
              </w:rPr>
              <w:t>(215)</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1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1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512" w14:textId="77777777" w:rsidR="0040300B" w:rsidRDefault="00BB2D44">
            <w:pPr>
              <w:jc w:val="right"/>
              <w:textAlignment w:val="bottom"/>
            </w:pPr>
            <w:r>
              <w:rPr>
                <w:rFonts w:ascii="Times New Roman" w:eastAsia="宋体" w:hAnsi="Times New Roman"/>
                <w:color w:val="000000"/>
                <w:sz w:val="20"/>
                <w:szCs w:val="20"/>
              </w:rPr>
              <w:t>(753)</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1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14"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515" w14:textId="77777777" w:rsidR="0040300B" w:rsidRDefault="00BB2D44">
            <w:pPr>
              <w:jc w:val="right"/>
              <w:textAlignment w:val="bottom"/>
            </w:pPr>
            <w:r>
              <w:rPr>
                <w:rFonts w:ascii="Times New Roman" w:eastAsia="宋体" w:hAnsi="Times New Roman"/>
                <w:color w:val="000000"/>
                <w:sz w:val="20"/>
                <w:szCs w:val="20"/>
              </w:rPr>
              <w:t>(637)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16" w14:textId="77777777" w:rsidR="0040300B" w:rsidRDefault="0040300B">
            <w:pPr>
              <w:jc w:val="right"/>
              <w:rPr>
                <w:rFonts w:ascii="宋体"/>
              </w:rPr>
            </w:pPr>
          </w:p>
        </w:tc>
      </w:tr>
      <w:tr w:rsidR="0040300B" w14:paraId="7B670528" w14:textId="77777777">
        <w:tc>
          <w:tcPr>
            <w:tcW w:w="0" w:type="auto"/>
            <w:gridSpan w:val="3"/>
            <w:shd w:val="clear" w:color="auto" w:fill="auto"/>
            <w:tcMar>
              <w:top w:w="40" w:type="dxa"/>
              <w:left w:w="740" w:type="dxa"/>
              <w:bottom w:w="40" w:type="dxa"/>
              <w:right w:w="20" w:type="dxa"/>
            </w:tcMar>
          </w:tcPr>
          <w:p w14:paraId="7B670518"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7051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7051A" w14:textId="77777777" w:rsidR="0040300B" w:rsidRDefault="00BB2D44">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7051B"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1C"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7051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7051E" w14:textId="77777777" w:rsidR="0040300B" w:rsidRDefault="00BB2D44">
            <w:pPr>
              <w:jc w:val="right"/>
              <w:textAlignment w:val="bottom"/>
            </w:pPr>
            <w:r>
              <w:rPr>
                <w:rFonts w:ascii="Times New Roman" w:eastAsia="宋体" w:hAnsi="Times New Roman"/>
                <w:color w:val="000000"/>
                <w:sz w:val="20"/>
                <w:szCs w:val="20"/>
              </w:rPr>
              <w:t>7,771 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7051F"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20"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7052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70522" w14:textId="77777777" w:rsidR="0040300B" w:rsidRDefault="00BB2D44">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7052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0524" w14:textId="77777777" w:rsidR="0040300B" w:rsidRDefault="0040300B">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B67052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B670526" w14:textId="77777777" w:rsidR="0040300B" w:rsidRDefault="00BB2D44">
            <w:pPr>
              <w:jc w:val="right"/>
              <w:textAlignment w:val="bottom"/>
            </w:pPr>
            <w:r>
              <w:rPr>
                <w:rFonts w:ascii="Times New Roman" w:eastAsia="宋体" w:hAnsi="Times New Roman"/>
                <w:color w:val="000000"/>
                <w:sz w:val="20"/>
                <w:szCs w:val="20"/>
              </w:rPr>
              <w:t>23,999 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B670527" w14:textId="77777777" w:rsidR="0040300B" w:rsidRDefault="0040300B">
            <w:pPr>
              <w:jc w:val="right"/>
              <w:rPr>
                <w:rFonts w:ascii="宋体"/>
              </w:rPr>
            </w:pPr>
          </w:p>
        </w:tc>
      </w:tr>
    </w:tbl>
    <w:p w14:paraId="7B670529" w14:textId="77777777" w:rsidR="0040300B" w:rsidRDefault="00BB2D44">
      <w:pPr>
        <w:spacing w:before="120"/>
        <w:jc w:val="both"/>
      </w:pPr>
      <w:r>
        <w:rPr>
          <w:rFonts w:ascii="Times New Roman" w:eastAsia="宋体" w:hAnsi="Times New Roman"/>
          <w:color w:val="000000"/>
          <w:sz w:val="20"/>
          <w:szCs w:val="20"/>
        </w:rPr>
        <w:t>Amounts may not sum and percentages may not recalculate due to rounding.</w:t>
      </w:r>
    </w:p>
    <w:p w14:paraId="7B67052A" w14:textId="77777777" w:rsidR="0040300B" w:rsidRDefault="00BB2D44">
      <w:pPr>
        <w:spacing w:before="120"/>
        <w:jc w:val="both"/>
      </w:pPr>
      <w:r>
        <w:rPr>
          <w:rFonts w:ascii="Times New Roman" w:eastAsia="宋体" w:hAnsi="Times New Roman"/>
          <w:color w:val="000000"/>
          <w:sz w:val="20"/>
          <w:szCs w:val="20"/>
        </w:rPr>
        <w:t xml:space="preserve">Revenue in the United States was $6.4 billion and $6.3 billion for the third quarter of fiscal 2021 and 2020, respectively, and $19.1 billion and </w:t>
      </w:r>
      <w:r>
        <w:rPr>
          <w:rFonts w:ascii="Times New Roman" w:eastAsia="宋体" w:hAnsi="Times New Roman"/>
          <w:color w:val="000000"/>
          <w:sz w:val="20"/>
          <w:szCs w:val="20"/>
        </w:rPr>
        <w:t>$19.7 billion for the first nine months of fiscal 2021 and 2020, respectively.</w:t>
      </w:r>
    </w:p>
    <w:p w14:paraId="7B67052B" w14:textId="77777777" w:rsidR="0040300B" w:rsidRDefault="00BB2D44">
      <w:pPr>
        <w:jc w:val="center"/>
      </w:pPr>
      <w:r>
        <w:rPr>
          <w:rFonts w:ascii="Times New Roman" w:eastAsia="宋体" w:hAnsi="Times New Roman"/>
          <w:color w:val="000000"/>
          <w:sz w:val="20"/>
          <w:szCs w:val="20"/>
        </w:rPr>
        <w:t>41</w:t>
      </w:r>
    </w:p>
    <w:p w14:paraId="7B67052C" w14:textId="77777777" w:rsidR="0040300B" w:rsidRDefault="00BB2D44">
      <w:r>
        <w:pict w14:anchorId="7B671C39">
          <v:rect id="_x0000_i1065" style="width:415.3pt;height:1.5pt" o:hralign="center" o:hrstd="t" o:hr="t" fillcolor="#a0a0a0" stroked="f"/>
        </w:pict>
      </w:r>
    </w:p>
    <w:p w14:paraId="7B67052D" w14:textId="77777777" w:rsidR="0040300B" w:rsidRDefault="00BB2D44">
      <w:hyperlink r:id="rId87" w:anchor="i52d5b40dbad7426a9806a2fd5167029f_7" w:history="1">
        <w:r>
          <w:rPr>
            <w:rStyle w:val="a5"/>
            <w:rFonts w:ascii="Times New Roman" w:eastAsia="宋体" w:hAnsi="Times New Roman"/>
            <w:sz w:val="18"/>
            <w:szCs w:val="18"/>
          </w:rPr>
          <w:t>Table of Contents</w:t>
        </w:r>
      </w:hyperlink>
    </w:p>
    <w:p w14:paraId="7B67052E" w14:textId="77777777" w:rsidR="0040300B" w:rsidRDefault="00BB2D44">
      <w:pPr>
        <w:jc w:val="center"/>
      </w:pPr>
      <w:r>
        <w:rPr>
          <w:rFonts w:ascii="Times New Roman" w:eastAsia="宋体" w:hAnsi="Times New Roman"/>
          <w:b/>
          <w:bCs/>
          <w:color w:val="000000"/>
          <w:sz w:val="18"/>
          <w:szCs w:val="18"/>
        </w:rPr>
        <w:t>CISCO</w:t>
      </w:r>
      <w:r>
        <w:rPr>
          <w:rFonts w:ascii="Times New Roman" w:eastAsia="宋体" w:hAnsi="Times New Roman"/>
          <w:b/>
          <w:bCs/>
          <w:color w:val="000000"/>
          <w:sz w:val="18"/>
          <w:szCs w:val="18"/>
        </w:rPr>
        <w:t xml:space="preserve"> SYSTEMS, INC.</w:t>
      </w:r>
    </w:p>
    <w:p w14:paraId="7B67052F" w14:textId="77777777" w:rsidR="0040300B" w:rsidRDefault="00BB2D44">
      <w:pPr>
        <w:jc w:val="center"/>
      </w:pPr>
      <w:r>
        <w:rPr>
          <w:rFonts w:ascii="Times New Roman" w:eastAsia="宋体" w:hAnsi="Times New Roman"/>
          <w:b/>
          <w:bCs/>
          <w:color w:val="000000"/>
          <w:sz w:val="18"/>
          <w:szCs w:val="18"/>
        </w:rPr>
        <w:t>NOTES TO CONSOLIDATED FINANCIAL STATEMENTS (Continued)</w:t>
      </w:r>
    </w:p>
    <w:p w14:paraId="7B670530" w14:textId="77777777" w:rsidR="0040300B" w:rsidRDefault="00BB2D44">
      <w:pPr>
        <w:jc w:val="center"/>
      </w:pPr>
      <w:r>
        <w:rPr>
          <w:rFonts w:ascii="Times New Roman" w:eastAsia="宋体" w:hAnsi="Times New Roman"/>
          <w:b/>
          <w:bCs/>
          <w:color w:val="000000"/>
          <w:sz w:val="18"/>
          <w:szCs w:val="18"/>
        </w:rPr>
        <w:t xml:space="preserve">(Unaudited) </w:t>
      </w:r>
    </w:p>
    <w:p w14:paraId="7B670531" w14:textId="77777777" w:rsidR="0040300B" w:rsidRDefault="0040300B">
      <w:pPr>
        <w:jc w:val="center"/>
      </w:pPr>
    </w:p>
    <w:p w14:paraId="7B670532" w14:textId="77777777" w:rsidR="0040300B" w:rsidRDefault="0040300B">
      <w:pPr>
        <w:spacing w:before="120"/>
        <w:jc w:val="both"/>
      </w:pPr>
    </w:p>
    <w:p w14:paraId="7B670533" w14:textId="77777777" w:rsidR="0040300B" w:rsidRDefault="00BB2D44">
      <w:pPr>
        <w:spacing w:before="120"/>
        <w:ind w:hanging="360"/>
        <w:jc w:val="both"/>
      </w:pPr>
      <w:r>
        <w:rPr>
          <w:rFonts w:ascii="Times New Roman" w:eastAsia="宋体" w:hAnsi="Times New Roman"/>
          <w:b/>
          <w:bCs/>
          <w:color w:val="000000"/>
          <w:sz w:val="20"/>
          <w:szCs w:val="20"/>
        </w:rPr>
        <w:t>(b)Revenue for Groups of Similar Products and Services</w:t>
      </w:r>
    </w:p>
    <w:p w14:paraId="7B670534" w14:textId="77777777" w:rsidR="0040300B" w:rsidRDefault="00BB2D44">
      <w:pPr>
        <w:spacing w:before="120"/>
        <w:jc w:val="both"/>
      </w:pPr>
      <w:r>
        <w:rPr>
          <w:rFonts w:ascii="Times New Roman" w:eastAsia="宋体" w:hAnsi="Times New Roman"/>
          <w:color w:val="000000"/>
          <w:sz w:val="20"/>
          <w:szCs w:val="20"/>
        </w:rPr>
        <w:t xml:space="preserve">We design and sell Internet Protocol (IP)-based networking and other products related to the communications and IT industry and provide services associated with these products and their use. </w:t>
      </w:r>
    </w:p>
    <w:p w14:paraId="7B670535" w14:textId="77777777" w:rsidR="0040300B" w:rsidRDefault="00BB2D44">
      <w:pPr>
        <w:spacing w:before="120"/>
      </w:pPr>
      <w:r>
        <w:rPr>
          <w:rFonts w:ascii="Times New Roman" w:eastAsia="宋体" w:hAnsi="Times New Roman"/>
          <w:color w:val="000000"/>
          <w:sz w:val="20"/>
          <w:szCs w:val="20"/>
        </w:rPr>
        <w:t>The following table presents revenue for groups of similar produ</w:t>
      </w:r>
      <w:r>
        <w:rPr>
          <w:rFonts w:ascii="Times New Roman" w:eastAsia="宋体" w:hAnsi="Times New Roman"/>
          <w:color w:val="000000"/>
          <w:sz w:val="20"/>
          <w:szCs w:val="20"/>
        </w:rPr>
        <w:t>cts and services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442"/>
        <w:gridCol w:w="37"/>
        <w:gridCol w:w="120"/>
        <w:gridCol w:w="732"/>
        <w:gridCol w:w="36"/>
        <w:gridCol w:w="36"/>
        <w:gridCol w:w="36"/>
        <w:gridCol w:w="36"/>
        <w:gridCol w:w="120"/>
        <w:gridCol w:w="674"/>
        <w:gridCol w:w="36"/>
        <w:gridCol w:w="36"/>
        <w:gridCol w:w="36"/>
        <w:gridCol w:w="36"/>
        <w:gridCol w:w="120"/>
        <w:gridCol w:w="732"/>
        <w:gridCol w:w="36"/>
        <w:gridCol w:w="36"/>
        <w:gridCol w:w="36"/>
        <w:gridCol w:w="36"/>
        <w:gridCol w:w="120"/>
        <w:gridCol w:w="732"/>
        <w:gridCol w:w="36"/>
      </w:tblGrid>
      <w:tr w:rsidR="0040300B" w14:paraId="7B67054E" w14:textId="77777777">
        <w:tc>
          <w:tcPr>
            <w:tcW w:w="50" w:type="pct"/>
            <w:shd w:val="clear" w:color="auto" w:fill="auto"/>
          </w:tcPr>
          <w:p w14:paraId="7B670536" w14:textId="77777777" w:rsidR="0040300B" w:rsidRDefault="0040300B">
            <w:pPr>
              <w:rPr>
                <w:rFonts w:ascii="宋体"/>
              </w:rPr>
            </w:pPr>
          </w:p>
        </w:tc>
        <w:tc>
          <w:tcPr>
            <w:tcW w:w="2715" w:type="pct"/>
            <w:shd w:val="clear" w:color="auto" w:fill="auto"/>
          </w:tcPr>
          <w:p w14:paraId="7B670537" w14:textId="77777777" w:rsidR="0040300B" w:rsidRDefault="0040300B">
            <w:pPr>
              <w:rPr>
                <w:rFonts w:ascii="宋体"/>
              </w:rPr>
            </w:pPr>
          </w:p>
        </w:tc>
        <w:tc>
          <w:tcPr>
            <w:tcW w:w="5" w:type="pct"/>
            <w:shd w:val="clear" w:color="auto" w:fill="auto"/>
          </w:tcPr>
          <w:p w14:paraId="7B670538" w14:textId="77777777" w:rsidR="0040300B" w:rsidRDefault="0040300B">
            <w:pPr>
              <w:rPr>
                <w:rFonts w:ascii="宋体"/>
              </w:rPr>
            </w:pPr>
          </w:p>
        </w:tc>
        <w:tc>
          <w:tcPr>
            <w:tcW w:w="50" w:type="pct"/>
            <w:shd w:val="clear" w:color="auto" w:fill="auto"/>
          </w:tcPr>
          <w:p w14:paraId="7B670539" w14:textId="77777777" w:rsidR="0040300B" w:rsidRDefault="0040300B">
            <w:pPr>
              <w:rPr>
                <w:rFonts w:ascii="宋体"/>
              </w:rPr>
            </w:pPr>
          </w:p>
        </w:tc>
        <w:tc>
          <w:tcPr>
            <w:tcW w:w="478" w:type="pct"/>
            <w:shd w:val="clear" w:color="auto" w:fill="auto"/>
          </w:tcPr>
          <w:p w14:paraId="7B67053A" w14:textId="77777777" w:rsidR="0040300B" w:rsidRDefault="0040300B">
            <w:pPr>
              <w:rPr>
                <w:rFonts w:ascii="宋体"/>
              </w:rPr>
            </w:pPr>
          </w:p>
        </w:tc>
        <w:tc>
          <w:tcPr>
            <w:tcW w:w="5" w:type="pct"/>
            <w:shd w:val="clear" w:color="auto" w:fill="auto"/>
          </w:tcPr>
          <w:p w14:paraId="7B67053B" w14:textId="77777777" w:rsidR="0040300B" w:rsidRDefault="0040300B">
            <w:pPr>
              <w:rPr>
                <w:rFonts w:ascii="宋体"/>
              </w:rPr>
            </w:pPr>
          </w:p>
        </w:tc>
        <w:tc>
          <w:tcPr>
            <w:tcW w:w="5" w:type="pct"/>
            <w:shd w:val="clear" w:color="auto" w:fill="auto"/>
          </w:tcPr>
          <w:p w14:paraId="7B67053C" w14:textId="77777777" w:rsidR="0040300B" w:rsidRDefault="0040300B">
            <w:pPr>
              <w:rPr>
                <w:rFonts w:ascii="宋体"/>
              </w:rPr>
            </w:pPr>
          </w:p>
        </w:tc>
        <w:tc>
          <w:tcPr>
            <w:tcW w:w="26" w:type="pct"/>
            <w:shd w:val="clear" w:color="auto" w:fill="auto"/>
          </w:tcPr>
          <w:p w14:paraId="7B67053D" w14:textId="77777777" w:rsidR="0040300B" w:rsidRDefault="0040300B">
            <w:pPr>
              <w:rPr>
                <w:rFonts w:ascii="宋体"/>
              </w:rPr>
            </w:pPr>
          </w:p>
        </w:tc>
        <w:tc>
          <w:tcPr>
            <w:tcW w:w="5" w:type="pct"/>
            <w:shd w:val="clear" w:color="auto" w:fill="auto"/>
          </w:tcPr>
          <w:p w14:paraId="7B67053E" w14:textId="77777777" w:rsidR="0040300B" w:rsidRDefault="0040300B">
            <w:pPr>
              <w:rPr>
                <w:rFonts w:ascii="宋体"/>
              </w:rPr>
            </w:pPr>
          </w:p>
        </w:tc>
        <w:tc>
          <w:tcPr>
            <w:tcW w:w="50" w:type="pct"/>
            <w:shd w:val="clear" w:color="auto" w:fill="auto"/>
          </w:tcPr>
          <w:p w14:paraId="7B67053F" w14:textId="77777777" w:rsidR="0040300B" w:rsidRDefault="0040300B">
            <w:pPr>
              <w:rPr>
                <w:rFonts w:ascii="宋体"/>
              </w:rPr>
            </w:pPr>
          </w:p>
        </w:tc>
        <w:tc>
          <w:tcPr>
            <w:tcW w:w="478" w:type="pct"/>
            <w:shd w:val="clear" w:color="auto" w:fill="auto"/>
          </w:tcPr>
          <w:p w14:paraId="7B670540" w14:textId="77777777" w:rsidR="0040300B" w:rsidRDefault="0040300B">
            <w:pPr>
              <w:rPr>
                <w:rFonts w:ascii="宋体"/>
              </w:rPr>
            </w:pPr>
          </w:p>
        </w:tc>
        <w:tc>
          <w:tcPr>
            <w:tcW w:w="5" w:type="pct"/>
            <w:shd w:val="clear" w:color="auto" w:fill="auto"/>
          </w:tcPr>
          <w:p w14:paraId="7B670541" w14:textId="77777777" w:rsidR="0040300B" w:rsidRDefault="0040300B">
            <w:pPr>
              <w:rPr>
                <w:rFonts w:ascii="宋体"/>
              </w:rPr>
            </w:pPr>
          </w:p>
        </w:tc>
        <w:tc>
          <w:tcPr>
            <w:tcW w:w="5" w:type="pct"/>
            <w:shd w:val="clear" w:color="auto" w:fill="auto"/>
          </w:tcPr>
          <w:p w14:paraId="7B670542" w14:textId="77777777" w:rsidR="0040300B" w:rsidRDefault="0040300B">
            <w:pPr>
              <w:rPr>
                <w:rFonts w:ascii="宋体"/>
              </w:rPr>
            </w:pPr>
          </w:p>
        </w:tc>
        <w:tc>
          <w:tcPr>
            <w:tcW w:w="19" w:type="pct"/>
            <w:shd w:val="clear" w:color="auto" w:fill="auto"/>
          </w:tcPr>
          <w:p w14:paraId="7B670543" w14:textId="77777777" w:rsidR="0040300B" w:rsidRDefault="0040300B">
            <w:pPr>
              <w:rPr>
                <w:rFonts w:ascii="宋体"/>
              </w:rPr>
            </w:pPr>
          </w:p>
        </w:tc>
        <w:tc>
          <w:tcPr>
            <w:tcW w:w="5" w:type="pct"/>
            <w:shd w:val="clear" w:color="auto" w:fill="auto"/>
          </w:tcPr>
          <w:p w14:paraId="7B670544" w14:textId="77777777" w:rsidR="0040300B" w:rsidRDefault="0040300B">
            <w:pPr>
              <w:rPr>
                <w:rFonts w:ascii="宋体"/>
              </w:rPr>
            </w:pPr>
          </w:p>
        </w:tc>
        <w:tc>
          <w:tcPr>
            <w:tcW w:w="50" w:type="pct"/>
            <w:shd w:val="clear" w:color="auto" w:fill="auto"/>
          </w:tcPr>
          <w:p w14:paraId="7B670545" w14:textId="77777777" w:rsidR="0040300B" w:rsidRDefault="0040300B">
            <w:pPr>
              <w:rPr>
                <w:rFonts w:ascii="宋体"/>
              </w:rPr>
            </w:pPr>
          </w:p>
        </w:tc>
        <w:tc>
          <w:tcPr>
            <w:tcW w:w="478" w:type="pct"/>
            <w:shd w:val="clear" w:color="auto" w:fill="auto"/>
          </w:tcPr>
          <w:p w14:paraId="7B670546" w14:textId="77777777" w:rsidR="0040300B" w:rsidRDefault="0040300B">
            <w:pPr>
              <w:rPr>
                <w:rFonts w:ascii="宋体"/>
              </w:rPr>
            </w:pPr>
          </w:p>
        </w:tc>
        <w:tc>
          <w:tcPr>
            <w:tcW w:w="5" w:type="pct"/>
            <w:shd w:val="clear" w:color="auto" w:fill="auto"/>
          </w:tcPr>
          <w:p w14:paraId="7B670547" w14:textId="77777777" w:rsidR="0040300B" w:rsidRDefault="0040300B">
            <w:pPr>
              <w:rPr>
                <w:rFonts w:ascii="宋体"/>
              </w:rPr>
            </w:pPr>
          </w:p>
        </w:tc>
        <w:tc>
          <w:tcPr>
            <w:tcW w:w="5" w:type="pct"/>
            <w:shd w:val="clear" w:color="auto" w:fill="auto"/>
          </w:tcPr>
          <w:p w14:paraId="7B670548" w14:textId="77777777" w:rsidR="0040300B" w:rsidRDefault="0040300B">
            <w:pPr>
              <w:rPr>
                <w:rFonts w:ascii="宋体"/>
              </w:rPr>
            </w:pPr>
          </w:p>
        </w:tc>
        <w:tc>
          <w:tcPr>
            <w:tcW w:w="19" w:type="pct"/>
            <w:shd w:val="clear" w:color="auto" w:fill="auto"/>
          </w:tcPr>
          <w:p w14:paraId="7B670549" w14:textId="77777777" w:rsidR="0040300B" w:rsidRDefault="0040300B">
            <w:pPr>
              <w:rPr>
                <w:rFonts w:ascii="宋体"/>
              </w:rPr>
            </w:pPr>
          </w:p>
        </w:tc>
        <w:tc>
          <w:tcPr>
            <w:tcW w:w="5" w:type="pct"/>
            <w:shd w:val="clear" w:color="auto" w:fill="auto"/>
          </w:tcPr>
          <w:p w14:paraId="7B67054A" w14:textId="77777777" w:rsidR="0040300B" w:rsidRDefault="0040300B">
            <w:pPr>
              <w:rPr>
                <w:rFonts w:ascii="宋体"/>
              </w:rPr>
            </w:pPr>
          </w:p>
        </w:tc>
        <w:tc>
          <w:tcPr>
            <w:tcW w:w="50" w:type="pct"/>
            <w:shd w:val="clear" w:color="auto" w:fill="auto"/>
          </w:tcPr>
          <w:p w14:paraId="7B67054B" w14:textId="77777777" w:rsidR="0040300B" w:rsidRDefault="0040300B">
            <w:pPr>
              <w:rPr>
                <w:rFonts w:ascii="宋体"/>
              </w:rPr>
            </w:pPr>
          </w:p>
        </w:tc>
        <w:tc>
          <w:tcPr>
            <w:tcW w:w="478" w:type="pct"/>
            <w:shd w:val="clear" w:color="auto" w:fill="auto"/>
          </w:tcPr>
          <w:p w14:paraId="7B67054C" w14:textId="77777777" w:rsidR="0040300B" w:rsidRDefault="0040300B">
            <w:pPr>
              <w:rPr>
                <w:rFonts w:ascii="宋体"/>
              </w:rPr>
            </w:pPr>
          </w:p>
        </w:tc>
        <w:tc>
          <w:tcPr>
            <w:tcW w:w="5" w:type="pct"/>
            <w:shd w:val="clear" w:color="auto" w:fill="auto"/>
          </w:tcPr>
          <w:p w14:paraId="7B67054D" w14:textId="77777777" w:rsidR="0040300B" w:rsidRDefault="0040300B">
            <w:pPr>
              <w:rPr>
                <w:rFonts w:ascii="宋体"/>
              </w:rPr>
            </w:pPr>
          </w:p>
        </w:tc>
      </w:tr>
      <w:tr w:rsidR="0040300B" w14:paraId="7B670553" w14:textId="77777777">
        <w:tc>
          <w:tcPr>
            <w:tcW w:w="0" w:type="auto"/>
            <w:gridSpan w:val="3"/>
            <w:shd w:val="clear" w:color="auto" w:fill="auto"/>
            <w:tcMar>
              <w:top w:w="0" w:type="dxa"/>
              <w:left w:w="20" w:type="dxa"/>
              <w:bottom w:w="0" w:type="dxa"/>
              <w:right w:w="20" w:type="dxa"/>
            </w:tcMar>
          </w:tcPr>
          <w:p w14:paraId="7B67054F"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550"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551"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552"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55C" w14:textId="77777777">
        <w:tc>
          <w:tcPr>
            <w:tcW w:w="0" w:type="auto"/>
            <w:gridSpan w:val="3"/>
            <w:shd w:val="clear" w:color="auto" w:fill="auto"/>
            <w:tcMar>
              <w:top w:w="0" w:type="dxa"/>
              <w:left w:w="20" w:type="dxa"/>
              <w:bottom w:w="0" w:type="dxa"/>
              <w:right w:w="20" w:type="dxa"/>
            </w:tcMar>
          </w:tcPr>
          <w:p w14:paraId="7B67055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55"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55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57"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55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59"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55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5B"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565" w14:textId="77777777">
        <w:tc>
          <w:tcPr>
            <w:tcW w:w="0" w:type="auto"/>
            <w:gridSpan w:val="3"/>
            <w:shd w:val="clear" w:color="auto" w:fill="CCEEFF"/>
            <w:tcMar>
              <w:top w:w="40" w:type="dxa"/>
              <w:left w:w="20" w:type="dxa"/>
              <w:bottom w:w="40" w:type="dxa"/>
              <w:right w:w="20" w:type="dxa"/>
            </w:tcMar>
          </w:tcPr>
          <w:p w14:paraId="7B67055D" w14:textId="77777777" w:rsidR="0040300B" w:rsidRDefault="00BB2D44">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tcPr>
          <w:p w14:paraId="7B67055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55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56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56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56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56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564" w14:textId="77777777" w:rsidR="0040300B" w:rsidRDefault="0040300B">
            <w:pPr>
              <w:rPr>
                <w:rFonts w:ascii="宋体"/>
              </w:rPr>
            </w:pPr>
          </w:p>
        </w:tc>
      </w:tr>
      <w:tr w:rsidR="0040300B" w14:paraId="7B670576" w14:textId="77777777">
        <w:tc>
          <w:tcPr>
            <w:tcW w:w="0" w:type="auto"/>
            <w:gridSpan w:val="3"/>
            <w:shd w:val="clear" w:color="auto" w:fill="FFFFFF"/>
            <w:tcMar>
              <w:top w:w="40" w:type="dxa"/>
              <w:left w:w="380" w:type="dxa"/>
              <w:bottom w:w="40" w:type="dxa"/>
              <w:right w:w="20" w:type="dxa"/>
            </w:tcMar>
            <w:vAlign w:val="bottom"/>
          </w:tcPr>
          <w:p w14:paraId="7B670566" w14:textId="77777777" w:rsidR="0040300B" w:rsidRDefault="00BB2D44">
            <w:pPr>
              <w:textAlignment w:val="bottom"/>
            </w:pPr>
            <w:r>
              <w:rPr>
                <w:rFonts w:ascii="Times New Roman" w:eastAsia="宋体" w:hAnsi="Times New Roman"/>
                <w:color w:val="000000"/>
                <w:sz w:val="20"/>
                <w:szCs w:val="20"/>
              </w:rPr>
              <w:t>Infrastructure Platforms</w:t>
            </w:r>
          </w:p>
        </w:tc>
        <w:tc>
          <w:tcPr>
            <w:tcW w:w="0" w:type="auto"/>
            <w:shd w:val="clear" w:color="auto" w:fill="FFFFFF"/>
            <w:tcMar>
              <w:top w:w="40" w:type="dxa"/>
              <w:left w:w="20" w:type="dxa"/>
              <w:bottom w:w="40" w:type="dxa"/>
              <w:right w:w="0" w:type="dxa"/>
            </w:tcMar>
            <w:vAlign w:val="bottom"/>
          </w:tcPr>
          <w:p w14:paraId="7B67056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568" w14:textId="77777777" w:rsidR="0040300B" w:rsidRDefault="00BB2D44">
            <w:pPr>
              <w:jc w:val="right"/>
              <w:textAlignment w:val="bottom"/>
            </w:pPr>
            <w:r>
              <w:rPr>
                <w:rFonts w:ascii="Times New Roman" w:eastAsia="宋体" w:hAnsi="Times New Roman"/>
                <w:color w:val="000000"/>
                <w:sz w:val="20"/>
                <w:szCs w:val="20"/>
              </w:rPr>
              <w:t>6,832 </w:t>
            </w:r>
          </w:p>
        </w:tc>
        <w:tc>
          <w:tcPr>
            <w:tcW w:w="0" w:type="auto"/>
            <w:shd w:val="clear" w:color="auto" w:fill="FFFFFF"/>
            <w:tcMar>
              <w:top w:w="40" w:type="dxa"/>
              <w:left w:w="0" w:type="dxa"/>
              <w:bottom w:w="40" w:type="dxa"/>
              <w:right w:w="20" w:type="dxa"/>
            </w:tcMar>
            <w:vAlign w:val="bottom"/>
          </w:tcPr>
          <w:p w14:paraId="7B67056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6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56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56C" w14:textId="77777777" w:rsidR="0040300B" w:rsidRDefault="00BB2D44">
            <w:pPr>
              <w:jc w:val="right"/>
              <w:textAlignment w:val="bottom"/>
            </w:pPr>
            <w:r>
              <w:rPr>
                <w:rFonts w:ascii="Times New Roman" w:eastAsia="宋体" w:hAnsi="Times New Roman"/>
                <w:color w:val="000000"/>
                <w:sz w:val="20"/>
                <w:szCs w:val="20"/>
              </w:rPr>
              <w:t>6,447 </w:t>
            </w:r>
          </w:p>
        </w:tc>
        <w:tc>
          <w:tcPr>
            <w:tcW w:w="0" w:type="auto"/>
            <w:shd w:val="clear" w:color="auto" w:fill="FFFFFF"/>
            <w:tcMar>
              <w:top w:w="40" w:type="dxa"/>
              <w:left w:w="0" w:type="dxa"/>
              <w:bottom w:w="40" w:type="dxa"/>
              <w:right w:w="20" w:type="dxa"/>
            </w:tcMar>
            <w:vAlign w:val="bottom"/>
          </w:tcPr>
          <w:p w14:paraId="7B67056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6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56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570" w14:textId="77777777" w:rsidR="0040300B" w:rsidRDefault="00BB2D44">
            <w:pPr>
              <w:jc w:val="right"/>
              <w:textAlignment w:val="bottom"/>
            </w:pPr>
            <w:r>
              <w:rPr>
                <w:rFonts w:ascii="Times New Roman" w:eastAsia="宋体" w:hAnsi="Times New Roman"/>
                <w:color w:val="000000"/>
                <w:sz w:val="20"/>
                <w:szCs w:val="20"/>
              </w:rPr>
              <w:t>19,564 </w:t>
            </w:r>
          </w:p>
        </w:tc>
        <w:tc>
          <w:tcPr>
            <w:tcW w:w="0" w:type="auto"/>
            <w:shd w:val="clear" w:color="auto" w:fill="FFFFFF"/>
            <w:tcMar>
              <w:top w:w="40" w:type="dxa"/>
              <w:left w:w="0" w:type="dxa"/>
              <w:bottom w:w="40" w:type="dxa"/>
              <w:right w:w="20" w:type="dxa"/>
            </w:tcMar>
            <w:vAlign w:val="bottom"/>
          </w:tcPr>
          <w:p w14:paraId="7B67057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7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57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574" w14:textId="77777777" w:rsidR="0040300B" w:rsidRDefault="00BB2D44">
            <w:pPr>
              <w:jc w:val="right"/>
              <w:textAlignment w:val="bottom"/>
            </w:pPr>
            <w:r>
              <w:rPr>
                <w:rFonts w:ascii="Times New Roman" w:eastAsia="宋体" w:hAnsi="Times New Roman"/>
                <w:color w:val="000000"/>
                <w:sz w:val="20"/>
                <w:szCs w:val="20"/>
              </w:rPr>
              <w:t>20,566 </w:t>
            </w:r>
          </w:p>
        </w:tc>
        <w:tc>
          <w:tcPr>
            <w:tcW w:w="0" w:type="auto"/>
            <w:shd w:val="clear" w:color="auto" w:fill="FFFFFF"/>
            <w:tcMar>
              <w:top w:w="40" w:type="dxa"/>
              <w:left w:w="0" w:type="dxa"/>
              <w:bottom w:w="40" w:type="dxa"/>
              <w:right w:w="20" w:type="dxa"/>
            </w:tcMar>
            <w:vAlign w:val="bottom"/>
          </w:tcPr>
          <w:p w14:paraId="7B670575" w14:textId="77777777" w:rsidR="0040300B" w:rsidRDefault="0040300B">
            <w:pPr>
              <w:jc w:val="right"/>
              <w:rPr>
                <w:rFonts w:ascii="宋体"/>
              </w:rPr>
            </w:pPr>
          </w:p>
        </w:tc>
      </w:tr>
      <w:tr w:rsidR="0040300B" w14:paraId="7B670583" w14:textId="77777777">
        <w:tc>
          <w:tcPr>
            <w:tcW w:w="0" w:type="auto"/>
            <w:gridSpan w:val="3"/>
            <w:shd w:val="clear" w:color="auto" w:fill="CCEEFF"/>
            <w:tcMar>
              <w:top w:w="40" w:type="dxa"/>
              <w:left w:w="380" w:type="dxa"/>
              <w:bottom w:w="40" w:type="dxa"/>
              <w:right w:w="20" w:type="dxa"/>
            </w:tcMar>
            <w:vAlign w:val="bottom"/>
          </w:tcPr>
          <w:p w14:paraId="7B670577" w14:textId="77777777" w:rsidR="0040300B" w:rsidRDefault="00BB2D44">
            <w:pPr>
              <w:textAlignment w:val="bottom"/>
            </w:pPr>
            <w:r>
              <w:rPr>
                <w:rFonts w:ascii="Times New Roman" w:eastAsia="宋体" w:hAnsi="Times New Roman"/>
                <w:color w:val="000000"/>
                <w:sz w:val="20"/>
                <w:szCs w:val="20"/>
              </w:rPr>
              <w:t>Applications</w:t>
            </w:r>
          </w:p>
        </w:tc>
        <w:tc>
          <w:tcPr>
            <w:tcW w:w="0" w:type="auto"/>
            <w:gridSpan w:val="2"/>
            <w:shd w:val="clear" w:color="auto" w:fill="CCEEFF"/>
            <w:tcMar>
              <w:top w:w="40" w:type="dxa"/>
              <w:left w:w="20" w:type="dxa"/>
              <w:bottom w:w="40" w:type="dxa"/>
              <w:right w:w="0" w:type="dxa"/>
            </w:tcMar>
            <w:vAlign w:val="bottom"/>
          </w:tcPr>
          <w:p w14:paraId="7B670578" w14:textId="77777777" w:rsidR="0040300B" w:rsidRDefault="00BB2D44">
            <w:pPr>
              <w:jc w:val="right"/>
              <w:textAlignment w:val="bottom"/>
            </w:pPr>
            <w:r>
              <w:rPr>
                <w:rFonts w:ascii="Times New Roman" w:eastAsia="宋体" w:hAnsi="Times New Roman"/>
                <w:color w:val="000000"/>
                <w:sz w:val="20"/>
                <w:szCs w:val="20"/>
              </w:rPr>
              <w:t>1,426 </w:t>
            </w:r>
          </w:p>
        </w:tc>
        <w:tc>
          <w:tcPr>
            <w:tcW w:w="0" w:type="auto"/>
            <w:shd w:val="clear" w:color="auto" w:fill="CCEEFF"/>
            <w:tcMar>
              <w:top w:w="40" w:type="dxa"/>
              <w:left w:w="0" w:type="dxa"/>
              <w:bottom w:w="40" w:type="dxa"/>
              <w:right w:w="20" w:type="dxa"/>
            </w:tcMar>
            <w:vAlign w:val="bottom"/>
          </w:tcPr>
          <w:p w14:paraId="7B67057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7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7B" w14:textId="77777777" w:rsidR="0040300B" w:rsidRDefault="00BB2D44">
            <w:pPr>
              <w:jc w:val="right"/>
              <w:textAlignment w:val="bottom"/>
            </w:pPr>
            <w:r>
              <w:rPr>
                <w:rFonts w:ascii="Times New Roman" w:eastAsia="宋体" w:hAnsi="Times New Roman"/>
                <w:color w:val="000000"/>
                <w:sz w:val="20"/>
                <w:szCs w:val="20"/>
              </w:rPr>
              <w:t>1,363 </w:t>
            </w:r>
          </w:p>
        </w:tc>
        <w:tc>
          <w:tcPr>
            <w:tcW w:w="0" w:type="auto"/>
            <w:shd w:val="clear" w:color="auto" w:fill="CCEEFF"/>
            <w:tcMar>
              <w:top w:w="40" w:type="dxa"/>
              <w:left w:w="0" w:type="dxa"/>
              <w:bottom w:w="40" w:type="dxa"/>
              <w:right w:w="20" w:type="dxa"/>
            </w:tcMar>
            <w:vAlign w:val="bottom"/>
          </w:tcPr>
          <w:p w14:paraId="7B67057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7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7E" w14:textId="77777777" w:rsidR="0040300B" w:rsidRDefault="00BB2D44">
            <w:pPr>
              <w:jc w:val="right"/>
              <w:textAlignment w:val="bottom"/>
            </w:pPr>
            <w:r>
              <w:rPr>
                <w:rFonts w:ascii="Times New Roman" w:eastAsia="宋体" w:hAnsi="Times New Roman"/>
                <w:color w:val="000000"/>
                <w:sz w:val="20"/>
                <w:szCs w:val="20"/>
              </w:rPr>
              <w:t>4,160 </w:t>
            </w:r>
          </w:p>
        </w:tc>
        <w:tc>
          <w:tcPr>
            <w:tcW w:w="0" w:type="auto"/>
            <w:shd w:val="clear" w:color="auto" w:fill="CCEEFF"/>
            <w:tcMar>
              <w:top w:w="40" w:type="dxa"/>
              <w:left w:w="0" w:type="dxa"/>
              <w:bottom w:w="40" w:type="dxa"/>
              <w:right w:w="20" w:type="dxa"/>
            </w:tcMar>
            <w:vAlign w:val="bottom"/>
          </w:tcPr>
          <w:p w14:paraId="7B67057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8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81" w14:textId="77777777" w:rsidR="0040300B" w:rsidRDefault="00BB2D44">
            <w:pPr>
              <w:jc w:val="right"/>
              <w:textAlignment w:val="bottom"/>
            </w:pPr>
            <w:r>
              <w:rPr>
                <w:rFonts w:ascii="Times New Roman" w:eastAsia="宋体" w:hAnsi="Times New Roman"/>
                <w:color w:val="000000"/>
                <w:sz w:val="20"/>
                <w:szCs w:val="20"/>
              </w:rPr>
              <w:t>4,211 </w:t>
            </w:r>
          </w:p>
        </w:tc>
        <w:tc>
          <w:tcPr>
            <w:tcW w:w="0" w:type="auto"/>
            <w:shd w:val="clear" w:color="auto" w:fill="CCEEFF"/>
            <w:tcMar>
              <w:top w:w="40" w:type="dxa"/>
              <w:left w:w="0" w:type="dxa"/>
              <w:bottom w:w="40" w:type="dxa"/>
              <w:right w:w="20" w:type="dxa"/>
            </w:tcMar>
            <w:vAlign w:val="bottom"/>
          </w:tcPr>
          <w:p w14:paraId="7B670582" w14:textId="77777777" w:rsidR="0040300B" w:rsidRDefault="0040300B">
            <w:pPr>
              <w:jc w:val="right"/>
              <w:rPr>
                <w:rFonts w:ascii="宋体"/>
              </w:rPr>
            </w:pPr>
          </w:p>
        </w:tc>
      </w:tr>
      <w:tr w:rsidR="0040300B" w14:paraId="7B670590" w14:textId="77777777">
        <w:tc>
          <w:tcPr>
            <w:tcW w:w="0" w:type="auto"/>
            <w:gridSpan w:val="3"/>
            <w:shd w:val="clear" w:color="auto" w:fill="FFFFFF"/>
            <w:tcMar>
              <w:top w:w="40" w:type="dxa"/>
              <w:left w:w="380" w:type="dxa"/>
              <w:bottom w:w="40" w:type="dxa"/>
              <w:right w:w="20" w:type="dxa"/>
            </w:tcMar>
            <w:vAlign w:val="bottom"/>
          </w:tcPr>
          <w:p w14:paraId="7B670584" w14:textId="77777777" w:rsidR="0040300B" w:rsidRDefault="00BB2D44">
            <w:pPr>
              <w:textAlignment w:val="bottom"/>
            </w:pPr>
            <w:r>
              <w:rPr>
                <w:rFonts w:ascii="Times New Roman" w:eastAsia="宋体" w:hAnsi="Times New Roman"/>
                <w:color w:val="000000"/>
                <w:sz w:val="20"/>
                <w:szCs w:val="20"/>
              </w:rPr>
              <w:t>Security</w:t>
            </w:r>
          </w:p>
        </w:tc>
        <w:tc>
          <w:tcPr>
            <w:tcW w:w="0" w:type="auto"/>
            <w:gridSpan w:val="2"/>
            <w:shd w:val="clear" w:color="auto" w:fill="FFFFFF"/>
            <w:tcMar>
              <w:top w:w="40" w:type="dxa"/>
              <w:left w:w="20" w:type="dxa"/>
              <w:bottom w:w="40" w:type="dxa"/>
              <w:right w:w="0" w:type="dxa"/>
            </w:tcMar>
            <w:vAlign w:val="bottom"/>
          </w:tcPr>
          <w:p w14:paraId="7B670585" w14:textId="77777777" w:rsidR="0040300B" w:rsidRDefault="00BB2D44">
            <w:pPr>
              <w:jc w:val="right"/>
              <w:textAlignment w:val="bottom"/>
            </w:pPr>
            <w:r>
              <w:rPr>
                <w:rFonts w:ascii="Times New Roman" w:eastAsia="宋体" w:hAnsi="Times New Roman"/>
                <w:color w:val="000000"/>
                <w:sz w:val="20"/>
                <w:szCs w:val="20"/>
              </w:rPr>
              <w:t>876 </w:t>
            </w:r>
          </w:p>
        </w:tc>
        <w:tc>
          <w:tcPr>
            <w:tcW w:w="0" w:type="auto"/>
            <w:shd w:val="clear" w:color="auto" w:fill="FFFFFF"/>
            <w:tcMar>
              <w:top w:w="40" w:type="dxa"/>
              <w:left w:w="0" w:type="dxa"/>
              <w:bottom w:w="40" w:type="dxa"/>
              <w:right w:w="20" w:type="dxa"/>
            </w:tcMar>
            <w:vAlign w:val="bottom"/>
          </w:tcPr>
          <w:p w14:paraId="7B67058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8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588" w14:textId="77777777" w:rsidR="0040300B" w:rsidRDefault="00BB2D44">
            <w:pPr>
              <w:jc w:val="right"/>
              <w:textAlignment w:val="bottom"/>
            </w:pPr>
            <w:r>
              <w:rPr>
                <w:rFonts w:ascii="Times New Roman" w:eastAsia="宋体" w:hAnsi="Times New Roman"/>
                <w:color w:val="000000"/>
                <w:sz w:val="20"/>
                <w:szCs w:val="20"/>
              </w:rPr>
              <w:t>778 </w:t>
            </w:r>
          </w:p>
        </w:tc>
        <w:tc>
          <w:tcPr>
            <w:tcW w:w="0" w:type="auto"/>
            <w:shd w:val="clear" w:color="auto" w:fill="FFFFFF"/>
            <w:tcMar>
              <w:top w:w="40" w:type="dxa"/>
              <w:left w:w="0" w:type="dxa"/>
              <w:bottom w:w="40" w:type="dxa"/>
              <w:right w:w="20" w:type="dxa"/>
            </w:tcMar>
            <w:vAlign w:val="bottom"/>
          </w:tcPr>
          <w:p w14:paraId="7B67058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8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58B" w14:textId="77777777" w:rsidR="0040300B" w:rsidRDefault="00BB2D44">
            <w:pPr>
              <w:jc w:val="right"/>
              <w:textAlignment w:val="bottom"/>
            </w:pPr>
            <w:r>
              <w:rPr>
                <w:rFonts w:ascii="Times New Roman" w:eastAsia="宋体" w:hAnsi="Times New Roman"/>
                <w:color w:val="000000"/>
                <w:sz w:val="20"/>
                <w:szCs w:val="20"/>
              </w:rPr>
              <w:t>2,559 </w:t>
            </w:r>
          </w:p>
        </w:tc>
        <w:tc>
          <w:tcPr>
            <w:tcW w:w="0" w:type="auto"/>
            <w:shd w:val="clear" w:color="auto" w:fill="FFFFFF"/>
            <w:tcMar>
              <w:top w:w="40" w:type="dxa"/>
              <w:left w:w="0" w:type="dxa"/>
              <w:bottom w:w="40" w:type="dxa"/>
              <w:right w:w="20" w:type="dxa"/>
            </w:tcMar>
            <w:vAlign w:val="bottom"/>
          </w:tcPr>
          <w:p w14:paraId="7B67058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8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58E" w14:textId="77777777" w:rsidR="0040300B" w:rsidRDefault="00BB2D44">
            <w:pPr>
              <w:jc w:val="right"/>
              <w:textAlignment w:val="bottom"/>
            </w:pPr>
            <w:r>
              <w:rPr>
                <w:rFonts w:ascii="Times New Roman" w:eastAsia="宋体" w:hAnsi="Times New Roman"/>
                <w:color w:val="000000"/>
                <w:sz w:val="20"/>
                <w:szCs w:val="20"/>
              </w:rPr>
              <w:t>2,343 </w:t>
            </w:r>
          </w:p>
        </w:tc>
        <w:tc>
          <w:tcPr>
            <w:tcW w:w="0" w:type="auto"/>
            <w:shd w:val="clear" w:color="auto" w:fill="FFFFFF"/>
            <w:tcMar>
              <w:top w:w="40" w:type="dxa"/>
              <w:left w:w="0" w:type="dxa"/>
              <w:bottom w:w="40" w:type="dxa"/>
              <w:right w:w="20" w:type="dxa"/>
            </w:tcMar>
            <w:vAlign w:val="bottom"/>
          </w:tcPr>
          <w:p w14:paraId="7B67058F" w14:textId="77777777" w:rsidR="0040300B" w:rsidRDefault="0040300B">
            <w:pPr>
              <w:jc w:val="right"/>
              <w:rPr>
                <w:rFonts w:ascii="宋体"/>
              </w:rPr>
            </w:pPr>
          </w:p>
        </w:tc>
      </w:tr>
      <w:tr w:rsidR="0040300B" w14:paraId="7B67059D" w14:textId="77777777">
        <w:tc>
          <w:tcPr>
            <w:tcW w:w="0" w:type="auto"/>
            <w:gridSpan w:val="3"/>
            <w:shd w:val="clear" w:color="auto" w:fill="CCEEFF"/>
            <w:tcMar>
              <w:top w:w="40" w:type="dxa"/>
              <w:left w:w="380" w:type="dxa"/>
              <w:bottom w:w="40" w:type="dxa"/>
              <w:right w:w="20" w:type="dxa"/>
            </w:tcMar>
            <w:vAlign w:val="bottom"/>
          </w:tcPr>
          <w:p w14:paraId="7B670591" w14:textId="77777777" w:rsidR="0040300B" w:rsidRDefault="00BB2D44">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7B670592"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7059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9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95"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B67059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9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98" w14:textId="77777777" w:rsidR="0040300B" w:rsidRDefault="00BB2D4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B67059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9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9B" w14:textId="77777777" w:rsidR="0040300B" w:rsidRDefault="00BB2D4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B67059C" w14:textId="77777777" w:rsidR="0040300B" w:rsidRDefault="0040300B">
            <w:pPr>
              <w:jc w:val="right"/>
              <w:rPr>
                <w:rFonts w:ascii="宋体"/>
              </w:rPr>
            </w:pPr>
          </w:p>
        </w:tc>
      </w:tr>
      <w:tr w:rsidR="0040300B" w14:paraId="7B6705AA" w14:textId="77777777">
        <w:tc>
          <w:tcPr>
            <w:tcW w:w="0" w:type="auto"/>
            <w:gridSpan w:val="3"/>
            <w:shd w:val="clear" w:color="auto" w:fill="FFFFFF"/>
            <w:tcMar>
              <w:top w:w="40" w:type="dxa"/>
              <w:left w:w="740" w:type="dxa"/>
              <w:bottom w:w="40" w:type="dxa"/>
              <w:right w:w="20" w:type="dxa"/>
            </w:tcMar>
          </w:tcPr>
          <w:p w14:paraId="7B67059E" w14:textId="77777777" w:rsidR="0040300B" w:rsidRDefault="00BB2D44">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59F" w14:textId="77777777" w:rsidR="0040300B" w:rsidRDefault="00BB2D44">
            <w:pPr>
              <w:jc w:val="right"/>
              <w:textAlignment w:val="bottom"/>
            </w:pPr>
            <w:r>
              <w:rPr>
                <w:rFonts w:ascii="Times New Roman" w:eastAsia="宋体" w:hAnsi="Times New Roman"/>
                <w:color w:val="000000"/>
                <w:sz w:val="20"/>
                <w:szCs w:val="20"/>
              </w:rPr>
              <w:t>9,139 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5A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A1"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5A2" w14:textId="77777777" w:rsidR="0040300B" w:rsidRDefault="00BB2D44">
            <w:pPr>
              <w:jc w:val="right"/>
              <w:textAlignment w:val="bottom"/>
            </w:pPr>
            <w:r>
              <w:rPr>
                <w:rFonts w:ascii="Times New Roman" w:eastAsia="宋体" w:hAnsi="Times New Roman"/>
                <w:color w:val="000000"/>
                <w:sz w:val="20"/>
                <w:szCs w:val="20"/>
              </w:rPr>
              <w:t>8,597 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5A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A4"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5A5"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5A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A7"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5A8"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5A9" w14:textId="77777777" w:rsidR="0040300B" w:rsidRDefault="0040300B">
            <w:pPr>
              <w:jc w:val="right"/>
              <w:rPr>
                <w:rFonts w:ascii="宋体"/>
              </w:rPr>
            </w:pPr>
          </w:p>
        </w:tc>
      </w:tr>
      <w:tr w:rsidR="0040300B" w14:paraId="7B6705B7" w14:textId="77777777">
        <w:tc>
          <w:tcPr>
            <w:tcW w:w="0" w:type="auto"/>
            <w:gridSpan w:val="3"/>
            <w:shd w:val="clear" w:color="auto" w:fill="CCEEFF"/>
            <w:tcMar>
              <w:top w:w="40" w:type="dxa"/>
              <w:left w:w="380" w:type="dxa"/>
              <w:bottom w:w="40" w:type="dxa"/>
              <w:right w:w="20" w:type="dxa"/>
            </w:tcMar>
          </w:tcPr>
          <w:p w14:paraId="7B6705AB" w14:textId="77777777" w:rsidR="0040300B" w:rsidRDefault="00BB2D44">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B6705AC" w14:textId="77777777" w:rsidR="0040300B" w:rsidRDefault="00BB2D44">
            <w:pPr>
              <w:jc w:val="right"/>
              <w:textAlignment w:val="bottom"/>
            </w:pPr>
            <w:r>
              <w:rPr>
                <w:rFonts w:ascii="Times New Roman" w:eastAsia="宋体" w:hAnsi="Times New Roman"/>
                <w:color w:val="000000"/>
                <w:sz w:val="20"/>
                <w:szCs w:val="20"/>
              </w:rPr>
              <w:t>3,664 </w:t>
            </w:r>
          </w:p>
        </w:tc>
        <w:tc>
          <w:tcPr>
            <w:tcW w:w="0" w:type="auto"/>
            <w:shd w:val="clear" w:color="auto" w:fill="CCEEFF"/>
            <w:tcMar>
              <w:top w:w="40" w:type="dxa"/>
              <w:left w:w="0" w:type="dxa"/>
              <w:bottom w:w="40" w:type="dxa"/>
              <w:right w:w="20" w:type="dxa"/>
            </w:tcMar>
            <w:vAlign w:val="bottom"/>
          </w:tcPr>
          <w:p w14:paraId="7B6705A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A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AF" w14:textId="77777777" w:rsidR="0040300B" w:rsidRDefault="00BB2D44">
            <w:pPr>
              <w:jc w:val="right"/>
              <w:textAlignment w:val="bottom"/>
            </w:pPr>
            <w:r>
              <w:rPr>
                <w:rFonts w:ascii="Times New Roman" w:eastAsia="宋体" w:hAnsi="Times New Roman"/>
                <w:color w:val="000000"/>
                <w:sz w:val="20"/>
                <w:szCs w:val="20"/>
              </w:rPr>
              <w:t>3,386 </w:t>
            </w:r>
          </w:p>
        </w:tc>
        <w:tc>
          <w:tcPr>
            <w:tcW w:w="0" w:type="auto"/>
            <w:shd w:val="clear" w:color="auto" w:fill="CCEEFF"/>
            <w:tcMar>
              <w:top w:w="40" w:type="dxa"/>
              <w:left w:w="0" w:type="dxa"/>
              <w:bottom w:w="40" w:type="dxa"/>
              <w:right w:w="20" w:type="dxa"/>
            </w:tcMar>
            <w:vAlign w:val="bottom"/>
          </w:tcPr>
          <w:p w14:paraId="7B6705B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B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B2" w14:textId="77777777" w:rsidR="0040300B" w:rsidRDefault="00BB2D44">
            <w:pPr>
              <w:jc w:val="right"/>
              <w:textAlignment w:val="bottom"/>
            </w:pPr>
            <w:r>
              <w:rPr>
                <w:rFonts w:ascii="Times New Roman" w:eastAsia="宋体" w:hAnsi="Times New Roman"/>
                <w:color w:val="000000"/>
                <w:sz w:val="20"/>
                <w:szCs w:val="20"/>
              </w:rPr>
              <w:t>10,394 </w:t>
            </w:r>
          </w:p>
        </w:tc>
        <w:tc>
          <w:tcPr>
            <w:tcW w:w="0" w:type="auto"/>
            <w:shd w:val="clear" w:color="auto" w:fill="CCEEFF"/>
            <w:tcMar>
              <w:top w:w="40" w:type="dxa"/>
              <w:left w:w="0" w:type="dxa"/>
              <w:bottom w:w="40" w:type="dxa"/>
              <w:right w:w="20" w:type="dxa"/>
            </w:tcMar>
            <w:vAlign w:val="bottom"/>
          </w:tcPr>
          <w:p w14:paraId="7B6705B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B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5B5" w14:textId="77777777" w:rsidR="0040300B" w:rsidRDefault="00BB2D44">
            <w:pPr>
              <w:jc w:val="right"/>
              <w:textAlignment w:val="bottom"/>
            </w:pPr>
            <w:r>
              <w:rPr>
                <w:rFonts w:ascii="Times New Roman" w:eastAsia="宋体" w:hAnsi="Times New Roman"/>
                <w:color w:val="000000"/>
                <w:sz w:val="20"/>
                <w:szCs w:val="20"/>
              </w:rPr>
              <w:t>10,001 </w:t>
            </w:r>
          </w:p>
        </w:tc>
        <w:tc>
          <w:tcPr>
            <w:tcW w:w="0" w:type="auto"/>
            <w:shd w:val="clear" w:color="auto" w:fill="CCEEFF"/>
            <w:tcMar>
              <w:top w:w="40" w:type="dxa"/>
              <w:left w:w="0" w:type="dxa"/>
              <w:bottom w:w="40" w:type="dxa"/>
              <w:right w:w="20" w:type="dxa"/>
            </w:tcMar>
            <w:vAlign w:val="bottom"/>
          </w:tcPr>
          <w:p w14:paraId="7B6705B6" w14:textId="77777777" w:rsidR="0040300B" w:rsidRDefault="0040300B">
            <w:pPr>
              <w:jc w:val="right"/>
              <w:rPr>
                <w:rFonts w:ascii="宋体"/>
              </w:rPr>
            </w:pPr>
          </w:p>
        </w:tc>
      </w:tr>
      <w:tr w:rsidR="0040300B" w14:paraId="7B6705C8" w14:textId="77777777">
        <w:tc>
          <w:tcPr>
            <w:tcW w:w="0" w:type="auto"/>
            <w:gridSpan w:val="3"/>
            <w:shd w:val="clear" w:color="auto" w:fill="FFFFFF"/>
            <w:tcMar>
              <w:top w:w="40" w:type="dxa"/>
              <w:left w:w="1235" w:type="dxa"/>
              <w:bottom w:w="40" w:type="dxa"/>
              <w:right w:w="20" w:type="dxa"/>
            </w:tcMar>
          </w:tcPr>
          <w:p w14:paraId="7B6705B8"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5B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5BA"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5B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B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5B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5BE"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5B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C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5C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5C2"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5C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5C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5C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5C6"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5C7" w14:textId="77777777" w:rsidR="0040300B" w:rsidRDefault="0040300B">
            <w:pPr>
              <w:jc w:val="right"/>
              <w:rPr>
                <w:rFonts w:ascii="宋体"/>
              </w:rPr>
            </w:pPr>
          </w:p>
        </w:tc>
      </w:tr>
    </w:tbl>
    <w:p w14:paraId="7B6705C9" w14:textId="77777777" w:rsidR="0040300B" w:rsidRDefault="00BB2D44">
      <w:pPr>
        <w:spacing w:before="120"/>
        <w:jc w:val="both"/>
      </w:pPr>
      <w:r>
        <w:rPr>
          <w:rFonts w:ascii="Times New Roman" w:eastAsia="宋体" w:hAnsi="Times New Roman"/>
          <w:color w:val="000000"/>
          <w:sz w:val="20"/>
          <w:szCs w:val="20"/>
        </w:rPr>
        <w:t>Amounts may not sum due to rounding.</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We have made certain reclassifications to the product </w:t>
      </w:r>
      <w:r>
        <w:rPr>
          <w:rFonts w:ascii="Times New Roman" w:eastAsia="宋体" w:hAnsi="Times New Roman"/>
          <w:color w:val="000000"/>
          <w:sz w:val="20"/>
          <w:szCs w:val="20"/>
        </w:rPr>
        <w:t>revenue amounts for prior period to conform to the current year presentation.</w:t>
      </w:r>
    </w:p>
    <w:p w14:paraId="7B6705CA" w14:textId="77777777" w:rsidR="0040300B" w:rsidRDefault="0040300B"/>
    <w:p w14:paraId="7B6705CB" w14:textId="77777777" w:rsidR="0040300B" w:rsidRDefault="00BB2D44">
      <w:pPr>
        <w:ind w:hanging="360"/>
      </w:pPr>
      <w:r>
        <w:rPr>
          <w:rFonts w:ascii="Times New Roman" w:eastAsia="宋体" w:hAnsi="Times New Roman"/>
          <w:b/>
          <w:bCs/>
          <w:color w:val="000000"/>
          <w:sz w:val="20"/>
          <w:szCs w:val="20"/>
        </w:rPr>
        <w:t>20.Net Income per Share</w:t>
      </w:r>
    </w:p>
    <w:p w14:paraId="7B6705CC" w14:textId="77777777" w:rsidR="0040300B" w:rsidRDefault="00BB2D44">
      <w:pPr>
        <w:spacing w:before="120"/>
        <w:jc w:val="both"/>
      </w:pPr>
      <w:r>
        <w:rPr>
          <w:rFonts w:ascii="Times New Roman" w:eastAsia="宋体" w:hAnsi="Times New Roman"/>
          <w:color w:val="000000"/>
          <w:sz w:val="20"/>
          <w:szCs w:val="20"/>
        </w:rPr>
        <w:t>The following table presents the calculation of basic and diluted net income per share (in millions, except per-share amounts):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51"/>
        <w:gridCol w:w="36"/>
        <w:gridCol w:w="120"/>
        <w:gridCol w:w="747"/>
        <w:gridCol w:w="36"/>
        <w:gridCol w:w="36"/>
        <w:gridCol w:w="36"/>
        <w:gridCol w:w="36"/>
        <w:gridCol w:w="120"/>
        <w:gridCol w:w="704"/>
        <w:gridCol w:w="36"/>
        <w:gridCol w:w="36"/>
        <w:gridCol w:w="36"/>
        <w:gridCol w:w="36"/>
        <w:gridCol w:w="120"/>
        <w:gridCol w:w="706"/>
        <w:gridCol w:w="36"/>
        <w:gridCol w:w="36"/>
        <w:gridCol w:w="36"/>
        <w:gridCol w:w="36"/>
        <w:gridCol w:w="120"/>
        <w:gridCol w:w="706"/>
        <w:gridCol w:w="36"/>
      </w:tblGrid>
      <w:tr w:rsidR="0040300B" w14:paraId="7B6705E5" w14:textId="77777777">
        <w:tc>
          <w:tcPr>
            <w:tcW w:w="50" w:type="pct"/>
            <w:shd w:val="clear" w:color="auto" w:fill="auto"/>
          </w:tcPr>
          <w:p w14:paraId="7B6705CD" w14:textId="77777777" w:rsidR="0040300B" w:rsidRDefault="0040300B">
            <w:pPr>
              <w:rPr>
                <w:rFonts w:ascii="宋体"/>
              </w:rPr>
            </w:pPr>
          </w:p>
        </w:tc>
        <w:tc>
          <w:tcPr>
            <w:tcW w:w="2700" w:type="pct"/>
            <w:shd w:val="clear" w:color="auto" w:fill="auto"/>
          </w:tcPr>
          <w:p w14:paraId="7B6705CE" w14:textId="77777777" w:rsidR="0040300B" w:rsidRDefault="0040300B">
            <w:pPr>
              <w:rPr>
                <w:rFonts w:ascii="宋体"/>
              </w:rPr>
            </w:pPr>
          </w:p>
        </w:tc>
        <w:tc>
          <w:tcPr>
            <w:tcW w:w="5" w:type="pct"/>
            <w:shd w:val="clear" w:color="auto" w:fill="auto"/>
          </w:tcPr>
          <w:p w14:paraId="7B6705CF" w14:textId="77777777" w:rsidR="0040300B" w:rsidRDefault="0040300B">
            <w:pPr>
              <w:rPr>
                <w:rFonts w:ascii="宋体"/>
              </w:rPr>
            </w:pPr>
          </w:p>
        </w:tc>
        <w:tc>
          <w:tcPr>
            <w:tcW w:w="50" w:type="pct"/>
            <w:shd w:val="clear" w:color="auto" w:fill="auto"/>
          </w:tcPr>
          <w:p w14:paraId="7B6705D0" w14:textId="77777777" w:rsidR="0040300B" w:rsidRDefault="0040300B">
            <w:pPr>
              <w:rPr>
                <w:rFonts w:ascii="宋体"/>
              </w:rPr>
            </w:pPr>
          </w:p>
        </w:tc>
        <w:tc>
          <w:tcPr>
            <w:tcW w:w="478" w:type="pct"/>
            <w:shd w:val="clear" w:color="auto" w:fill="auto"/>
          </w:tcPr>
          <w:p w14:paraId="7B6705D1" w14:textId="77777777" w:rsidR="0040300B" w:rsidRDefault="0040300B">
            <w:pPr>
              <w:rPr>
                <w:rFonts w:ascii="宋体"/>
              </w:rPr>
            </w:pPr>
          </w:p>
        </w:tc>
        <w:tc>
          <w:tcPr>
            <w:tcW w:w="5" w:type="pct"/>
            <w:shd w:val="clear" w:color="auto" w:fill="auto"/>
          </w:tcPr>
          <w:p w14:paraId="7B6705D2" w14:textId="77777777" w:rsidR="0040300B" w:rsidRDefault="0040300B">
            <w:pPr>
              <w:rPr>
                <w:rFonts w:ascii="宋体"/>
              </w:rPr>
            </w:pPr>
          </w:p>
        </w:tc>
        <w:tc>
          <w:tcPr>
            <w:tcW w:w="5" w:type="pct"/>
            <w:shd w:val="clear" w:color="auto" w:fill="auto"/>
          </w:tcPr>
          <w:p w14:paraId="7B6705D3" w14:textId="77777777" w:rsidR="0040300B" w:rsidRDefault="0040300B">
            <w:pPr>
              <w:rPr>
                <w:rFonts w:ascii="宋体"/>
              </w:rPr>
            </w:pPr>
          </w:p>
        </w:tc>
        <w:tc>
          <w:tcPr>
            <w:tcW w:w="26" w:type="pct"/>
            <w:shd w:val="clear" w:color="auto" w:fill="auto"/>
          </w:tcPr>
          <w:p w14:paraId="7B6705D4" w14:textId="77777777" w:rsidR="0040300B" w:rsidRDefault="0040300B">
            <w:pPr>
              <w:rPr>
                <w:rFonts w:ascii="宋体"/>
              </w:rPr>
            </w:pPr>
          </w:p>
        </w:tc>
        <w:tc>
          <w:tcPr>
            <w:tcW w:w="5" w:type="pct"/>
            <w:shd w:val="clear" w:color="auto" w:fill="auto"/>
          </w:tcPr>
          <w:p w14:paraId="7B6705D5" w14:textId="77777777" w:rsidR="0040300B" w:rsidRDefault="0040300B">
            <w:pPr>
              <w:rPr>
                <w:rFonts w:ascii="宋体"/>
              </w:rPr>
            </w:pPr>
          </w:p>
        </w:tc>
        <w:tc>
          <w:tcPr>
            <w:tcW w:w="50" w:type="pct"/>
            <w:shd w:val="clear" w:color="auto" w:fill="auto"/>
          </w:tcPr>
          <w:p w14:paraId="7B6705D6" w14:textId="77777777" w:rsidR="0040300B" w:rsidRDefault="0040300B">
            <w:pPr>
              <w:rPr>
                <w:rFonts w:ascii="宋体"/>
              </w:rPr>
            </w:pPr>
          </w:p>
        </w:tc>
        <w:tc>
          <w:tcPr>
            <w:tcW w:w="478" w:type="pct"/>
            <w:shd w:val="clear" w:color="auto" w:fill="auto"/>
          </w:tcPr>
          <w:p w14:paraId="7B6705D7" w14:textId="77777777" w:rsidR="0040300B" w:rsidRDefault="0040300B">
            <w:pPr>
              <w:rPr>
                <w:rFonts w:ascii="宋体"/>
              </w:rPr>
            </w:pPr>
          </w:p>
        </w:tc>
        <w:tc>
          <w:tcPr>
            <w:tcW w:w="5" w:type="pct"/>
            <w:shd w:val="clear" w:color="auto" w:fill="auto"/>
          </w:tcPr>
          <w:p w14:paraId="7B6705D8" w14:textId="77777777" w:rsidR="0040300B" w:rsidRDefault="0040300B">
            <w:pPr>
              <w:rPr>
                <w:rFonts w:ascii="宋体"/>
              </w:rPr>
            </w:pPr>
          </w:p>
        </w:tc>
        <w:tc>
          <w:tcPr>
            <w:tcW w:w="5" w:type="pct"/>
            <w:shd w:val="clear" w:color="auto" w:fill="auto"/>
          </w:tcPr>
          <w:p w14:paraId="7B6705D9" w14:textId="77777777" w:rsidR="0040300B" w:rsidRDefault="0040300B">
            <w:pPr>
              <w:rPr>
                <w:rFonts w:ascii="宋体"/>
              </w:rPr>
            </w:pPr>
          </w:p>
        </w:tc>
        <w:tc>
          <w:tcPr>
            <w:tcW w:w="26" w:type="pct"/>
            <w:shd w:val="clear" w:color="auto" w:fill="auto"/>
          </w:tcPr>
          <w:p w14:paraId="7B6705DA" w14:textId="77777777" w:rsidR="0040300B" w:rsidRDefault="0040300B">
            <w:pPr>
              <w:rPr>
                <w:rFonts w:ascii="宋体"/>
              </w:rPr>
            </w:pPr>
          </w:p>
        </w:tc>
        <w:tc>
          <w:tcPr>
            <w:tcW w:w="5" w:type="pct"/>
            <w:shd w:val="clear" w:color="auto" w:fill="auto"/>
          </w:tcPr>
          <w:p w14:paraId="7B6705DB" w14:textId="77777777" w:rsidR="0040300B" w:rsidRDefault="0040300B">
            <w:pPr>
              <w:rPr>
                <w:rFonts w:ascii="宋体"/>
              </w:rPr>
            </w:pPr>
          </w:p>
        </w:tc>
        <w:tc>
          <w:tcPr>
            <w:tcW w:w="50" w:type="pct"/>
            <w:shd w:val="clear" w:color="auto" w:fill="auto"/>
          </w:tcPr>
          <w:p w14:paraId="7B6705DC" w14:textId="77777777" w:rsidR="0040300B" w:rsidRDefault="0040300B">
            <w:pPr>
              <w:rPr>
                <w:rFonts w:ascii="宋体"/>
              </w:rPr>
            </w:pPr>
          </w:p>
        </w:tc>
        <w:tc>
          <w:tcPr>
            <w:tcW w:w="478" w:type="pct"/>
            <w:shd w:val="clear" w:color="auto" w:fill="auto"/>
          </w:tcPr>
          <w:p w14:paraId="7B6705DD" w14:textId="77777777" w:rsidR="0040300B" w:rsidRDefault="0040300B">
            <w:pPr>
              <w:rPr>
                <w:rFonts w:ascii="宋体"/>
              </w:rPr>
            </w:pPr>
          </w:p>
        </w:tc>
        <w:tc>
          <w:tcPr>
            <w:tcW w:w="5" w:type="pct"/>
            <w:shd w:val="clear" w:color="auto" w:fill="auto"/>
          </w:tcPr>
          <w:p w14:paraId="7B6705DE" w14:textId="77777777" w:rsidR="0040300B" w:rsidRDefault="0040300B">
            <w:pPr>
              <w:rPr>
                <w:rFonts w:ascii="宋体"/>
              </w:rPr>
            </w:pPr>
          </w:p>
        </w:tc>
        <w:tc>
          <w:tcPr>
            <w:tcW w:w="5" w:type="pct"/>
            <w:shd w:val="clear" w:color="auto" w:fill="auto"/>
          </w:tcPr>
          <w:p w14:paraId="7B6705DF" w14:textId="77777777" w:rsidR="0040300B" w:rsidRDefault="0040300B">
            <w:pPr>
              <w:rPr>
                <w:rFonts w:ascii="宋体"/>
              </w:rPr>
            </w:pPr>
          </w:p>
        </w:tc>
        <w:tc>
          <w:tcPr>
            <w:tcW w:w="26" w:type="pct"/>
            <w:shd w:val="clear" w:color="auto" w:fill="auto"/>
          </w:tcPr>
          <w:p w14:paraId="7B6705E0" w14:textId="77777777" w:rsidR="0040300B" w:rsidRDefault="0040300B">
            <w:pPr>
              <w:rPr>
                <w:rFonts w:ascii="宋体"/>
              </w:rPr>
            </w:pPr>
          </w:p>
        </w:tc>
        <w:tc>
          <w:tcPr>
            <w:tcW w:w="5" w:type="pct"/>
            <w:shd w:val="clear" w:color="auto" w:fill="auto"/>
          </w:tcPr>
          <w:p w14:paraId="7B6705E1" w14:textId="77777777" w:rsidR="0040300B" w:rsidRDefault="0040300B">
            <w:pPr>
              <w:rPr>
                <w:rFonts w:ascii="宋体"/>
              </w:rPr>
            </w:pPr>
          </w:p>
        </w:tc>
        <w:tc>
          <w:tcPr>
            <w:tcW w:w="50" w:type="pct"/>
            <w:shd w:val="clear" w:color="auto" w:fill="auto"/>
          </w:tcPr>
          <w:p w14:paraId="7B6705E2" w14:textId="77777777" w:rsidR="0040300B" w:rsidRDefault="0040300B">
            <w:pPr>
              <w:rPr>
                <w:rFonts w:ascii="宋体"/>
              </w:rPr>
            </w:pPr>
          </w:p>
        </w:tc>
        <w:tc>
          <w:tcPr>
            <w:tcW w:w="478" w:type="pct"/>
            <w:shd w:val="clear" w:color="auto" w:fill="auto"/>
          </w:tcPr>
          <w:p w14:paraId="7B6705E3" w14:textId="77777777" w:rsidR="0040300B" w:rsidRDefault="0040300B">
            <w:pPr>
              <w:rPr>
                <w:rFonts w:ascii="宋体"/>
              </w:rPr>
            </w:pPr>
          </w:p>
        </w:tc>
        <w:tc>
          <w:tcPr>
            <w:tcW w:w="5" w:type="pct"/>
            <w:shd w:val="clear" w:color="auto" w:fill="auto"/>
          </w:tcPr>
          <w:p w14:paraId="7B6705E4" w14:textId="77777777" w:rsidR="0040300B" w:rsidRDefault="0040300B">
            <w:pPr>
              <w:rPr>
                <w:rFonts w:ascii="宋体"/>
              </w:rPr>
            </w:pPr>
          </w:p>
        </w:tc>
      </w:tr>
      <w:tr w:rsidR="0040300B" w14:paraId="7B6705EA" w14:textId="77777777">
        <w:tc>
          <w:tcPr>
            <w:tcW w:w="0" w:type="auto"/>
            <w:gridSpan w:val="3"/>
            <w:shd w:val="clear" w:color="auto" w:fill="auto"/>
            <w:tcMar>
              <w:top w:w="0" w:type="dxa"/>
              <w:left w:w="20" w:type="dxa"/>
              <w:bottom w:w="0" w:type="dxa"/>
              <w:right w:w="20" w:type="dxa"/>
            </w:tcMar>
          </w:tcPr>
          <w:p w14:paraId="7B6705E6"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5E7"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5E8"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5E9"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5F3" w14:textId="77777777">
        <w:tc>
          <w:tcPr>
            <w:tcW w:w="0" w:type="auto"/>
            <w:gridSpan w:val="3"/>
            <w:shd w:val="clear" w:color="auto" w:fill="auto"/>
            <w:tcMar>
              <w:top w:w="0" w:type="dxa"/>
              <w:left w:w="20" w:type="dxa"/>
              <w:bottom w:w="0" w:type="dxa"/>
              <w:right w:w="20" w:type="dxa"/>
            </w:tcMar>
          </w:tcPr>
          <w:p w14:paraId="7B6705E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EC"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5E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EE"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5E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F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5F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5F2"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604" w14:textId="77777777">
        <w:tc>
          <w:tcPr>
            <w:tcW w:w="0" w:type="auto"/>
            <w:gridSpan w:val="3"/>
            <w:shd w:val="clear" w:color="auto" w:fill="CCEEFF"/>
            <w:tcMar>
              <w:top w:w="40" w:type="dxa"/>
              <w:left w:w="20" w:type="dxa"/>
              <w:bottom w:w="40" w:type="dxa"/>
              <w:right w:w="20" w:type="dxa"/>
            </w:tcMar>
            <w:vAlign w:val="bottom"/>
          </w:tcPr>
          <w:p w14:paraId="7B6705F4" w14:textId="77777777" w:rsidR="0040300B" w:rsidRDefault="00BB2D44">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5F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5F6" w14:textId="77777777" w:rsidR="0040300B" w:rsidRDefault="00BB2D44">
            <w:pPr>
              <w:jc w:val="right"/>
              <w:textAlignment w:val="bottom"/>
            </w:pPr>
            <w:r>
              <w:rPr>
                <w:rFonts w:ascii="Times New Roman" w:eastAsia="宋体" w:hAnsi="Times New Roman"/>
                <w:color w:val="000000"/>
                <w:sz w:val="20"/>
                <w:szCs w:val="20"/>
              </w:rPr>
              <w:t>2,863 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F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F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5F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5FA" w14:textId="77777777" w:rsidR="0040300B" w:rsidRDefault="00BB2D44">
            <w:pPr>
              <w:jc w:val="right"/>
              <w:textAlignment w:val="bottom"/>
            </w:pPr>
            <w:r>
              <w:rPr>
                <w:rFonts w:ascii="Times New Roman" w:eastAsia="宋体" w:hAnsi="Times New Roman"/>
                <w:color w:val="000000"/>
                <w:sz w:val="20"/>
                <w:szCs w:val="20"/>
              </w:rPr>
              <w:t>2,774 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F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5F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5F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5FE" w14:textId="77777777" w:rsidR="0040300B" w:rsidRDefault="00BB2D44">
            <w:pPr>
              <w:jc w:val="right"/>
              <w:textAlignment w:val="bottom"/>
            </w:pPr>
            <w:r>
              <w:rPr>
                <w:rFonts w:ascii="Times New Roman" w:eastAsia="宋体" w:hAnsi="Times New Roman"/>
                <w:color w:val="000000"/>
                <w:sz w:val="20"/>
                <w:szCs w:val="20"/>
              </w:rPr>
              <w:t>7,582 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5F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0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60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602" w14:textId="77777777" w:rsidR="0040300B" w:rsidRDefault="00BB2D44">
            <w:pPr>
              <w:jc w:val="right"/>
              <w:textAlignment w:val="bottom"/>
            </w:pPr>
            <w:r>
              <w:rPr>
                <w:rFonts w:ascii="Times New Roman" w:eastAsia="宋体" w:hAnsi="Times New Roman"/>
                <w:color w:val="000000"/>
                <w:sz w:val="20"/>
                <w:szCs w:val="20"/>
              </w:rPr>
              <w:t>8,578 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03" w14:textId="77777777" w:rsidR="0040300B" w:rsidRDefault="0040300B">
            <w:pPr>
              <w:jc w:val="right"/>
              <w:rPr>
                <w:rFonts w:ascii="宋体"/>
              </w:rPr>
            </w:pPr>
          </w:p>
        </w:tc>
      </w:tr>
      <w:tr w:rsidR="0040300B" w14:paraId="7B670611" w14:textId="77777777">
        <w:tc>
          <w:tcPr>
            <w:tcW w:w="0" w:type="auto"/>
            <w:gridSpan w:val="3"/>
            <w:shd w:val="clear" w:color="auto" w:fill="FFFFFF"/>
            <w:tcMar>
              <w:top w:w="40" w:type="dxa"/>
              <w:left w:w="20" w:type="dxa"/>
              <w:bottom w:w="40" w:type="dxa"/>
              <w:right w:w="20" w:type="dxa"/>
            </w:tcMar>
            <w:vAlign w:val="bottom"/>
          </w:tcPr>
          <w:p w14:paraId="7B670605" w14:textId="77777777" w:rsidR="0040300B" w:rsidRDefault="00BB2D44">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B670606" w14:textId="77777777" w:rsidR="0040300B" w:rsidRDefault="00BB2D44">
            <w:pPr>
              <w:jc w:val="right"/>
              <w:textAlignment w:val="bottom"/>
            </w:pPr>
            <w:r>
              <w:rPr>
                <w:rFonts w:ascii="Times New Roman" w:eastAsia="宋体" w:hAnsi="Times New Roman"/>
                <w:color w:val="000000"/>
                <w:sz w:val="20"/>
                <w:szCs w:val="20"/>
              </w:rPr>
              <w:t>4,219 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0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08" w14:textId="77777777" w:rsidR="0040300B" w:rsidRDefault="0040300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B670609" w14:textId="77777777" w:rsidR="0040300B" w:rsidRDefault="00BB2D44">
            <w:pPr>
              <w:jc w:val="right"/>
              <w:textAlignment w:val="bottom"/>
            </w:pPr>
            <w:r>
              <w:rPr>
                <w:rFonts w:ascii="Times New Roman" w:eastAsia="宋体" w:hAnsi="Times New Roman"/>
                <w:color w:val="000000"/>
                <w:sz w:val="20"/>
                <w:szCs w:val="20"/>
              </w:rPr>
              <w:t>4,230 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0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0B" w14:textId="77777777" w:rsidR="0040300B" w:rsidRDefault="0040300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B67060C" w14:textId="77777777" w:rsidR="0040300B" w:rsidRDefault="00BB2D44">
            <w:pPr>
              <w:jc w:val="right"/>
              <w:textAlignment w:val="bottom"/>
            </w:pPr>
            <w:r>
              <w:rPr>
                <w:rFonts w:ascii="Times New Roman" w:eastAsia="宋体" w:hAnsi="Times New Roman"/>
                <w:color w:val="000000"/>
                <w:sz w:val="20"/>
                <w:szCs w:val="20"/>
              </w:rPr>
              <w:t>4,224 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0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0E" w14:textId="77777777" w:rsidR="0040300B" w:rsidRDefault="0040300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B67060F" w14:textId="77777777" w:rsidR="0040300B" w:rsidRDefault="00BB2D44">
            <w:pPr>
              <w:jc w:val="right"/>
              <w:textAlignment w:val="bottom"/>
            </w:pPr>
            <w:r>
              <w:rPr>
                <w:rFonts w:ascii="Times New Roman" w:eastAsia="宋体" w:hAnsi="Times New Roman"/>
                <w:color w:val="000000"/>
                <w:sz w:val="20"/>
                <w:szCs w:val="20"/>
              </w:rPr>
              <w:t>4,239 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10" w14:textId="77777777" w:rsidR="0040300B" w:rsidRDefault="0040300B">
            <w:pPr>
              <w:jc w:val="right"/>
              <w:rPr>
                <w:rFonts w:ascii="宋体"/>
              </w:rPr>
            </w:pPr>
          </w:p>
        </w:tc>
      </w:tr>
      <w:tr w:rsidR="0040300B" w14:paraId="7B67061E" w14:textId="77777777">
        <w:tc>
          <w:tcPr>
            <w:tcW w:w="0" w:type="auto"/>
            <w:gridSpan w:val="3"/>
            <w:shd w:val="clear" w:color="auto" w:fill="CCEEFF"/>
            <w:tcMar>
              <w:top w:w="40" w:type="dxa"/>
              <w:left w:w="20" w:type="dxa"/>
              <w:bottom w:w="40" w:type="dxa"/>
              <w:right w:w="20" w:type="dxa"/>
            </w:tcMar>
            <w:vAlign w:val="bottom"/>
          </w:tcPr>
          <w:p w14:paraId="7B670612" w14:textId="77777777" w:rsidR="0040300B" w:rsidRDefault="00BB2D44">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7B670613"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B67061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1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616" w14:textId="77777777" w:rsidR="0040300B" w:rsidRDefault="00BB2D4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B67061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1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619" w14:textId="77777777" w:rsidR="0040300B" w:rsidRDefault="00BB2D44">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7B67061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1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61C"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B67061D" w14:textId="77777777" w:rsidR="0040300B" w:rsidRDefault="0040300B">
            <w:pPr>
              <w:jc w:val="right"/>
              <w:rPr>
                <w:rFonts w:ascii="宋体"/>
              </w:rPr>
            </w:pPr>
          </w:p>
        </w:tc>
      </w:tr>
      <w:tr w:rsidR="0040300B" w14:paraId="7B67062B" w14:textId="77777777">
        <w:tc>
          <w:tcPr>
            <w:tcW w:w="0" w:type="auto"/>
            <w:gridSpan w:val="3"/>
            <w:shd w:val="clear" w:color="auto" w:fill="FFFFFF"/>
            <w:tcMar>
              <w:top w:w="40" w:type="dxa"/>
              <w:left w:w="20" w:type="dxa"/>
              <w:bottom w:w="40" w:type="dxa"/>
              <w:right w:w="20" w:type="dxa"/>
            </w:tcMar>
            <w:vAlign w:val="bottom"/>
          </w:tcPr>
          <w:p w14:paraId="7B67061F" w14:textId="77777777" w:rsidR="0040300B" w:rsidRDefault="00BB2D44">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620" w14:textId="77777777" w:rsidR="0040300B" w:rsidRDefault="00BB2D44">
            <w:pPr>
              <w:jc w:val="right"/>
              <w:textAlignment w:val="bottom"/>
            </w:pPr>
            <w:r>
              <w:rPr>
                <w:rFonts w:ascii="Times New Roman" w:eastAsia="宋体" w:hAnsi="Times New Roman"/>
                <w:color w:val="000000"/>
                <w:sz w:val="20"/>
                <w:szCs w:val="20"/>
              </w:rPr>
              <w:t>4,238 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62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22"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623" w14:textId="77777777" w:rsidR="0040300B" w:rsidRDefault="00BB2D44">
            <w:pPr>
              <w:jc w:val="right"/>
              <w:textAlignment w:val="bottom"/>
            </w:pPr>
            <w:r>
              <w:rPr>
                <w:rFonts w:ascii="Times New Roman" w:eastAsia="宋体" w:hAnsi="Times New Roman"/>
                <w:color w:val="000000"/>
                <w:sz w:val="20"/>
                <w:szCs w:val="20"/>
              </w:rPr>
              <w:t>4,243 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62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25"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626" w14:textId="77777777" w:rsidR="0040300B" w:rsidRDefault="00BB2D44">
            <w:pPr>
              <w:jc w:val="right"/>
              <w:textAlignment w:val="bottom"/>
            </w:pPr>
            <w:r>
              <w:rPr>
                <w:rFonts w:ascii="Times New Roman" w:eastAsia="宋体" w:hAnsi="Times New Roman"/>
                <w:color w:val="000000"/>
                <w:sz w:val="20"/>
                <w:szCs w:val="20"/>
              </w:rPr>
              <w:t>4,237 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62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28" w14:textId="77777777" w:rsidR="0040300B" w:rsidRDefault="0040300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B670629" w14:textId="77777777" w:rsidR="0040300B" w:rsidRDefault="00BB2D44">
            <w:pPr>
              <w:jc w:val="right"/>
              <w:textAlignment w:val="bottom"/>
            </w:pPr>
            <w:r>
              <w:rPr>
                <w:rFonts w:ascii="Times New Roman" w:eastAsia="宋体" w:hAnsi="Times New Roman"/>
                <w:color w:val="000000"/>
                <w:sz w:val="20"/>
                <w:szCs w:val="20"/>
              </w:rPr>
              <w:t>4,258 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B67062A" w14:textId="77777777" w:rsidR="0040300B" w:rsidRDefault="0040300B">
            <w:pPr>
              <w:jc w:val="right"/>
              <w:rPr>
                <w:rFonts w:ascii="宋体"/>
              </w:rPr>
            </w:pPr>
          </w:p>
        </w:tc>
      </w:tr>
      <w:tr w:rsidR="0040300B" w14:paraId="7B67063C" w14:textId="77777777">
        <w:tc>
          <w:tcPr>
            <w:tcW w:w="0" w:type="auto"/>
            <w:gridSpan w:val="3"/>
            <w:shd w:val="clear" w:color="auto" w:fill="CCEEFF"/>
            <w:tcMar>
              <w:top w:w="40" w:type="dxa"/>
              <w:left w:w="20" w:type="dxa"/>
              <w:bottom w:w="40" w:type="dxa"/>
              <w:right w:w="20" w:type="dxa"/>
            </w:tcMar>
            <w:vAlign w:val="bottom"/>
          </w:tcPr>
          <w:p w14:paraId="7B67062C" w14:textId="77777777" w:rsidR="0040300B" w:rsidRDefault="00BB2D44">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7B67062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B67062E" w14:textId="77777777" w:rsidR="0040300B" w:rsidRDefault="00BB2D44">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7062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30" w14:textId="77777777" w:rsidR="0040300B" w:rsidRDefault="0040300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B67063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B670632" w14:textId="77777777" w:rsidR="0040300B" w:rsidRDefault="00BB2D44">
            <w:pPr>
              <w:jc w:val="right"/>
              <w:textAlignment w:val="bottom"/>
            </w:pPr>
            <w:r>
              <w:rPr>
                <w:rFonts w:ascii="Times New Roman" w:eastAsia="宋体" w:hAnsi="Times New Roman"/>
                <w:color w:val="000000"/>
                <w:sz w:val="20"/>
                <w:szCs w:val="20"/>
              </w:rPr>
              <w:t>0.66 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7063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34" w14:textId="77777777" w:rsidR="0040300B" w:rsidRDefault="0040300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B67063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B670636" w14:textId="77777777" w:rsidR="0040300B" w:rsidRDefault="00BB2D44">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7063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38" w14:textId="77777777" w:rsidR="0040300B" w:rsidRDefault="0040300B">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7B67063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7B67063A" w14:textId="77777777" w:rsidR="0040300B" w:rsidRDefault="00BB2D44">
            <w:pPr>
              <w:jc w:val="right"/>
              <w:textAlignment w:val="bottom"/>
            </w:pPr>
            <w:r>
              <w:rPr>
                <w:rFonts w:ascii="Times New Roman" w:eastAsia="宋体" w:hAnsi="Times New Roman"/>
                <w:color w:val="000000"/>
                <w:sz w:val="20"/>
                <w:szCs w:val="20"/>
              </w:rPr>
              <w:t>2.02 </w:t>
            </w:r>
          </w:p>
        </w:tc>
        <w:tc>
          <w:tcPr>
            <w:tcW w:w="0" w:type="auto"/>
            <w:tcBorders>
              <w:top w:val="double" w:sz="6" w:space="0" w:color="000000"/>
            </w:tcBorders>
            <w:shd w:val="clear" w:color="auto" w:fill="CCEEFF"/>
            <w:tcMar>
              <w:top w:w="40" w:type="dxa"/>
              <w:left w:w="0" w:type="dxa"/>
              <w:bottom w:w="40" w:type="dxa"/>
              <w:right w:w="20" w:type="dxa"/>
            </w:tcMar>
            <w:vAlign w:val="bottom"/>
          </w:tcPr>
          <w:p w14:paraId="7B67063B" w14:textId="77777777" w:rsidR="0040300B" w:rsidRDefault="0040300B">
            <w:pPr>
              <w:jc w:val="right"/>
              <w:rPr>
                <w:rFonts w:ascii="宋体"/>
              </w:rPr>
            </w:pPr>
          </w:p>
        </w:tc>
      </w:tr>
      <w:tr w:rsidR="0040300B" w14:paraId="7B67064D" w14:textId="77777777">
        <w:tc>
          <w:tcPr>
            <w:tcW w:w="0" w:type="auto"/>
            <w:gridSpan w:val="3"/>
            <w:shd w:val="clear" w:color="auto" w:fill="FFFFFF"/>
            <w:tcMar>
              <w:top w:w="40" w:type="dxa"/>
              <w:left w:w="20" w:type="dxa"/>
              <w:bottom w:w="40" w:type="dxa"/>
              <w:right w:w="20" w:type="dxa"/>
            </w:tcMar>
            <w:vAlign w:val="bottom"/>
          </w:tcPr>
          <w:p w14:paraId="7B67063D" w14:textId="77777777" w:rsidR="0040300B" w:rsidRDefault="00BB2D44">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7B67063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7063F" w14:textId="77777777" w:rsidR="0040300B" w:rsidRDefault="00BB2D44">
            <w:pPr>
              <w:jc w:val="right"/>
              <w:textAlignment w:val="bottom"/>
            </w:pPr>
            <w:r>
              <w:rPr>
                <w:rFonts w:ascii="Times New Roman" w:eastAsia="宋体" w:hAnsi="Times New Roman"/>
                <w:color w:val="000000"/>
                <w:sz w:val="20"/>
                <w:szCs w:val="20"/>
              </w:rPr>
              <w:t>0.68 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41"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7064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70643" w14:textId="77777777" w:rsidR="0040300B" w:rsidRDefault="00BB2D44">
            <w:pPr>
              <w:jc w:val="right"/>
              <w:textAlignment w:val="bottom"/>
            </w:pPr>
            <w:r>
              <w:rPr>
                <w:rFonts w:ascii="Times New Roman" w:eastAsia="宋体" w:hAnsi="Times New Roman"/>
                <w:color w:val="000000"/>
                <w:sz w:val="20"/>
                <w:szCs w:val="20"/>
              </w:rPr>
              <w:t>0.65 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4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45"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7064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70647" w14:textId="77777777" w:rsidR="0040300B" w:rsidRDefault="00BB2D44">
            <w:pPr>
              <w:jc w:val="right"/>
              <w:textAlignment w:val="bottom"/>
            </w:pPr>
            <w:r>
              <w:rPr>
                <w:rFonts w:ascii="Times New Roman" w:eastAsia="宋体" w:hAnsi="Times New Roman"/>
                <w:color w:val="000000"/>
                <w:sz w:val="20"/>
                <w:szCs w:val="20"/>
              </w:rPr>
              <w:t>1.79 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4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49" w14:textId="77777777" w:rsidR="0040300B" w:rsidRDefault="0040300B">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B6706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B67064B" w14:textId="77777777" w:rsidR="0040300B" w:rsidRDefault="00BB2D44">
            <w:pPr>
              <w:jc w:val="right"/>
              <w:textAlignment w:val="bottom"/>
            </w:pPr>
            <w:r>
              <w:rPr>
                <w:rFonts w:ascii="Times New Roman" w:eastAsia="宋体" w:hAnsi="Times New Roman"/>
                <w:color w:val="000000"/>
                <w:sz w:val="20"/>
                <w:szCs w:val="20"/>
              </w:rPr>
              <w:t>2.01 </w:t>
            </w:r>
          </w:p>
        </w:tc>
        <w:tc>
          <w:tcPr>
            <w:tcW w:w="0" w:type="auto"/>
            <w:tcBorders>
              <w:top w:val="double" w:sz="6" w:space="0" w:color="000000"/>
            </w:tcBorders>
            <w:shd w:val="clear" w:color="auto" w:fill="FFFFFF"/>
            <w:tcMar>
              <w:top w:w="40" w:type="dxa"/>
              <w:left w:w="0" w:type="dxa"/>
              <w:bottom w:w="40" w:type="dxa"/>
              <w:right w:w="20" w:type="dxa"/>
            </w:tcMar>
            <w:vAlign w:val="bottom"/>
          </w:tcPr>
          <w:p w14:paraId="7B67064C" w14:textId="77777777" w:rsidR="0040300B" w:rsidRDefault="0040300B">
            <w:pPr>
              <w:jc w:val="right"/>
              <w:rPr>
                <w:rFonts w:ascii="宋体"/>
              </w:rPr>
            </w:pPr>
          </w:p>
        </w:tc>
      </w:tr>
      <w:tr w:rsidR="0040300B" w14:paraId="7B67065A" w14:textId="77777777">
        <w:tc>
          <w:tcPr>
            <w:tcW w:w="0" w:type="auto"/>
            <w:gridSpan w:val="3"/>
            <w:shd w:val="clear" w:color="auto" w:fill="CCEEFF"/>
            <w:tcMar>
              <w:top w:w="40" w:type="dxa"/>
              <w:left w:w="20" w:type="dxa"/>
              <w:bottom w:w="40" w:type="dxa"/>
              <w:right w:w="20" w:type="dxa"/>
            </w:tcMar>
            <w:vAlign w:val="bottom"/>
          </w:tcPr>
          <w:p w14:paraId="7B67064E" w14:textId="77777777" w:rsidR="0040300B" w:rsidRDefault="00BB2D44">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B67064F" w14:textId="77777777" w:rsidR="0040300B" w:rsidRDefault="00BB2D44">
            <w:pPr>
              <w:jc w:val="right"/>
              <w:textAlignment w:val="bottom"/>
            </w:pPr>
            <w:r>
              <w:rPr>
                <w:rFonts w:ascii="Times New Roman" w:eastAsia="宋体" w:hAnsi="Times New Roman"/>
                <w:color w:val="000000"/>
                <w:sz w:val="20"/>
                <w:szCs w:val="20"/>
              </w:rPr>
              <w:t>15 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B6706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51" w14:textId="77777777" w:rsidR="0040300B" w:rsidRDefault="0040300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B670652" w14:textId="77777777" w:rsidR="0040300B" w:rsidRDefault="00BB2D44">
            <w:pPr>
              <w:jc w:val="right"/>
              <w:textAlignment w:val="bottom"/>
            </w:pPr>
            <w:r>
              <w:rPr>
                <w:rFonts w:ascii="Times New Roman" w:eastAsia="宋体" w:hAnsi="Times New Roman"/>
                <w:color w:val="000000"/>
                <w:sz w:val="20"/>
                <w:szCs w:val="20"/>
              </w:rPr>
              <w:t>14 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B67065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54" w14:textId="77777777" w:rsidR="0040300B" w:rsidRDefault="0040300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B670655" w14:textId="77777777" w:rsidR="0040300B" w:rsidRDefault="00BB2D44">
            <w:pPr>
              <w:jc w:val="right"/>
              <w:textAlignment w:val="bottom"/>
            </w:pPr>
            <w:r>
              <w:rPr>
                <w:rFonts w:ascii="Times New Roman" w:eastAsia="宋体" w:hAnsi="Times New Roman"/>
                <w:color w:val="000000"/>
                <w:sz w:val="20"/>
                <w:szCs w:val="20"/>
              </w:rPr>
              <w:t>55 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B67065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57" w14:textId="77777777" w:rsidR="0040300B" w:rsidRDefault="0040300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7B670658" w14:textId="77777777" w:rsidR="0040300B" w:rsidRDefault="00BB2D44">
            <w:pPr>
              <w:jc w:val="right"/>
              <w:textAlignment w:val="bottom"/>
            </w:pPr>
            <w:r>
              <w:rPr>
                <w:rFonts w:ascii="Times New Roman" w:eastAsia="宋体" w:hAnsi="Times New Roman"/>
                <w:color w:val="000000"/>
                <w:sz w:val="20"/>
                <w:szCs w:val="20"/>
              </w:rPr>
              <w:t>42 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7B670659" w14:textId="77777777" w:rsidR="0040300B" w:rsidRDefault="0040300B">
            <w:pPr>
              <w:jc w:val="right"/>
              <w:rPr>
                <w:rFonts w:ascii="宋体"/>
              </w:rPr>
            </w:pPr>
          </w:p>
        </w:tc>
      </w:tr>
    </w:tbl>
    <w:p w14:paraId="7B67065B" w14:textId="77777777" w:rsidR="0040300B" w:rsidRDefault="00BB2D44">
      <w:pPr>
        <w:spacing w:before="120"/>
        <w:jc w:val="both"/>
      </w:pPr>
      <w:r>
        <w:rPr>
          <w:rFonts w:ascii="Times New Roman" w:eastAsia="宋体" w:hAnsi="Times New Roman"/>
          <w:color w:val="000000"/>
          <w:sz w:val="20"/>
          <w:szCs w:val="20"/>
        </w:rPr>
        <w:t>Employee equity share options, unvested shares, and similar equity instruments granted and assumed by us are treated as potential common shares outstanding in computing diluted earnings per share. D</w:t>
      </w:r>
      <w:r>
        <w:rPr>
          <w:rFonts w:ascii="Times New Roman" w:eastAsia="宋体" w:hAnsi="Times New Roman"/>
          <w:color w:val="000000"/>
          <w:sz w:val="20"/>
          <w:szCs w:val="20"/>
        </w:rPr>
        <w:t xml:space="preserve">iluted shares outstanding include the dilutive effect of in-the-money options, unvested restricted stock, and restricted stock units. The dilutive effect of such equity awards is calculated based on the average share price for each fiscal period using the </w:t>
      </w:r>
      <w:r>
        <w:rPr>
          <w:rFonts w:ascii="Times New Roman" w:eastAsia="宋体" w:hAnsi="Times New Roman"/>
          <w:color w:val="000000"/>
          <w:sz w:val="20"/>
          <w:szCs w:val="20"/>
        </w:rPr>
        <w:t xml:space="preserve">treasury stock method. Under the treasury stock method, the amount the employee must pay for exercising stock options and the amount of compensation cost for future service that has not yet been recognized are collectively assumed to be used to repurchase </w:t>
      </w:r>
      <w:r>
        <w:rPr>
          <w:rFonts w:ascii="Times New Roman" w:eastAsia="宋体" w:hAnsi="Times New Roman"/>
          <w:color w:val="000000"/>
          <w:sz w:val="20"/>
          <w:szCs w:val="20"/>
        </w:rPr>
        <w:t>shares.</w:t>
      </w:r>
    </w:p>
    <w:p w14:paraId="7B67065C" w14:textId="77777777" w:rsidR="0040300B" w:rsidRDefault="0040300B">
      <w:pPr>
        <w:spacing w:before="60"/>
        <w:jc w:val="both"/>
      </w:pPr>
    </w:p>
    <w:p w14:paraId="7B67065D" w14:textId="77777777" w:rsidR="0040300B" w:rsidRDefault="00BB2D44">
      <w:pPr>
        <w:jc w:val="center"/>
      </w:pPr>
      <w:r>
        <w:rPr>
          <w:rFonts w:ascii="Times New Roman" w:eastAsia="宋体" w:hAnsi="Times New Roman"/>
          <w:color w:val="000000"/>
          <w:sz w:val="20"/>
          <w:szCs w:val="20"/>
        </w:rPr>
        <w:t>42</w:t>
      </w:r>
    </w:p>
    <w:p w14:paraId="7B67065E" w14:textId="77777777" w:rsidR="0040300B" w:rsidRDefault="00BB2D44">
      <w:r>
        <w:pict w14:anchorId="7B671C3A">
          <v:rect id="_x0000_i1066" style="width:415.3pt;height:1.5pt" o:hralign="center" o:hrstd="t" o:hr="t" fillcolor="#a0a0a0" stroked="f"/>
        </w:pict>
      </w:r>
    </w:p>
    <w:p w14:paraId="7B67065F" w14:textId="77777777" w:rsidR="0040300B" w:rsidRDefault="00BB2D44">
      <w:hyperlink r:id="rId88" w:anchor="i52d5b40dbad7426a9806a2fd5167029f_7" w:history="1">
        <w:r>
          <w:rPr>
            <w:rStyle w:val="a5"/>
            <w:rFonts w:ascii="Times New Roman" w:eastAsia="宋体" w:hAnsi="Times New Roman"/>
            <w:sz w:val="18"/>
            <w:szCs w:val="18"/>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40300B" w14:paraId="7B670666" w14:textId="77777777">
        <w:tc>
          <w:tcPr>
            <w:tcW w:w="50" w:type="pct"/>
            <w:shd w:val="clear" w:color="auto" w:fill="auto"/>
          </w:tcPr>
          <w:p w14:paraId="7B670660" w14:textId="77777777" w:rsidR="0040300B" w:rsidRDefault="0040300B">
            <w:pPr>
              <w:rPr>
                <w:rFonts w:ascii="宋体"/>
              </w:rPr>
            </w:pPr>
          </w:p>
        </w:tc>
        <w:tc>
          <w:tcPr>
            <w:tcW w:w="530" w:type="pct"/>
            <w:shd w:val="clear" w:color="auto" w:fill="auto"/>
          </w:tcPr>
          <w:p w14:paraId="7B670661" w14:textId="77777777" w:rsidR="0040300B" w:rsidRDefault="0040300B">
            <w:pPr>
              <w:rPr>
                <w:rFonts w:ascii="宋体"/>
              </w:rPr>
            </w:pPr>
          </w:p>
        </w:tc>
        <w:tc>
          <w:tcPr>
            <w:tcW w:w="5" w:type="pct"/>
            <w:shd w:val="clear" w:color="auto" w:fill="auto"/>
          </w:tcPr>
          <w:p w14:paraId="7B670662" w14:textId="77777777" w:rsidR="0040300B" w:rsidRDefault="0040300B">
            <w:pPr>
              <w:rPr>
                <w:rFonts w:ascii="宋体"/>
              </w:rPr>
            </w:pPr>
          </w:p>
        </w:tc>
        <w:tc>
          <w:tcPr>
            <w:tcW w:w="50" w:type="pct"/>
            <w:shd w:val="clear" w:color="auto" w:fill="auto"/>
          </w:tcPr>
          <w:p w14:paraId="7B670663" w14:textId="77777777" w:rsidR="0040300B" w:rsidRDefault="0040300B">
            <w:pPr>
              <w:rPr>
                <w:rFonts w:ascii="宋体"/>
              </w:rPr>
            </w:pPr>
          </w:p>
        </w:tc>
        <w:tc>
          <w:tcPr>
            <w:tcW w:w="4359" w:type="pct"/>
            <w:shd w:val="clear" w:color="auto" w:fill="auto"/>
          </w:tcPr>
          <w:p w14:paraId="7B670664" w14:textId="77777777" w:rsidR="0040300B" w:rsidRDefault="0040300B">
            <w:pPr>
              <w:rPr>
                <w:rFonts w:ascii="宋体"/>
              </w:rPr>
            </w:pPr>
          </w:p>
        </w:tc>
        <w:tc>
          <w:tcPr>
            <w:tcW w:w="5" w:type="pct"/>
            <w:shd w:val="clear" w:color="auto" w:fill="auto"/>
          </w:tcPr>
          <w:p w14:paraId="7B670665" w14:textId="77777777" w:rsidR="0040300B" w:rsidRDefault="0040300B">
            <w:pPr>
              <w:rPr>
                <w:rFonts w:ascii="宋体"/>
              </w:rPr>
            </w:pPr>
          </w:p>
        </w:tc>
      </w:tr>
      <w:tr w:rsidR="0040300B" w14:paraId="7B670669" w14:textId="77777777">
        <w:tc>
          <w:tcPr>
            <w:tcW w:w="0" w:type="auto"/>
            <w:gridSpan w:val="3"/>
            <w:shd w:val="clear" w:color="auto" w:fill="auto"/>
            <w:tcMar>
              <w:top w:w="40" w:type="dxa"/>
              <w:left w:w="20" w:type="dxa"/>
              <w:bottom w:w="40" w:type="dxa"/>
              <w:right w:w="20" w:type="dxa"/>
            </w:tcMar>
          </w:tcPr>
          <w:p w14:paraId="7B670667" w14:textId="77777777" w:rsidR="0040300B" w:rsidRDefault="00BB2D44">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7B670668" w14:textId="77777777" w:rsidR="0040300B" w:rsidRDefault="00BB2D44">
            <w:pPr>
              <w:textAlignment w:val="top"/>
            </w:pP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tc>
      </w:tr>
    </w:tbl>
    <w:p w14:paraId="7B67066A" w14:textId="77777777" w:rsidR="0040300B" w:rsidRDefault="00BB2D44">
      <w:pPr>
        <w:spacing w:before="90"/>
      </w:pPr>
      <w:r>
        <w:rPr>
          <w:rFonts w:ascii="Times New Roman" w:eastAsia="宋体" w:hAnsi="Times New Roman"/>
          <w:b/>
          <w:bCs/>
          <w:color w:val="000000"/>
          <w:sz w:val="20"/>
          <w:szCs w:val="20"/>
        </w:rPr>
        <w:t>Forward-Looking Statements</w:t>
      </w:r>
    </w:p>
    <w:p w14:paraId="7B67066B" w14:textId="77777777" w:rsidR="0040300B" w:rsidRDefault="00BB2D44">
      <w:pPr>
        <w:spacing w:before="90"/>
        <w:jc w:val="both"/>
      </w:pPr>
      <w:r>
        <w:rPr>
          <w:rFonts w:ascii="Times New Roman" w:eastAsia="宋体" w:hAnsi="Times New Roman"/>
          <w:color w:val="000000"/>
          <w:sz w:val="20"/>
          <w:szCs w:val="20"/>
        </w:rPr>
        <w:t xml:space="preserve">This Quarterly Report on Form 10-Q, including this Management’s Discussion and Analysis of Financial Condition and Results of Operations, contains forward-looking statements regarding future events and </w:t>
      </w:r>
      <w:r>
        <w:rPr>
          <w:rFonts w:ascii="Times New Roman" w:eastAsia="宋体" w:hAnsi="Times New Roman"/>
          <w:color w:val="000000"/>
          <w:sz w:val="20"/>
          <w:szCs w:val="20"/>
        </w:rPr>
        <w:t>our future results that are subject to the safe harbors created under the Securities Act of 1933 (the “Securities Act”) and the Securities Exchange Act of 1934 (the “Exchange Act”). All statements other than statements of historical facts are statements th</w:t>
      </w:r>
      <w:r>
        <w:rPr>
          <w:rFonts w:ascii="Times New Roman" w:eastAsia="宋体" w:hAnsi="Times New Roman"/>
          <w:color w:val="000000"/>
          <w:sz w:val="20"/>
          <w:szCs w:val="20"/>
        </w:rPr>
        <w:t>at could be deemed forward-looking statements. These statements are based on current expectations, estimates, forecasts, and projections about the industries in which we operate and the beliefs and assumptions of our management. Words such as “expects,” “a</w:t>
      </w:r>
      <w:r>
        <w:rPr>
          <w:rFonts w:ascii="Times New Roman" w:eastAsia="宋体" w:hAnsi="Times New Roman"/>
          <w:color w:val="000000"/>
          <w:sz w:val="20"/>
          <w:szCs w:val="20"/>
        </w:rPr>
        <w:t>nticipates,” “targets,” “goals,” “projects,” “intends,” “plans,” “believes,” “momentum,” “seeks,” “estimates,” “continues,” “endeavors,” “strives,” “may,” variations of such words, and similar expressions are intended to identify such forward-looking state</w:t>
      </w:r>
      <w:r>
        <w:rPr>
          <w:rFonts w:ascii="Times New Roman" w:eastAsia="宋体" w:hAnsi="Times New Roman"/>
          <w:color w:val="000000"/>
          <w:sz w:val="20"/>
          <w:szCs w:val="20"/>
        </w:rPr>
        <w:t>ments. In addition, any statements that refer to projections of our future financial performance, our anticipated growth and trends in our businesses, future responses to and effects of the COVID-19 pandemic, and other characterizations of future events or</w:t>
      </w:r>
      <w:r>
        <w:rPr>
          <w:rFonts w:ascii="Times New Roman" w:eastAsia="宋体" w:hAnsi="Times New Roman"/>
          <w:color w:val="000000"/>
          <w:sz w:val="20"/>
          <w:szCs w:val="20"/>
        </w:rPr>
        <w:t xml:space="preserve"> circumstances are forward-looking statements. Readers are cautioned that these forward-looking statements are only predictions and are subject to risks, uncertainties, and assumptions that are difficult to predict, including those under “Part II, Item 1A.</w:t>
      </w:r>
      <w:r>
        <w:rPr>
          <w:rFonts w:ascii="Times New Roman" w:eastAsia="宋体" w:hAnsi="Times New Roman"/>
          <w:color w:val="000000"/>
          <w:sz w:val="20"/>
          <w:szCs w:val="20"/>
        </w:rPr>
        <w:t xml:space="preserve"> Risk Factors,” and elsewhere herein. Therefore, actual results may differ materially and adversely from those expressed in any forward-looking statements. We undertake no obligation to revise or update any forward-looking statements for any reason.</w:t>
      </w:r>
    </w:p>
    <w:p w14:paraId="7B67066C" w14:textId="77777777" w:rsidR="0040300B" w:rsidRDefault="0040300B">
      <w:pPr>
        <w:spacing w:before="90"/>
        <w:jc w:val="both"/>
      </w:pPr>
    </w:p>
    <w:p w14:paraId="7B67066D" w14:textId="77777777" w:rsidR="0040300B" w:rsidRDefault="00BB2D44">
      <w:r>
        <w:rPr>
          <w:rFonts w:ascii="Times New Roman" w:eastAsia="宋体" w:hAnsi="Times New Roman"/>
          <w:b/>
          <w:bCs/>
          <w:color w:val="000000"/>
          <w:sz w:val="22"/>
          <w:szCs w:val="22"/>
        </w:rPr>
        <w:t>OVERV</w:t>
      </w:r>
      <w:r>
        <w:rPr>
          <w:rFonts w:ascii="Times New Roman" w:eastAsia="宋体" w:hAnsi="Times New Roman"/>
          <w:b/>
          <w:bCs/>
          <w:color w:val="000000"/>
          <w:sz w:val="22"/>
          <w:szCs w:val="22"/>
        </w:rPr>
        <w:t>IEW</w:t>
      </w:r>
    </w:p>
    <w:p w14:paraId="7B67066E" w14:textId="77777777" w:rsidR="0040300B" w:rsidRDefault="00BB2D44">
      <w:pPr>
        <w:spacing w:before="60" w:after="60"/>
        <w:jc w:val="both"/>
      </w:pPr>
      <w:r>
        <w:rPr>
          <w:rFonts w:ascii="Times New Roman" w:eastAsia="宋体" w:hAnsi="Times New Roman"/>
          <w:color w:val="000000"/>
          <w:sz w:val="20"/>
          <w:szCs w:val="20"/>
        </w:rPr>
        <w:t xml:space="preserve">Cisco designs and sells a broad range of technologies that have been powering the Internet since 1984. We are integrating intent-based technologies across networking, security, collaboration, applications and the cloud. These technologies are designed </w:t>
      </w:r>
      <w:r>
        <w:rPr>
          <w:rFonts w:ascii="Times New Roman" w:eastAsia="宋体" w:hAnsi="Times New Roman"/>
          <w:color w:val="000000"/>
          <w:sz w:val="20"/>
          <w:szCs w:val="20"/>
        </w:rPr>
        <w:t xml:space="preserve">to help our customers manage more users, devices and things connecting to their networks. This will enable us to provide customers with a highly secure, intelligent platform for their digital business. </w:t>
      </w:r>
    </w:p>
    <w:p w14:paraId="7B67066F" w14:textId="77777777" w:rsidR="0040300B" w:rsidRDefault="00BB2D44">
      <w:pPr>
        <w:spacing w:before="60" w:after="60"/>
        <w:jc w:val="both"/>
      </w:pPr>
      <w:r>
        <w:rPr>
          <w:rFonts w:ascii="Times New Roman" w:eastAsia="宋体" w:hAnsi="Times New Roman"/>
          <w:color w:val="000000"/>
          <w:sz w:val="20"/>
          <w:szCs w:val="20"/>
        </w:rPr>
        <w:t xml:space="preserve">A summary of our results is as follows (in millions, </w:t>
      </w:r>
      <w:r>
        <w:rPr>
          <w:rFonts w:ascii="Times New Roman" w:eastAsia="宋体" w:hAnsi="Times New Roman"/>
          <w:color w:val="000000"/>
          <w:sz w:val="20"/>
          <w:szCs w:val="20"/>
        </w:rPr>
        <w:t>except percentages and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015"/>
        <w:gridCol w:w="38"/>
        <w:gridCol w:w="115"/>
        <w:gridCol w:w="570"/>
        <w:gridCol w:w="179"/>
        <w:gridCol w:w="36"/>
        <w:gridCol w:w="36"/>
        <w:gridCol w:w="36"/>
        <w:gridCol w:w="115"/>
        <w:gridCol w:w="570"/>
        <w:gridCol w:w="179"/>
        <w:gridCol w:w="36"/>
        <w:gridCol w:w="36"/>
        <w:gridCol w:w="36"/>
        <w:gridCol w:w="71"/>
        <w:gridCol w:w="612"/>
        <w:gridCol w:w="179"/>
        <w:gridCol w:w="74"/>
        <w:gridCol w:w="229"/>
        <w:gridCol w:w="36"/>
        <w:gridCol w:w="115"/>
        <w:gridCol w:w="570"/>
        <w:gridCol w:w="179"/>
        <w:gridCol w:w="36"/>
        <w:gridCol w:w="36"/>
        <w:gridCol w:w="36"/>
        <w:gridCol w:w="115"/>
        <w:gridCol w:w="570"/>
        <w:gridCol w:w="179"/>
        <w:gridCol w:w="36"/>
        <w:gridCol w:w="36"/>
        <w:gridCol w:w="36"/>
        <w:gridCol w:w="71"/>
        <w:gridCol w:w="612"/>
        <w:gridCol w:w="179"/>
        <w:gridCol w:w="62"/>
        <w:gridCol w:w="194"/>
        <w:gridCol w:w="36"/>
      </w:tblGrid>
      <w:tr w:rsidR="0040300B" w14:paraId="7B670697" w14:textId="77777777">
        <w:tc>
          <w:tcPr>
            <w:tcW w:w="50" w:type="pct"/>
            <w:shd w:val="clear" w:color="auto" w:fill="auto"/>
          </w:tcPr>
          <w:p w14:paraId="7B670670" w14:textId="77777777" w:rsidR="0040300B" w:rsidRDefault="0040300B">
            <w:pPr>
              <w:rPr>
                <w:rFonts w:ascii="宋体"/>
              </w:rPr>
            </w:pPr>
          </w:p>
        </w:tc>
        <w:tc>
          <w:tcPr>
            <w:tcW w:w="1436" w:type="pct"/>
            <w:shd w:val="clear" w:color="auto" w:fill="auto"/>
          </w:tcPr>
          <w:p w14:paraId="7B670671" w14:textId="77777777" w:rsidR="0040300B" w:rsidRDefault="0040300B">
            <w:pPr>
              <w:rPr>
                <w:rFonts w:ascii="宋体"/>
              </w:rPr>
            </w:pPr>
          </w:p>
        </w:tc>
        <w:tc>
          <w:tcPr>
            <w:tcW w:w="5" w:type="pct"/>
            <w:shd w:val="clear" w:color="auto" w:fill="auto"/>
          </w:tcPr>
          <w:p w14:paraId="7B670672" w14:textId="77777777" w:rsidR="0040300B" w:rsidRDefault="0040300B">
            <w:pPr>
              <w:rPr>
                <w:rFonts w:ascii="宋体"/>
              </w:rPr>
            </w:pPr>
          </w:p>
        </w:tc>
        <w:tc>
          <w:tcPr>
            <w:tcW w:w="50" w:type="pct"/>
            <w:shd w:val="clear" w:color="auto" w:fill="auto"/>
          </w:tcPr>
          <w:p w14:paraId="7B670673" w14:textId="77777777" w:rsidR="0040300B" w:rsidRDefault="0040300B">
            <w:pPr>
              <w:rPr>
                <w:rFonts w:ascii="宋体"/>
              </w:rPr>
            </w:pPr>
          </w:p>
        </w:tc>
        <w:tc>
          <w:tcPr>
            <w:tcW w:w="434" w:type="pct"/>
            <w:shd w:val="clear" w:color="auto" w:fill="auto"/>
          </w:tcPr>
          <w:p w14:paraId="7B670674" w14:textId="77777777" w:rsidR="0040300B" w:rsidRDefault="0040300B">
            <w:pPr>
              <w:rPr>
                <w:rFonts w:ascii="宋体"/>
              </w:rPr>
            </w:pPr>
          </w:p>
        </w:tc>
        <w:tc>
          <w:tcPr>
            <w:tcW w:w="5" w:type="pct"/>
            <w:shd w:val="clear" w:color="auto" w:fill="auto"/>
          </w:tcPr>
          <w:p w14:paraId="7B670675" w14:textId="77777777" w:rsidR="0040300B" w:rsidRDefault="0040300B">
            <w:pPr>
              <w:rPr>
                <w:rFonts w:ascii="宋体"/>
              </w:rPr>
            </w:pPr>
          </w:p>
        </w:tc>
        <w:tc>
          <w:tcPr>
            <w:tcW w:w="5" w:type="pct"/>
            <w:shd w:val="clear" w:color="auto" w:fill="auto"/>
          </w:tcPr>
          <w:p w14:paraId="7B670676" w14:textId="77777777" w:rsidR="0040300B" w:rsidRDefault="0040300B">
            <w:pPr>
              <w:rPr>
                <w:rFonts w:ascii="宋体"/>
              </w:rPr>
            </w:pPr>
          </w:p>
        </w:tc>
        <w:tc>
          <w:tcPr>
            <w:tcW w:w="26" w:type="pct"/>
            <w:shd w:val="clear" w:color="auto" w:fill="auto"/>
          </w:tcPr>
          <w:p w14:paraId="7B670677" w14:textId="77777777" w:rsidR="0040300B" w:rsidRDefault="0040300B">
            <w:pPr>
              <w:rPr>
                <w:rFonts w:ascii="宋体"/>
              </w:rPr>
            </w:pPr>
          </w:p>
        </w:tc>
        <w:tc>
          <w:tcPr>
            <w:tcW w:w="5" w:type="pct"/>
            <w:shd w:val="clear" w:color="auto" w:fill="auto"/>
          </w:tcPr>
          <w:p w14:paraId="7B670678" w14:textId="77777777" w:rsidR="0040300B" w:rsidRDefault="0040300B">
            <w:pPr>
              <w:rPr>
                <w:rFonts w:ascii="宋体"/>
              </w:rPr>
            </w:pPr>
          </w:p>
        </w:tc>
        <w:tc>
          <w:tcPr>
            <w:tcW w:w="50" w:type="pct"/>
            <w:shd w:val="clear" w:color="auto" w:fill="auto"/>
          </w:tcPr>
          <w:p w14:paraId="7B670679" w14:textId="77777777" w:rsidR="0040300B" w:rsidRDefault="0040300B">
            <w:pPr>
              <w:rPr>
                <w:rFonts w:ascii="宋体"/>
              </w:rPr>
            </w:pPr>
          </w:p>
        </w:tc>
        <w:tc>
          <w:tcPr>
            <w:tcW w:w="434" w:type="pct"/>
            <w:shd w:val="clear" w:color="auto" w:fill="auto"/>
          </w:tcPr>
          <w:p w14:paraId="7B67067A" w14:textId="77777777" w:rsidR="0040300B" w:rsidRDefault="0040300B">
            <w:pPr>
              <w:rPr>
                <w:rFonts w:ascii="宋体"/>
              </w:rPr>
            </w:pPr>
          </w:p>
        </w:tc>
        <w:tc>
          <w:tcPr>
            <w:tcW w:w="5" w:type="pct"/>
            <w:shd w:val="clear" w:color="auto" w:fill="auto"/>
          </w:tcPr>
          <w:p w14:paraId="7B67067B" w14:textId="77777777" w:rsidR="0040300B" w:rsidRDefault="0040300B">
            <w:pPr>
              <w:rPr>
                <w:rFonts w:ascii="宋体"/>
              </w:rPr>
            </w:pPr>
          </w:p>
        </w:tc>
        <w:tc>
          <w:tcPr>
            <w:tcW w:w="5" w:type="pct"/>
            <w:shd w:val="clear" w:color="auto" w:fill="auto"/>
          </w:tcPr>
          <w:p w14:paraId="7B67067C" w14:textId="77777777" w:rsidR="0040300B" w:rsidRDefault="0040300B">
            <w:pPr>
              <w:rPr>
                <w:rFonts w:ascii="宋体"/>
              </w:rPr>
            </w:pPr>
          </w:p>
        </w:tc>
        <w:tc>
          <w:tcPr>
            <w:tcW w:w="26" w:type="pct"/>
            <w:shd w:val="clear" w:color="auto" w:fill="auto"/>
          </w:tcPr>
          <w:p w14:paraId="7B67067D" w14:textId="77777777" w:rsidR="0040300B" w:rsidRDefault="0040300B">
            <w:pPr>
              <w:rPr>
                <w:rFonts w:ascii="宋体"/>
              </w:rPr>
            </w:pPr>
          </w:p>
        </w:tc>
        <w:tc>
          <w:tcPr>
            <w:tcW w:w="5" w:type="pct"/>
            <w:shd w:val="clear" w:color="auto" w:fill="auto"/>
          </w:tcPr>
          <w:p w14:paraId="7B67067E" w14:textId="77777777" w:rsidR="0040300B" w:rsidRDefault="0040300B">
            <w:pPr>
              <w:rPr>
                <w:rFonts w:ascii="宋体"/>
              </w:rPr>
            </w:pPr>
          </w:p>
        </w:tc>
        <w:tc>
          <w:tcPr>
            <w:tcW w:w="50" w:type="pct"/>
            <w:shd w:val="clear" w:color="auto" w:fill="auto"/>
          </w:tcPr>
          <w:p w14:paraId="7B67067F" w14:textId="77777777" w:rsidR="0040300B" w:rsidRDefault="0040300B">
            <w:pPr>
              <w:rPr>
                <w:rFonts w:ascii="宋体"/>
              </w:rPr>
            </w:pPr>
          </w:p>
        </w:tc>
        <w:tc>
          <w:tcPr>
            <w:tcW w:w="434" w:type="pct"/>
            <w:shd w:val="clear" w:color="auto" w:fill="auto"/>
          </w:tcPr>
          <w:p w14:paraId="7B670680" w14:textId="77777777" w:rsidR="0040300B" w:rsidRDefault="0040300B">
            <w:pPr>
              <w:rPr>
                <w:rFonts w:ascii="宋体"/>
              </w:rPr>
            </w:pPr>
          </w:p>
        </w:tc>
        <w:tc>
          <w:tcPr>
            <w:tcW w:w="5" w:type="pct"/>
            <w:shd w:val="clear" w:color="auto" w:fill="auto"/>
          </w:tcPr>
          <w:p w14:paraId="7B670681" w14:textId="77777777" w:rsidR="0040300B" w:rsidRDefault="0040300B">
            <w:pPr>
              <w:rPr>
                <w:rFonts w:ascii="宋体"/>
              </w:rPr>
            </w:pPr>
          </w:p>
        </w:tc>
        <w:tc>
          <w:tcPr>
            <w:tcW w:w="50" w:type="pct"/>
            <w:shd w:val="clear" w:color="auto" w:fill="auto"/>
          </w:tcPr>
          <w:p w14:paraId="7B670682" w14:textId="77777777" w:rsidR="0040300B" w:rsidRDefault="0040300B">
            <w:pPr>
              <w:rPr>
                <w:rFonts w:ascii="宋体"/>
              </w:rPr>
            </w:pPr>
          </w:p>
        </w:tc>
        <w:tc>
          <w:tcPr>
            <w:tcW w:w="156" w:type="pct"/>
            <w:shd w:val="clear" w:color="auto" w:fill="auto"/>
          </w:tcPr>
          <w:p w14:paraId="7B670683" w14:textId="77777777" w:rsidR="0040300B" w:rsidRDefault="0040300B">
            <w:pPr>
              <w:rPr>
                <w:rFonts w:ascii="宋体"/>
              </w:rPr>
            </w:pPr>
          </w:p>
        </w:tc>
        <w:tc>
          <w:tcPr>
            <w:tcW w:w="5" w:type="pct"/>
            <w:shd w:val="clear" w:color="auto" w:fill="auto"/>
          </w:tcPr>
          <w:p w14:paraId="7B670684" w14:textId="77777777" w:rsidR="0040300B" w:rsidRDefault="0040300B">
            <w:pPr>
              <w:rPr>
                <w:rFonts w:ascii="宋体"/>
              </w:rPr>
            </w:pPr>
          </w:p>
        </w:tc>
        <w:tc>
          <w:tcPr>
            <w:tcW w:w="50" w:type="pct"/>
            <w:shd w:val="clear" w:color="auto" w:fill="auto"/>
          </w:tcPr>
          <w:p w14:paraId="7B670685" w14:textId="77777777" w:rsidR="0040300B" w:rsidRDefault="0040300B">
            <w:pPr>
              <w:rPr>
                <w:rFonts w:ascii="宋体"/>
              </w:rPr>
            </w:pPr>
          </w:p>
        </w:tc>
        <w:tc>
          <w:tcPr>
            <w:tcW w:w="434" w:type="pct"/>
            <w:shd w:val="clear" w:color="auto" w:fill="auto"/>
          </w:tcPr>
          <w:p w14:paraId="7B670686" w14:textId="77777777" w:rsidR="0040300B" w:rsidRDefault="0040300B">
            <w:pPr>
              <w:rPr>
                <w:rFonts w:ascii="宋体"/>
              </w:rPr>
            </w:pPr>
          </w:p>
        </w:tc>
        <w:tc>
          <w:tcPr>
            <w:tcW w:w="5" w:type="pct"/>
            <w:shd w:val="clear" w:color="auto" w:fill="auto"/>
          </w:tcPr>
          <w:p w14:paraId="7B670687" w14:textId="77777777" w:rsidR="0040300B" w:rsidRDefault="0040300B">
            <w:pPr>
              <w:rPr>
                <w:rFonts w:ascii="宋体"/>
              </w:rPr>
            </w:pPr>
          </w:p>
        </w:tc>
        <w:tc>
          <w:tcPr>
            <w:tcW w:w="5" w:type="pct"/>
            <w:shd w:val="clear" w:color="auto" w:fill="auto"/>
          </w:tcPr>
          <w:p w14:paraId="7B670688" w14:textId="77777777" w:rsidR="0040300B" w:rsidRDefault="0040300B">
            <w:pPr>
              <w:rPr>
                <w:rFonts w:ascii="宋体"/>
              </w:rPr>
            </w:pPr>
          </w:p>
        </w:tc>
        <w:tc>
          <w:tcPr>
            <w:tcW w:w="26" w:type="pct"/>
            <w:shd w:val="clear" w:color="auto" w:fill="auto"/>
          </w:tcPr>
          <w:p w14:paraId="7B670689" w14:textId="77777777" w:rsidR="0040300B" w:rsidRDefault="0040300B">
            <w:pPr>
              <w:rPr>
                <w:rFonts w:ascii="宋体"/>
              </w:rPr>
            </w:pPr>
          </w:p>
        </w:tc>
        <w:tc>
          <w:tcPr>
            <w:tcW w:w="5" w:type="pct"/>
            <w:shd w:val="clear" w:color="auto" w:fill="auto"/>
          </w:tcPr>
          <w:p w14:paraId="7B67068A" w14:textId="77777777" w:rsidR="0040300B" w:rsidRDefault="0040300B">
            <w:pPr>
              <w:rPr>
                <w:rFonts w:ascii="宋体"/>
              </w:rPr>
            </w:pPr>
          </w:p>
        </w:tc>
        <w:tc>
          <w:tcPr>
            <w:tcW w:w="50" w:type="pct"/>
            <w:shd w:val="clear" w:color="auto" w:fill="auto"/>
          </w:tcPr>
          <w:p w14:paraId="7B67068B" w14:textId="77777777" w:rsidR="0040300B" w:rsidRDefault="0040300B">
            <w:pPr>
              <w:rPr>
                <w:rFonts w:ascii="宋体"/>
              </w:rPr>
            </w:pPr>
          </w:p>
        </w:tc>
        <w:tc>
          <w:tcPr>
            <w:tcW w:w="434" w:type="pct"/>
            <w:shd w:val="clear" w:color="auto" w:fill="auto"/>
          </w:tcPr>
          <w:p w14:paraId="7B67068C" w14:textId="77777777" w:rsidR="0040300B" w:rsidRDefault="0040300B">
            <w:pPr>
              <w:rPr>
                <w:rFonts w:ascii="宋体"/>
              </w:rPr>
            </w:pPr>
          </w:p>
        </w:tc>
        <w:tc>
          <w:tcPr>
            <w:tcW w:w="5" w:type="pct"/>
            <w:shd w:val="clear" w:color="auto" w:fill="auto"/>
          </w:tcPr>
          <w:p w14:paraId="7B67068D" w14:textId="77777777" w:rsidR="0040300B" w:rsidRDefault="0040300B">
            <w:pPr>
              <w:rPr>
                <w:rFonts w:ascii="宋体"/>
              </w:rPr>
            </w:pPr>
          </w:p>
        </w:tc>
        <w:tc>
          <w:tcPr>
            <w:tcW w:w="5" w:type="pct"/>
            <w:shd w:val="clear" w:color="auto" w:fill="auto"/>
          </w:tcPr>
          <w:p w14:paraId="7B67068E" w14:textId="77777777" w:rsidR="0040300B" w:rsidRDefault="0040300B">
            <w:pPr>
              <w:rPr>
                <w:rFonts w:ascii="宋体"/>
              </w:rPr>
            </w:pPr>
          </w:p>
        </w:tc>
        <w:tc>
          <w:tcPr>
            <w:tcW w:w="26" w:type="pct"/>
            <w:shd w:val="clear" w:color="auto" w:fill="auto"/>
          </w:tcPr>
          <w:p w14:paraId="7B67068F" w14:textId="77777777" w:rsidR="0040300B" w:rsidRDefault="0040300B">
            <w:pPr>
              <w:rPr>
                <w:rFonts w:ascii="宋体"/>
              </w:rPr>
            </w:pPr>
          </w:p>
        </w:tc>
        <w:tc>
          <w:tcPr>
            <w:tcW w:w="5" w:type="pct"/>
            <w:shd w:val="clear" w:color="auto" w:fill="auto"/>
          </w:tcPr>
          <w:p w14:paraId="7B670690" w14:textId="77777777" w:rsidR="0040300B" w:rsidRDefault="0040300B">
            <w:pPr>
              <w:rPr>
                <w:rFonts w:ascii="宋体"/>
              </w:rPr>
            </w:pPr>
          </w:p>
        </w:tc>
        <w:tc>
          <w:tcPr>
            <w:tcW w:w="50" w:type="pct"/>
            <w:shd w:val="clear" w:color="auto" w:fill="auto"/>
          </w:tcPr>
          <w:p w14:paraId="7B670691" w14:textId="77777777" w:rsidR="0040300B" w:rsidRDefault="0040300B">
            <w:pPr>
              <w:rPr>
                <w:rFonts w:ascii="宋体"/>
              </w:rPr>
            </w:pPr>
          </w:p>
        </w:tc>
        <w:tc>
          <w:tcPr>
            <w:tcW w:w="434" w:type="pct"/>
            <w:shd w:val="clear" w:color="auto" w:fill="auto"/>
          </w:tcPr>
          <w:p w14:paraId="7B670692" w14:textId="77777777" w:rsidR="0040300B" w:rsidRDefault="0040300B">
            <w:pPr>
              <w:rPr>
                <w:rFonts w:ascii="宋体"/>
              </w:rPr>
            </w:pPr>
          </w:p>
        </w:tc>
        <w:tc>
          <w:tcPr>
            <w:tcW w:w="5" w:type="pct"/>
            <w:shd w:val="clear" w:color="auto" w:fill="auto"/>
          </w:tcPr>
          <w:p w14:paraId="7B670693" w14:textId="77777777" w:rsidR="0040300B" w:rsidRDefault="0040300B">
            <w:pPr>
              <w:rPr>
                <w:rFonts w:ascii="宋体"/>
              </w:rPr>
            </w:pPr>
          </w:p>
        </w:tc>
        <w:tc>
          <w:tcPr>
            <w:tcW w:w="50" w:type="pct"/>
            <w:shd w:val="clear" w:color="auto" w:fill="auto"/>
          </w:tcPr>
          <w:p w14:paraId="7B670694" w14:textId="77777777" w:rsidR="0040300B" w:rsidRDefault="0040300B">
            <w:pPr>
              <w:rPr>
                <w:rFonts w:ascii="宋体"/>
              </w:rPr>
            </w:pPr>
          </w:p>
        </w:tc>
        <w:tc>
          <w:tcPr>
            <w:tcW w:w="157" w:type="pct"/>
            <w:shd w:val="clear" w:color="auto" w:fill="auto"/>
          </w:tcPr>
          <w:p w14:paraId="7B670695" w14:textId="77777777" w:rsidR="0040300B" w:rsidRDefault="0040300B">
            <w:pPr>
              <w:rPr>
                <w:rFonts w:ascii="宋体"/>
              </w:rPr>
            </w:pPr>
          </w:p>
        </w:tc>
        <w:tc>
          <w:tcPr>
            <w:tcW w:w="5" w:type="pct"/>
            <w:shd w:val="clear" w:color="auto" w:fill="auto"/>
          </w:tcPr>
          <w:p w14:paraId="7B670696" w14:textId="77777777" w:rsidR="0040300B" w:rsidRDefault="0040300B">
            <w:pPr>
              <w:rPr>
                <w:rFonts w:ascii="宋体"/>
              </w:rPr>
            </w:pPr>
          </w:p>
        </w:tc>
      </w:tr>
      <w:tr w:rsidR="0040300B" w14:paraId="7B67069D" w14:textId="77777777">
        <w:tc>
          <w:tcPr>
            <w:tcW w:w="0" w:type="auto"/>
            <w:gridSpan w:val="3"/>
            <w:shd w:val="clear" w:color="auto" w:fill="auto"/>
            <w:tcMar>
              <w:top w:w="0" w:type="dxa"/>
              <w:left w:w="20" w:type="dxa"/>
              <w:bottom w:w="0" w:type="dxa"/>
              <w:right w:w="20" w:type="dxa"/>
            </w:tcMar>
          </w:tcPr>
          <w:p w14:paraId="7B670698"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0699"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69A"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069B" w14:textId="77777777" w:rsidR="0040300B" w:rsidRDefault="00BB2D44">
            <w:pPr>
              <w:jc w:val="center"/>
              <w:textAlignment w:val="bottom"/>
            </w:pPr>
            <w:r>
              <w:rPr>
                <w:rFonts w:ascii="Times New Roman" w:eastAsia="宋体" w:hAnsi="Times New Roman"/>
                <w:color w:val="000000"/>
                <w:sz w:val="18"/>
                <w:szCs w:val="18"/>
              </w:rPr>
              <w:t>Nine Months Ended</w:t>
            </w:r>
          </w:p>
        </w:tc>
        <w:tc>
          <w:tcPr>
            <w:tcW w:w="0" w:type="auto"/>
            <w:gridSpan w:val="3"/>
            <w:shd w:val="clear" w:color="auto" w:fill="auto"/>
            <w:tcMar>
              <w:top w:w="0" w:type="dxa"/>
              <w:left w:w="20" w:type="dxa"/>
              <w:bottom w:w="0" w:type="dxa"/>
              <w:right w:w="20" w:type="dxa"/>
            </w:tcMar>
          </w:tcPr>
          <w:p w14:paraId="7B67069C" w14:textId="77777777" w:rsidR="0040300B" w:rsidRDefault="0040300B">
            <w:pPr>
              <w:rPr>
                <w:rFonts w:ascii="宋体"/>
              </w:rPr>
            </w:pPr>
          </w:p>
        </w:tc>
      </w:tr>
      <w:tr w:rsidR="0040300B" w14:paraId="7B6706AB" w14:textId="77777777">
        <w:tc>
          <w:tcPr>
            <w:tcW w:w="0" w:type="auto"/>
            <w:gridSpan w:val="3"/>
            <w:shd w:val="clear" w:color="auto" w:fill="auto"/>
            <w:tcMar>
              <w:top w:w="0" w:type="dxa"/>
              <w:left w:w="20" w:type="dxa"/>
              <w:bottom w:w="0" w:type="dxa"/>
              <w:right w:w="20" w:type="dxa"/>
            </w:tcMar>
          </w:tcPr>
          <w:p w14:paraId="7B67069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9F" w14:textId="77777777" w:rsidR="0040300B" w:rsidRDefault="00BB2D44">
            <w:pPr>
              <w:jc w:val="center"/>
              <w:textAlignment w:val="bottom"/>
            </w:pPr>
            <w:r>
              <w:rPr>
                <w:rFonts w:ascii="Times New Roman" w:eastAsia="宋体" w:hAnsi="Times New Roman"/>
                <w:color w:val="000000"/>
                <w:sz w:val="18"/>
                <w:szCs w:val="18"/>
              </w:rPr>
              <w:t xml:space="preserve">May </w:t>
            </w:r>
            <w:r>
              <w:rPr>
                <w:rFonts w:ascii="Times New Roman" w:eastAsia="宋体" w:hAnsi="Times New Roman"/>
                <w:color w:val="000000"/>
                <w:sz w:val="18"/>
                <w:szCs w:val="18"/>
              </w:rPr>
              <w:t>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6A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A1"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6A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A3" w14:textId="77777777" w:rsidR="0040300B" w:rsidRDefault="00BB2D44">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tcPr>
          <w:p w14:paraId="7B6706A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A5"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6A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A7"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tcBorders>
              <w:top w:val="single" w:sz="8" w:space="0" w:color="000000"/>
            </w:tcBorders>
            <w:shd w:val="clear" w:color="auto" w:fill="auto"/>
            <w:tcMar>
              <w:top w:w="0" w:type="dxa"/>
              <w:left w:w="20" w:type="dxa"/>
              <w:bottom w:w="0" w:type="dxa"/>
              <w:right w:w="20" w:type="dxa"/>
            </w:tcMar>
          </w:tcPr>
          <w:p w14:paraId="7B6706A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6A9" w14:textId="77777777" w:rsidR="0040300B" w:rsidRDefault="00BB2D44">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tcPr>
          <w:p w14:paraId="7B6706AA" w14:textId="77777777" w:rsidR="0040300B" w:rsidRDefault="0040300B">
            <w:pPr>
              <w:rPr>
                <w:rFonts w:ascii="宋体"/>
              </w:rPr>
            </w:pPr>
          </w:p>
        </w:tc>
      </w:tr>
      <w:tr w:rsidR="0040300B" w14:paraId="7B6706C3" w14:textId="77777777">
        <w:tc>
          <w:tcPr>
            <w:tcW w:w="0" w:type="auto"/>
            <w:gridSpan w:val="3"/>
            <w:shd w:val="clear" w:color="auto" w:fill="CCEEFF"/>
            <w:tcMar>
              <w:top w:w="40" w:type="dxa"/>
              <w:left w:w="20" w:type="dxa"/>
              <w:bottom w:w="40" w:type="dxa"/>
              <w:right w:w="20" w:type="dxa"/>
            </w:tcMar>
            <w:vAlign w:val="bottom"/>
          </w:tcPr>
          <w:p w14:paraId="7B6706AC" w14:textId="77777777" w:rsidR="0040300B" w:rsidRDefault="00BB2D44">
            <w:pPr>
              <w:textAlignment w:val="bottom"/>
            </w:pPr>
            <w:r>
              <w:rPr>
                <w:rFonts w:ascii="Times New Roman" w:eastAsia="宋体" w:hAnsi="Times New Roman"/>
                <w:color w:val="000000"/>
                <w:sz w:val="19"/>
                <w:szCs w:val="19"/>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06AD"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6AE" w14:textId="77777777" w:rsidR="0040300B" w:rsidRDefault="00BB2D44">
            <w:pPr>
              <w:jc w:val="right"/>
              <w:textAlignment w:val="bottom"/>
            </w:pPr>
            <w:r>
              <w:rPr>
                <w:rFonts w:ascii="Times New Roman" w:eastAsia="宋体" w:hAnsi="Times New Roman"/>
                <w:color w:val="000000"/>
                <w:sz w:val="19"/>
                <w:szCs w:val="19"/>
              </w:rPr>
              <w:t>12,803 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A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B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6B1"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6B2" w14:textId="77777777" w:rsidR="0040300B" w:rsidRDefault="00BB2D44">
            <w:pPr>
              <w:jc w:val="right"/>
              <w:textAlignment w:val="bottom"/>
            </w:pPr>
            <w:r>
              <w:rPr>
                <w:rFonts w:ascii="Times New Roman" w:eastAsia="宋体" w:hAnsi="Times New Roman"/>
                <w:color w:val="000000"/>
                <w:sz w:val="19"/>
                <w:szCs w:val="19"/>
              </w:rPr>
              <w:t>11,983 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B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B4"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6B5" w14:textId="77777777" w:rsidR="0040300B" w:rsidRDefault="00BB2D44">
            <w:pPr>
              <w:jc w:val="right"/>
              <w:textAlignment w:val="bottom"/>
            </w:pPr>
            <w:r>
              <w:rPr>
                <w:rFonts w:ascii="Times New Roman" w:eastAsia="宋体" w:hAnsi="Times New Roman"/>
                <w:color w:val="000000"/>
                <w:sz w:val="19"/>
                <w:szCs w:val="19"/>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B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6B7"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6B8"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6B9" w14:textId="77777777" w:rsidR="0040300B" w:rsidRDefault="00BB2D44">
            <w:pPr>
              <w:jc w:val="right"/>
              <w:textAlignment w:val="bottom"/>
            </w:pPr>
            <w:r>
              <w:rPr>
                <w:rFonts w:ascii="Times New Roman" w:eastAsia="宋体" w:hAnsi="Times New Roman"/>
                <w:color w:val="000000"/>
                <w:sz w:val="19"/>
                <w:szCs w:val="19"/>
              </w:rPr>
              <w:t>36,692 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B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B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6BC" w14:textId="77777777" w:rsidR="0040300B" w:rsidRDefault="00BB2D4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6BD" w14:textId="77777777" w:rsidR="0040300B" w:rsidRDefault="00BB2D44">
            <w:pPr>
              <w:jc w:val="right"/>
              <w:textAlignment w:val="bottom"/>
            </w:pPr>
            <w:r>
              <w:rPr>
                <w:rFonts w:ascii="Times New Roman" w:eastAsia="宋体" w:hAnsi="Times New Roman"/>
                <w:color w:val="000000"/>
                <w:sz w:val="19"/>
                <w:szCs w:val="19"/>
              </w:rPr>
              <w:t>37,147 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BF"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6C0" w14:textId="77777777" w:rsidR="0040300B" w:rsidRDefault="00BB2D44">
            <w:pPr>
              <w:jc w:val="right"/>
              <w:textAlignment w:val="bottom"/>
            </w:pPr>
            <w:r>
              <w:rPr>
                <w:rFonts w:ascii="Times New Roman" w:eastAsia="宋体" w:hAnsi="Times New Roman"/>
                <w:color w:val="000000"/>
                <w:sz w:val="19"/>
                <w:szCs w:val="19"/>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6C1"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6C2" w14:textId="77777777" w:rsidR="0040300B" w:rsidRDefault="0040300B">
            <w:pPr>
              <w:rPr>
                <w:rFonts w:ascii="宋体"/>
              </w:rPr>
            </w:pPr>
          </w:p>
        </w:tc>
      </w:tr>
      <w:tr w:rsidR="0040300B" w14:paraId="7B6706D7" w14:textId="77777777">
        <w:tc>
          <w:tcPr>
            <w:tcW w:w="0" w:type="auto"/>
            <w:gridSpan w:val="3"/>
            <w:shd w:val="clear" w:color="auto" w:fill="FFFFFF"/>
            <w:tcMar>
              <w:top w:w="40" w:type="dxa"/>
              <w:left w:w="20" w:type="dxa"/>
              <w:bottom w:w="40" w:type="dxa"/>
              <w:right w:w="20" w:type="dxa"/>
            </w:tcMar>
            <w:vAlign w:val="bottom"/>
          </w:tcPr>
          <w:p w14:paraId="7B6706C4" w14:textId="77777777" w:rsidR="0040300B" w:rsidRDefault="00BB2D44">
            <w:pPr>
              <w:textAlignment w:val="bottom"/>
            </w:pPr>
            <w:r>
              <w:rPr>
                <w:rFonts w:ascii="Times New Roman" w:eastAsia="宋体" w:hAnsi="Times New Roman"/>
                <w:color w:val="000000"/>
                <w:sz w:val="19"/>
                <w:szCs w:val="19"/>
              </w:rPr>
              <w:t>Gross margin percentage</w:t>
            </w:r>
          </w:p>
        </w:tc>
        <w:tc>
          <w:tcPr>
            <w:tcW w:w="0" w:type="auto"/>
            <w:gridSpan w:val="2"/>
            <w:shd w:val="clear" w:color="auto" w:fill="FFFFFF"/>
            <w:tcMar>
              <w:top w:w="40" w:type="dxa"/>
              <w:left w:w="20" w:type="dxa"/>
              <w:bottom w:w="40" w:type="dxa"/>
              <w:right w:w="0" w:type="dxa"/>
            </w:tcMar>
            <w:vAlign w:val="bottom"/>
          </w:tcPr>
          <w:p w14:paraId="7B6706C5" w14:textId="77777777" w:rsidR="0040300B" w:rsidRDefault="00BB2D44">
            <w:pPr>
              <w:jc w:val="right"/>
              <w:textAlignment w:val="bottom"/>
            </w:pPr>
            <w:r>
              <w:rPr>
                <w:rFonts w:ascii="Times New Roman" w:eastAsia="宋体" w:hAnsi="Times New Roman"/>
                <w:color w:val="000000"/>
                <w:sz w:val="19"/>
                <w:szCs w:val="19"/>
              </w:rPr>
              <w:t>63.9 </w:t>
            </w:r>
          </w:p>
        </w:tc>
        <w:tc>
          <w:tcPr>
            <w:tcW w:w="0" w:type="auto"/>
            <w:shd w:val="clear" w:color="auto" w:fill="FFFFFF"/>
            <w:tcMar>
              <w:top w:w="40" w:type="dxa"/>
              <w:left w:w="0" w:type="dxa"/>
              <w:bottom w:w="40" w:type="dxa"/>
              <w:right w:w="20" w:type="dxa"/>
            </w:tcMar>
            <w:vAlign w:val="bottom"/>
          </w:tcPr>
          <w:p w14:paraId="7B6706C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6C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6C8" w14:textId="77777777" w:rsidR="0040300B" w:rsidRDefault="00BB2D44">
            <w:pPr>
              <w:jc w:val="right"/>
              <w:textAlignment w:val="bottom"/>
            </w:pPr>
            <w:r>
              <w:rPr>
                <w:rFonts w:ascii="Times New Roman" w:eastAsia="宋体" w:hAnsi="Times New Roman"/>
                <w:color w:val="000000"/>
                <w:sz w:val="19"/>
                <w:szCs w:val="19"/>
              </w:rPr>
              <w:t>64.9 </w:t>
            </w:r>
          </w:p>
        </w:tc>
        <w:tc>
          <w:tcPr>
            <w:tcW w:w="0" w:type="auto"/>
            <w:shd w:val="clear" w:color="auto" w:fill="FFFFFF"/>
            <w:tcMar>
              <w:top w:w="40" w:type="dxa"/>
              <w:left w:w="0" w:type="dxa"/>
              <w:bottom w:w="40" w:type="dxa"/>
              <w:right w:w="20" w:type="dxa"/>
            </w:tcMar>
            <w:vAlign w:val="bottom"/>
          </w:tcPr>
          <w:p w14:paraId="7B6706C9"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6C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6CB" w14:textId="77777777" w:rsidR="0040300B" w:rsidRDefault="00BB2D44">
            <w:pPr>
              <w:jc w:val="right"/>
              <w:textAlignment w:val="bottom"/>
            </w:pPr>
            <w:r>
              <w:rPr>
                <w:rFonts w:ascii="Times New Roman" w:eastAsia="宋体" w:hAnsi="Times New Roman"/>
                <w:color w:val="000000"/>
                <w:sz w:val="19"/>
                <w:szCs w:val="19"/>
              </w:rPr>
              <w:t>(1.0)</w:t>
            </w:r>
          </w:p>
        </w:tc>
        <w:tc>
          <w:tcPr>
            <w:tcW w:w="0" w:type="auto"/>
            <w:shd w:val="clear" w:color="auto" w:fill="FFFFFF"/>
            <w:tcMar>
              <w:top w:w="40" w:type="dxa"/>
              <w:left w:w="0" w:type="dxa"/>
              <w:bottom w:w="40" w:type="dxa"/>
              <w:right w:w="20" w:type="dxa"/>
            </w:tcMar>
            <w:vAlign w:val="bottom"/>
          </w:tcPr>
          <w:p w14:paraId="7B6706CC"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6CD" w14:textId="77777777" w:rsidR="0040300B" w:rsidRDefault="00BB2D44">
            <w:pPr>
              <w:textAlignment w:val="bottom"/>
            </w:pPr>
            <w:r>
              <w:rPr>
                <w:rFonts w:ascii="Times New Roman" w:eastAsia="宋体" w:hAnsi="Times New Roman"/>
                <w:color w:val="000000"/>
                <w:sz w:val="19"/>
                <w:szCs w:val="19"/>
              </w:rPr>
              <w:t>pts</w:t>
            </w:r>
          </w:p>
        </w:tc>
        <w:tc>
          <w:tcPr>
            <w:tcW w:w="0" w:type="auto"/>
            <w:gridSpan w:val="2"/>
            <w:shd w:val="clear" w:color="auto" w:fill="FFFFFF"/>
            <w:tcMar>
              <w:top w:w="40" w:type="dxa"/>
              <w:left w:w="20" w:type="dxa"/>
              <w:bottom w:w="40" w:type="dxa"/>
              <w:right w:w="0" w:type="dxa"/>
            </w:tcMar>
            <w:vAlign w:val="bottom"/>
          </w:tcPr>
          <w:p w14:paraId="7B6706CE" w14:textId="77777777" w:rsidR="0040300B" w:rsidRDefault="00BB2D44">
            <w:pPr>
              <w:jc w:val="right"/>
              <w:textAlignment w:val="bottom"/>
            </w:pPr>
            <w:r>
              <w:rPr>
                <w:rFonts w:ascii="Times New Roman" w:eastAsia="宋体" w:hAnsi="Times New Roman"/>
                <w:color w:val="000000"/>
                <w:sz w:val="19"/>
                <w:szCs w:val="19"/>
              </w:rPr>
              <w:t>64.2 </w:t>
            </w:r>
          </w:p>
        </w:tc>
        <w:tc>
          <w:tcPr>
            <w:tcW w:w="0" w:type="auto"/>
            <w:shd w:val="clear" w:color="auto" w:fill="FFFFFF"/>
            <w:tcMar>
              <w:top w:w="40" w:type="dxa"/>
              <w:left w:w="0" w:type="dxa"/>
              <w:bottom w:w="40" w:type="dxa"/>
              <w:right w:w="20" w:type="dxa"/>
            </w:tcMar>
            <w:vAlign w:val="bottom"/>
          </w:tcPr>
          <w:p w14:paraId="7B6706CF"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6D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6D1" w14:textId="77777777" w:rsidR="0040300B" w:rsidRDefault="00BB2D44">
            <w:pPr>
              <w:jc w:val="right"/>
              <w:textAlignment w:val="bottom"/>
            </w:pPr>
            <w:r>
              <w:rPr>
                <w:rFonts w:ascii="Times New Roman" w:eastAsia="宋体" w:hAnsi="Times New Roman"/>
                <w:color w:val="000000"/>
                <w:sz w:val="19"/>
                <w:szCs w:val="19"/>
              </w:rPr>
              <w:t>64.6 </w:t>
            </w:r>
          </w:p>
        </w:tc>
        <w:tc>
          <w:tcPr>
            <w:tcW w:w="0" w:type="auto"/>
            <w:shd w:val="clear" w:color="auto" w:fill="FFFFFF"/>
            <w:tcMar>
              <w:top w:w="40" w:type="dxa"/>
              <w:left w:w="0" w:type="dxa"/>
              <w:bottom w:w="40" w:type="dxa"/>
              <w:right w:w="20" w:type="dxa"/>
            </w:tcMar>
            <w:vAlign w:val="bottom"/>
          </w:tcPr>
          <w:p w14:paraId="7B6706D2"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6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6D4" w14:textId="77777777" w:rsidR="0040300B" w:rsidRDefault="00BB2D44">
            <w:pPr>
              <w:jc w:val="right"/>
              <w:textAlignment w:val="bottom"/>
            </w:pPr>
            <w:r>
              <w:rPr>
                <w:rFonts w:ascii="Times New Roman" w:eastAsia="宋体" w:hAnsi="Times New Roman"/>
                <w:color w:val="000000"/>
                <w:sz w:val="19"/>
                <w:szCs w:val="19"/>
              </w:rPr>
              <w:t>(0.4)</w:t>
            </w:r>
          </w:p>
        </w:tc>
        <w:tc>
          <w:tcPr>
            <w:tcW w:w="0" w:type="auto"/>
            <w:shd w:val="clear" w:color="auto" w:fill="FFFFFF"/>
            <w:tcMar>
              <w:top w:w="40" w:type="dxa"/>
              <w:left w:w="0" w:type="dxa"/>
              <w:bottom w:w="40" w:type="dxa"/>
              <w:right w:w="20" w:type="dxa"/>
            </w:tcMar>
            <w:vAlign w:val="bottom"/>
          </w:tcPr>
          <w:p w14:paraId="7B6706D5"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6D6" w14:textId="77777777" w:rsidR="0040300B" w:rsidRDefault="00BB2D44">
            <w:pPr>
              <w:textAlignment w:val="bottom"/>
            </w:pPr>
            <w:r>
              <w:rPr>
                <w:rFonts w:ascii="Times New Roman" w:eastAsia="宋体" w:hAnsi="Times New Roman"/>
                <w:color w:val="000000"/>
                <w:sz w:val="19"/>
                <w:szCs w:val="19"/>
              </w:rPr>
              <w:t>pts</w:t>
            </w:r>
          </w:p>
        </w:tc>
      </w:tr>
      <w:tr w:rsidR="0040300B" w14:paraId="7B6706EF" w14:textId="77777777">
        <w:tc>
          <w:tcPr>
            <w:tcW w:w="0" w:type="auto"/>
            <w:gridSpan w:val="3"/>
            <w:shd w:val="clear" w:color="auto" w:fill="CCEEFF"/>
            <w:tcMar>
              <w:top w:w="40" w:type="dxa"/>
              <w:left w:w="20" w:type="dxa"/>
              <w:bottom w:w="40" w:type="dxa"/>
              <w:right w:w="20" w:type="dxa"/>
            </w:tcMar>
            <w:vAlign w:val="bottom"/>
          </w:tcPr>
          <w:p w14:paraId="7B6706D8" w14:textId="77777777" w:rsidR="0040300B" w:rsidRDefault="00BB2D44">
            <w:pPr>
              <w:textAlignment w:val="bottom"/>
            </w:pPr>
            <w:r>
              <w:rPr>
                <w:rFonts w:ascii="Times New Roman" w:eastAsia="宋体" w:hAnsi="Times New Roman"/>
                <w:color w:val="000000"/>
                <w:sz w:val="19"/>
                <w:szCs w:val="19"/>
              </w:rPr>
              <w:t>Research and development</w:t>
            </w:r>
          </w:p>
        </w:tc>
        <w:tc>
          <w:tcPr>
            <w:tcW w:w="0" w:type="auto"/>
            <w:shd w:val="clear" w:color="auto" w:fill="CCEEFF"/>
            <w:tcMar>
              <w:top w:w="40" w:type="dxa"/>
              <w:left w:w="20" w:type="dxa"/>
              <w:bottom w:w="40" w:type="dxa"/>
              <w:right w:w="0" w:type="dxa"/>
            </w:tcMar>
            <w:vAlign w:val="bottom"/>
          </w:tcPr>
          <w:p w14:paraId="7B6706D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6DA" w14:textId="77777777" w:rsidR="0040300B" w:rsidRDefault="00BB2D44">
            <w:pPr>
              <w:jc w:val="right"/>
              <w:textAlignment w:val="bottom"/>
            </w:pPr>
            <w:r>
              <w:rPr>
                <w:rFonts w:ascii="Times New Roman" w:eastAsia="宋体" w:hAnsi="Times New Roman"/>
                <w:color w:val="000000"/>
                <w:sz w:val="19"/>
                <w:szCs w:val="19"/>
              </w:rPr>
              <w:t>1,697 </w:t>
            </w:r>
          </w:p>
        </w:tc>
        <w:tc>
          <w:tcPr>
            <w:tcW w:w="0" w:type="auto"/>
            <w:shd w:val="clear" w:color="auto" w:fill="CCEEFF"/>
            <w:tcMar>
              <w:top w:w="40" w:type="dxa"/>
              <w:left w:w="0" w:type="dxa"/>
              <w:bottom w:w="40" w:type="dxa"/>
              <w:right w:w="20" w:type="dxa"/>
            </w:tcMar>
            <w:vAlign w:val="bottom"/>
          </w:tcPr>
          <w:p w14:paraId="7B6706D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D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6DD"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6DE" w14:textId="77777777" w:rsidR="0040300B" w:rsidRDefault="00BB2D44">
            <w:pPr>
              <w:jc w:val="right"/>
              <w:textAlignment w:val="bottom"/>
            </w:pPr>
            <w:r>
              <w:rPr>
                <w:rFonts w:ascii="Times New Roman" w:eastAsia="宋体" w:hAnsi="Times New Roman"/>
                <w:color w:val="000000"/>
                <w:sz w:val="19"/>
                <w:szCs w:val="19"/>
              </w:rPr>
              <w:t>1,546 </w:t>
            </w:r>
          </w:p>
        </w:tc>
        <w:tc>
          <w:tcPr>
            <w:tcW w:w="0" w:type="auto"/>
            <w:shd w:val="clear" w:color="auto" w:fill="CCEEFF"/>
            <w:tcMar>
              <w:top w:w="40" w:type="dxa"/>
              <w:left w:w="0" w:type="dxa"/>
              <w:bottom w:w="40" w:type="dxa"/>
              <w:right w:w="20" w:type="dxa"/>
            </w:tcMar>
            <w:vAlign w:val="bottom"/>
          </w:tcPr>
          <w:p w14:paraId="7B6706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E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6E1" w14:textId="77777777" w:rsidR="0040300B" w:rsidRDefault="00BB2D44">
            <w:pPr>
              <w:jc w:val="right"/>
              <w:textAlignment w:val="bottom"/>
            </w:pPr>
            <w:r>
              <w:rPr>
                <w:rFonts w:ascii="Times New Roman" w:eastAsia="宋体" w:hAnsi="Times New Roman"/>
                <w:color w:val="000000"/>
                <w:sz w:val="19"/>
                <w:szCs w:val="19"/>
              </w:rPr>
              <w:t>10 </w:t>
            </w:r>
          </w:p>
        </w:tc>
        <w:tc>
          <w:tcPr>
            <w:tcW w:w="0" w:type="auto"/>
            <w:shd w:val="clear" w:color="auto" w:fill="CCEEFF"/>
            <w:tcMar>
              <w:top w:w="40" w:type="dxa"/>
              <w:left w:w="0" w:type="dxa"/>
              <w:bottom w:w="40" w:type="dxa"/>
              <w:right w:w="20" w:type="dxa"/>
            </w:tcMar>
            <w:vAlign w:val="bottom"/>
          </w:tcPr>
          <w:p w14:paraId="7B6706E2"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6E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6E4"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6E5" w14:textId="77777777" w:rsidR="0040300B" w:rsidRDefault="00BB2D44">
            <w:pPr>
              <w:jc w:val="right"/>
              <w:textAlignment w:val="bottom"/>
            </w:pPr>
            <w:r>
              <w:rPr>
                <w:rFonts w:ascii="Times New Roman" w:eastAsia="宋体" w:hAnsi="Times New Roman"/>
                <w:color w:val="000000"/>
                <w:sz w:val="19"/>
                <w:szCs w:val="19"/>
              </w:rPr>
              <w:t>4,836 </w:t>
            </w:r>
          </w:p>
        </w:tc>
        <w:tc>
          <w:tcPr>
            <w:tcW w:w="0" w:type="auto"/>
            <w:shd w:val="clear" w:color="auto" w:fill="CCEEFF"/>
            <w:tcMar>
              <w:top w:w="40" w:type="dxa"/>
              <w:left w:w="0" w:type="dxa"/>
              <w:bottom w:w="40" w:type="dxa"/>
              <w:right w:w="20" w:type="dxa"/>
            </w:tcMar>
            <w:vAlign w:val="bottom"/>
          </w:tcPr>
          <w:p w14:paraId="7B6706E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E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6E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6E9" w14:textId="77777777" w:rsidR="0040300B" w:rsidRDefault="00BB2D44">
            <w:pPr>
              <w:jc w:val="right"/>
              <w:textAlignment w:val="bottom"/>
            </w:pPr>
            <w:r>
              <w:rPr>
                <w:rFonts w:ascii="Times New Roman" w:eastAsia="宋体" w:hAnsi="Times New Roman"/>
                <w:color w:val="000000"/>
                <w:sz w:val="19"/>
                <w:szCs w:val="19"/>
              </w:rPr>
              <w:t>4,782 </w:t>
            </w:r>
          </w:p>
        </w:tc>
        <w:tc>
          <w:tcPr>
            <w:tcW w:w="0" w:type="auto"/>
            <w:shd w:val="clear" w:color="auto" w:fill="CCEEFF"/>
            <w:tcMar>
              <w:top w:w="40" w:type="dxa"/>
              <w:left w:w="0" w:type="dxa"/>
              <w:bottom w:w="40" w:type="dxa"/>
              <w:right w:w="20" w:type="dxa"/>
            </w:tcMar>
            <w:vAlign w:val="bottom"/>
          </w:tcPr>
          <w:p w14:paraId="7B6706E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6E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6EC"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7B6706ED"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6EE" w14:textId="77777777" w:rsidR="0040300B" w:rsidRDefault="0040300B">
            <w:pPr>
              <w:rPr>
                <w:rFonts w:ascii="宋体"/>
              </w:rPr>
            </w:pPr>
          </w:p>
        </w:tc>
      </w:tr>
      <w:tr w:rsidR="0040300B" w14:paraId="7B670707" w14:textId="77777777">
        <w:tc>
          <w:tcPr>
            <w:tcW w:w="0" w:type="auto"/>
            <w:gridSpan w:val="3"/>
            <w:shd w:val="clear" w:color="auto" w:fill="FFFFFF"/>
            <w:tcMar>
              <w:top w:w="40" w:type="dxa"/>
              <w:left w:w="20" w:type="dxa"/>
              <w:bottom w:w="40" w:type="dxa"/>
              <w:right w:w="20" w:type="dxa"/>
            </w:tcMar>
            <w:vAlign w:val="bottom"/>
          </w:tcPr>
          <w:p w14:paraId="7B6706F0" w14:textId="77777777" w:rsidR="0040300B" w:rsidRDefault="00BB2D44">
            <w:pPr>
              <w:textAlignment w:val="bottom"/>
            </w:pPr>
            <w:r>
              <w:rPr>
                <w:rFonts w:ascii="Times New Roman" w:eastAsia="宋体" w:hAnsi="Times New Roman"/>
                <w:color w:val="000000"/>
                <w:sz w:val="19"/>
                <w:szCs w:val="19"/>
              </w:rPr>
              <w:t>Sales and mar</w:t>
            </w:r>
            <w:r>
              <w:rPr>
                <w:rFonts w:ascii="Times New Roman" w:eastAsia="宋体" w:hAnsi="Times New Roman"/>
                <w:color w:val="000000"/>
                <w:sz w:val="19"/>
                <w:szCs w:val="19"/>
              </w:rPr>
              <w:t>keting</w:t>
            </w:r>
          </w:p>
        </w:tc>
        <w:tc>
          <w:tcPr>
            <w:tcW w:w="0" w:type="auto"/>
            <w:shd w:val="clear" w:color="auto" w:fill="FFFFFF"/>
            <w:tcMar>
              <w:top w:w="40" w:type="dxa"/>
              <w:left w:w="20" w:type="dxa"/>
              <w:bottom w:w="40" w:type="dxa"/>
              <w:right w:w="0" w:type="dxa"/>
            </w:tcMar>
            <w:vAlign w:val="bottom"/>
          </w:tcPr>
          <w:p w14:paraId="7B6706F1"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6F2" w14:textId="77777777" w:rsidR="0040300B" w:rsidRDefault="00BB2D44">
            <w:pPr>
              <w:jc w:val="right"/>
              <w:textAlignment w:val="bottom"/>
            </w:pPr>
            <w:r>
              <w:rPr>
                <w:rFonts w:ascii="Times New Roman" w:eastAsia="宋体" w:hAnsi="Times New Roman"/>
                <w:color w:val="000000"/>
                <w:sz w:val="19"/>
                <w:szCs w:val="19"/>
              </w:rPr>
              <w:t>2,317 </w:t>
            </w:r>
          </w:p>
        </w:tc>
        <w:tc>
          <w:tcPr>
            <w:tcW w:w="0" w:type="auto"/>
            <w:shd w:val="clear" w:color="auto" w:fill="FFFFFF"/>
            <w:tcMar>
              <w:top w:w="40" w:type="dxa"/>
              <w:left w:w="0" w:type="dxa"/>
              <w:bottom w:w="40" w:type="dxa"/>
              <w:right w:w="20" w:type="dxa"/>
            </w:tcMar>
            <w:vAlign w:val="bottom"/>
          </w:tcPr>
          <w:p w14:paraId="7B6706F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F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6F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6F6" w14:textId="77777777" w:rsidR="0040300B" w:rsidRDefault="00BB2D44">
            <w:pPr>
              <w:jc w:val="right"/>
              <w:textAlignment w:val="bottom"/>
            </w:pPr>
            <w:r>
              <w:rPr>
                <w:rFonts w:ascii="Times New Roman" w:eastAsia="宋体" w:hAnsi="Times New Roman"/>
                <w:color w:val="000000"/>
                <w:sz w:val="19"/>
                <w:szCs w:val="19"/>
              </w:rPr>
              <w:t>2,192 </w:t>
            </w:r>
          </w:p>
        </w:tc>
        <w:tc>
          <w:tcPr>
            <w:tcW w:w="0" w:type="auto"/>
            <w:shd w:val="clear" w:color="auto" w:fill="FFFFFF"/>
            <w:tcMar>
              <w:top w:w="40" w:type="dxa"/>
              <w:left w:w="0" w:type="dxa"/>
              <w:bottom w:w="40" w:type="dxa"/>
              <w:right w:w="20" w:type="dxa"/>
            </w:tcMar>
            <w:vAlign w:val="bottom"/>
          </w:tcPr>
          <w:p w14:paraId="7B6706F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F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6F9" w14:textId="77777777" w:rsidR="0040300B" w:rsidRDefault="00BB2D44">
            <w:pPr>
              <w:jc w:val="right"/>
              <w:textAlignment w:val="bottom"/>
            </w:pPr>
            <w:r>
              <w:rPr>
                <w:rFonts w:ascii="Times New Roman" w:eastAsia="宋体" w:hAnsi="Times New Roman"/>
                <w:color w:val="000000"/>
                <w:sz w:val="19"/>
                <w:szCs w:val="19"/>
              </w:rPr>
              <w:t>6 </w:t>
            </w:r>
          </w:p>
        </w:tc>
        <w:tc>
          <w:tcPr>
            <w:tcW w:w="0" w:type="auto"/>
            <w:shd w:val="clear" w:color="auto" w:fill="FFFFFF"/>
            <w:tcMar>
              <w:top w:w="40" w:type="dxa"/>
              <w:left w:w="0" w:type="dxa"/>
              <w:bottom w:w="40" w:type="dxa"/>
              <w:right w:w="20" w:type="dxa"/>
            </w:tcMar>
            <w:vAlign w:val="bottom"/>
          </w:tcPr>
          <w:p w14:paraId="7B6706F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6F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6F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6FD" w14:textId="77777777" w:rsidR="0040300B" w:rsidRDefault="00BB2D44">
            <w:pPr>
              <w:jc w:val="right"/>
              <w:textAlignment w:val="bottom"/>
            </w:pPr>
            <w:r>
              <w:rPr>
                <w:rFonts w:ascii="Times New Roman" w:eastAsia="宋体" w:hAnsi="Times New Roman"/>
                <w:color w:val="000000"/>
                <w:sz w:val="19"/>
                <w:szCs w:val="19"/>
              </w:rPr>
              <w:t>6,811 </w:t>
            </w:r>
          </w:p>
        </w:tc>
        <w:tc>
          <w:tcPr>
            <w:tcW w:w="0" w:type="auto"/>
            <w:shd w:val="clear" w:color="auto" w:fill="FFFFFF"/>
            <w:tcMar>
              <w:top w:w="40" w:type="dxa"/>
              <w:left w:w="0" w:type="dxa"/>
              <w:bottom w:w="40" w:type="dxa"/>
              <w:right w:w="20" w:type="dxa"/>
            </w:tcMar>
            <w:vAlign w:val="bottom"/>
          </w:tcPr>
          <w:p w14:paraId="7B6706F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6F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00"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01" w14:textId="77777777" w:rsidR="0040300B" w:rsidRDefault="00BB2D44">
            <w:pPr>
              <w:jc w:val="right"/>
              <w:textAlignment w:val="bottom"/>
            </w:pPr>
            <w:r>
              <w:rPr>
                <w:rFonts w:ascii="Times New Roman" w:eastAsia="宋体" w:hAnsi="Times New Roman"/>
                <w:color w:val="000000"/>
                <w:sz w:val="19"/>
                <w:szCs w:val="19"/>
              </w:rPr>
              <w:t>6,951 </w:t>
            </w:r>
          </w:p>
        </w:tc>
        <w:tc>
          <w:tcPr>
            <w:tcW w:w="0" w:type="auto"/>
            <w:shd w:val="clear" w:color="auto" w:fill="FFFFFF"/>
            <w:tcMar>
              <w:top w:w="40" w:type="dxa"/>
              <w:left w:w="0" w:type="dxa"/>
              <w:bottom w:w="40" w:type="dxa"/>
              <w:right w:w="20" w:type="dxa"/>
            </w:tcMar>
            <w:vAlign w:val="bottom"/>
          </w:tcPr>
          <w:p w14:paraId="7B67070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0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04" w14:textId="77777777" w:rsidR="0040300B" w:rsidRDefault="00BB2D44">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7B670705"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06" w14:textId="77777777" w:rsidR="0040300B" w:rsidRDefault="0040300B">
            <w:pPr>
              <w:rPr>
                <w:rFonts w:ascii="宋体"/>
              </w:rPr>
            </w:pPr>
          </w:p>
        </w:tc>
      </w:tr>
      <w:tr w:rsidR="0040300B" w14:paraId="7B67071F" w14:textId="77777777">
        <w:tc>
          <w:tcPr>
            <w:tcW w:w="0" w:type="auto"/>
            <w:gridSpan w:val="3"/>
            <w:shd w:val="clear" w:color="auto" w:fill="CCEEFF"/>
            <w:tcMar>
              <w:top w:w="40" w:type="dxa"/>
              <w:left w:w="20" w:type="dxa"/>
              <w:bottom w:w="40" w:type="dxa"/>
              <w:right w:w="20" w:type="dxa"/>
            </w:tcMar>
            <w:vAlign w:val="bottom"/>
          </w:tcPr>
          <w:p w14:paraId="7B670708" w14:textId="77777777" w:rsidR="0040300B" w:rsidRDefault="00BB2D44">
            <w:pPr>
              <w:textAlignment w:val="bottom"/>
            </w:pPr>
            <w:r>
              <w:rPr>
                <w:rFonts w:ascii="Times New Roman" w:eastAsia="宋体" w:hAnsi="Times New Roman"/>
                <w:color w:val="000000"/>
                <w:sz w:val="19"/>
                <w:szCs w:val="19"/>
              </w:rPr>
              <w:t>General and a</w:t>
            </w:r>
            <w:r>
              <w:rPr>
                <w:rFonts w:ascii="Times New Roman" w:eastAsia="宋体" w:hAnsi="Times New Roman"/>
                <w:color w:val="000000"/>
                <w:sz w:val="19"/>
                <w:szCs w:val="19"/>
              </w:rPr>
              <w:t>dministrative</w:t>
            </w:r>
          </w:p>
        </w:tc>
        <w:tc>
          <w:tcPr>
            <w:tcW w:w="0" w:type="auto"/>
            <w:shd w:val="clear" w:color="auto" w:fill="CCEEFF"/>
            <w:tcMar>
              <w:top w:w="40" w:type="dxa"/>
              <w:left w:w="20" w:type="dxa"/>
              <w:bottom w:w="40" w:type="dxa"/>
              <w:right w:w="0" w:type="dxa"/>
            </w:tcMar>
            <w:vAlign w:val="bottom"/>
          </w:tcPr>
          <w:p w14:paraId="7B67070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0A" w14:textId="77777777" w:rsidR="0040300B" w:rsidRDefault="00BB2D44">
            <w:pPr>
              <w:jc w:val="right"/>
              <w:textAlignment w:val="bottom"/>
            </w:pPr>
            <w:r>
              <w:rPr>
                <w:rFonts w:ascii="Times New Roman" w:eastAsia="宋体" w:hAnsi="Times New Roman"/>
                <w:color w:val="000000"/>
                <w:sz w:val="19"/>
                <w:szCs w:val="19"/>
              </w:rPr>
              <w:t>603 </w:t>
            </w:r>
          </w:p>
        </w:tc>
        <w:tc>
          <w:tcPr>
            <w:tcW w:w="0" w:type="auto"/>
            <w:shd w:val="clear" w:color="auto" w:fill="CCEEFF"/>
            <w:tcMar>
              <w:top w:w="40" w:type="dxa"/>
              <w:left w:w="0" w:type="dxa"/>
              <w:bottom w:w="40" w:type="dxa"/>
              <w:right w:w="20" w:type="dxa"/>
            </w:tcMar>
            <w:vAlign w:val="bottom"/>
          </w:tcPr>
          <w:p w14:paraId="7B67070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0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0D"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0E" w14:textId="77777777" w:rsidR="0040300B" w:rsidRDefault="00BB2D44">
            <w:pPr>
              <w:jc w:val="right"/>
              <w:textAlignment w:val="bottom"/>
            </w:pPr>
            <w:r>
              <w:rPr>
                <w:rFonts w:ascii="Times New Roman" w:eastAsia="宋体" w:hAnsi="Times New Roman"/>
                <w:color w:val="000000"/>
                <w:sz w:val="19"/>
                <w:szCs w:val="19"/>
              </w:rPr>
              <w:t>457 </w:t>
            </w:r>
          </w:p>
        </w:tc>
        <w:tc>
          <w:tcPr>
            <w:tcW w:w="0" w:type="auto"/>
            <w:shd w:val="clear" w:color="auto" w:fill="CCEEFF"/>
            <w:tcMar>
              <w:top w:w="40" w:type="dxa"/>
              <w:left w:w="0" w:type="dxa"/>
              <w:bottom w:w="40" w:type="dxa"/>
              <w:right w:w="20" w:type="dxa"/>
            </w:tcMar>
            <w:vAlign w:val="bottom"/>
          </w:tcPr>
          <w:p w14:paraId="7B6707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1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11" w14:textId="77777777" w:rsidR="0040300B" w:rsidRDefault="00BB2D44">
            <w:pPr>
              <w:jc w:val="right"/>
              <w:textAlignment w:val="bottom"/>
            </w:pPr>
            <w:r>
              <w:rPr>
                <w:rFonts w:ascii="Times New Roman" w:eastAsia="宋体" w:hAnsi="Times New Roman"/>
                <w:color w:val="000000"/>
                <w:sz w:val="19"/>
                <w:szCs w:val="19"/>
              </w:rPr>
              <w:t>32 </w:t>
            </w:r>
          </w:p>
        </w:tc>
        <w:tc>
          <w:tcPr>
            <w:tcW w:w="0" w:type="auto"/>
            <w:shd w:val="clear" w:color="auto" w:fill="CCEEFF"/>
            <w:tcMar>
              <w:top w:w="40" w:type="dxa"/>
              <w:left w:w="0" w:type="dxa"/>
              <w:bottom w:w="40" w:type="dxa"/>
              <w:right w:w="20" w:type="dxa"/>
            </w:tcMar>
            <w:vAlign w:val="bottom"/>
          </w:tcPr>
          <w:p w14:paraId="7B670712"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1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14"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15" w14:textId="77777777" w:rsidR="0040300B" w:rsidRDefault="00BB2D44">
            <w:pPr>
              <w:jc w:val="right"/>
              <w:textAlignment w:val="bottom"/>
            </w:pPr>
            <w:r>
              <w:rPr>
                <w:rFonts w:ascii="Times New Roman" w:eastAsia="宋体" w:hAnsi="Times New Roman"/>
                <w:color w:val="000000"/>
                <w:sz w:val="19"/>
                <w:szCs w:val="19"/>
              </w:rPr>
              <w:t>1,631 </w:t>
            </w:r>
          </w:p>
        </w:tc>
        <w:tc>
          <w:tcPr>
            <w:tcW w:w="0" w:type="auto"/>
            <w:shd w:val="clear" w:color="auto" w:fill="CCEEFF"/>
            <w:tcMar>
              <w:top w:w="40" w:type="dxa"/>
              <w:left w:w="0" w:type="dxa"/>
              <w:bottom w:w="40" w:type="dxa"/>
              <w:right w:w="20" w:type="dxa"/>
            </w:tcMar>
            <w:vAlign w:val="bottom"/>
          </w:tcPr>
          <w:p w14:paraId="7B67071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1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1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19" w14:textId="77777777" w:rsidR="0040300B" w:rsidRDefault="00BB2D44">
            <w:pPr>
              <w:jc w:val="right"/>
              <w:textAlignment w:val="bottom"/>
            </w:pPr>
            <w:r>
              <w:rPr>
                <w:rFonts w:ascii="Times New Roman" w:eastAsia="宋体" w:hAnsi="Times New Roman"/>
                <w:color w:val="000000"/>
                <w:sz w:val="19"/>
                <w:szCs w:val="19"/>
              </w:rPr>
              <w:t>1,431 </w:t>
            </w:r>
          </w:p>
        </w:tc>
        <w:tc>
          <w:tcPr>
            <w:tcW w:w="0" w:type="auto"/>
            <w:shd w:val="clear" w:color="auto" w:fill="CCEEFF"/>
            <w:tcMar>
              <w:top w:w="40" w:type="dxa"/>
              <w:left w:w="0" w:type="dxa"/>
              <w:bottom w:w="40" w:type="dxa"/>
              <w:right w:w="20" w:type="dxa"/>
            </w:tcMar>
            <w:vAlign w:val="bottom"/>
          </w:tcPr>
          <w:p w14:paraId="7B67071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1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1C" w14:textId="77777777" w:rsidR="0040300B" w:rsidRDefault="00BB2D44">
            <w:pPr>
              <w:jc w:val="right"/>
              <w:textAlignment w:val="bottom"/>
            </w:pPr>
            <w:r>
              <w:rPr>
                <w:rFonts w:ascii="Times New Roman" w:eastAsia="宋体" w:hAnsi="Times New Roman"/>
                <w:color w:val="000000"/>
                <w:sz w:val="19"/>
                <w:szCs w:val="19"/>
              </w:rPr>
              <w:t>14 </w:t>
            </w:r>
          </w:p>
        </w:tc>
        <w:tc>
          <w:tcPr>
            <w:tcW w:w="0" w:type="auto"/>
            <w:shd w:val="clear" w:color="auto" w:fill="CCEEFF"/>
            <w:tcMar>
              <w:top w:w="40" w:type="dxa"/>
              <w:left w:w="0" w:type="dxa"/>
              <w:bottom w:w="40" w:type="dxa"/>
              <w:right w:w="20" w:type="dxa"/>
            </w:tcMar>
            <w:vAlign w:val="bottom"/>
          </w:tcPr>
          <w:p w14:paraId="7B67071D"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1E" w14:textId="77777777" w:rsidR="0040300B" w:rsidRDefault="0040300B">
            <w:pPr>
              <w:rPr>
                <w:rFonts w:ascii="宋体"/>
              </w:rPr>
            </w:pPr>
          </w:p>
        </w:tc>
      </w:tr>
      <w:tr w:rsidR="0040300B" w14:paraId="7B670737" w14:textId="77777777">
        <w:tc>
          <w:tcPr>
            <w:tcW w:w="0" w:type="auto"/>
            <w:gridSpan w:val="3"/>
            <w:shd w:val="clear" w:color="auto" w:fill="FFFFFF"/>
            <w:tcMar>
              <w:top w:w="40" w:type="dxa"/>
              <w:left w:w="20" w:type="dxa"/>
              <w:bottom w:w="40" w:type="dxa"/>
              <w:right w:w="20" w:type="dxa"/>
            </w:tcMar>
            <w:vAlign w:val="bottom"/>
          </w:tcPr>
          <w:p w14:paraId="7B670720" w14:textId="77777777" w:rsidR="0040300B" w:rsidRDefault="00BB2D44">
            <w:pPr>
              <w:textAlignment w:val="bottom"/>
            </w:pPr>
            <w:r>
              <w:rPr>
                <w:rFonts w:ascii="Times New Roman" w:eastAsia="宋体" w:hAnsi="Times New Roman"/>
                <w:color w:val="000000"/>
                <w:sz w:val="19"/>
                <w:szCs w:val="19"/>
              </w:rPr>
              <w:t>Total researc</w:t>
            </w:r>
            <w:r>
              <w:rPr>
                <w:rFonts w:ascii="Times New Roman" w:eastAsia="宋体" w:hAnsi="Times New Roman"/>
                <w:color w:val="000000"/>
                <w:sz w:val="19"/>
                <w:szCs w:val="19"/>
              </w:rPr>
              <w:t>h and development, sales and marketing, general and administrative</w:t>
            </w:r>
          </w:p>
        </w:tc>
        <w:tc>
          <w:tcPr>
            <w:tcW w:w="0" w:type="auto"/>
            <w:shd w:val="clear" w:color="auto" w:fill="FFFFFF"/>
            <w:tcMar>
              <w:top w:w="40" w:type="dxa"/>
              <w:left w:w="20" w:type="dxa"/>
              <w:bottom w:w="40" w:type="dxa"/>
              <w:right w:w="0" w:type="dxa"/>
            </w:tcMar>
            <w:vAlign w:val="bottom"/>
          </w:tcPr>
          <w:p w14:paraId="7B670721"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22" w14:textId="77777777" w:rsidR="0040300B" w:rsidRDefault="00BB2D44">
            <w:pPr>
              <w:jc w:val="right"/>
              <w:textAlignment w:val="bottom"/>
            </w:pPr>
            <w:r>
              <w:rPr>
                <w:rFonts w:ascii="Times New Roman" w:eastAsia="宋体" w:hAnsi="Times New Roman"/>
                <w:color w:val="000000"/>
                <w:sz w:val="19"/>
                <w:szCs w:val="19"/>
              </w:rPr>
              <w:t>4,617 </w:t>
            </w:r>
          </w:p>
        </w:tc>
        <w:tc>
          <w:tcPr>
            <w:tcW w:w="0" w:type="auto"/>
            <w:shd w:val="clear" w:color="auto" w:fill="FFFFFF"/>
            <w:tcMar>
              <w:top w:w="40" w:type="dxa"/>
              <w:left w:w="0" w:type="dxa"/>
              <w:bottom w:w="40" w:type="dxa"/>
              <w:right w:w="20" w:type="dxa"/>
            </w:tcMar>
            <w:vAlign w:val="bottom"/>
          </w:tcPr>
          <w:p w14:paraId="7B67072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2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2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26" w14:textId="77777777" w:rsidR="0040300B" w:rsidRDefault="00BB2D44">
            <w:pPr>
              <w:jc w:val="right"/>
              <w:textAlignment w:val="bottom"/>
            </w:pPr>
            <w:r>
              <w:rPr>
                <w:rFonts w:ascii="Times New Roman" w:eastAsia="宋体" w:hAnsi="Times New Roman"/>
                <w:color w:val="000000"/>
                <w:sz w:val="19"/>
                <w:szCs w:val="19"/>
              </w:rPr>
              <w:t>4,195 </w:t>
            </w:r>
          </w:p>
        </w:tc>
        <w:tc>
          <w:tcPr>
            <w:tcW w:w="0" w:type="auto"/>
            <w:shd w:val="clear" w:color="auto" w:fill="FFFFFF"/>
            <w:tcMar>
              <w:top w:w="40" w:type="dxa"/>
              <w:left w:w="0" w:type="dxa"/>
              <w:bottom w:w="40" w:type="dxa"/>
              <w:right w:w="20" w:type="dxa"/>
            </w:tcMar>
            <w:vAlign w:val="bottom"/>
          </w:tcPr>
          <w:p w14:paraId="7B67072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2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29" w14:textId="77777777" w:rsidR="0040300B" w:rsidRDefault="00BB2D44">
            <w:pPr>
              <w:jc w:val="right"/>
              <w:textAlignment w:val="bottom"/>
            </w:pPr>
            <w:r>
              <w:rPr>
                <w:rFonts w:ascii="Times New Roman" w:eastAsia="宋体" w:hAnsi="Times New Roman"/>
                <w:color w:val="000000"/>
                <w:sz w:val="19"/>
                <w:szCs w:val="19"/>
              </w:rPr>
              <w:t>10 </w:t>
            </w:r>
          </w:p>
        </w:tc>
        <w:tc>
          <w:tcPr>
            <w:tcW w:w="0" w:type="auto"/>
            <w:shd w:val="clear" w:color="auto" w:fill="FFFFFF"/>
            <w:tcMar>
              <w:top w:w="40" w:type="dxa"/>
              <w:left w:w="0" w:type="dxa"/>
              <w:bottom w:w="40" w:type="dxa"/>
              <w:right w:w="20" w:type="dxa"/>
            </w:tcMar>
            <w:vAlign w:val="bottom"/>
          </w:tcPr>
          <w:p w14:paraId="7B67072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2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2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2D" w14:textId="77777777" w:rsidR="0040300B" w:rsidRDefault="00BB2D44">
            <w:pPr>
              <w:jc w:val="right"/>
              <w:textAlignment w:val="bottom"/>
            </w:pPr>
            <w:r>
              <w:rPr>
                <w:rFonts w:ascii="Times New Roman" w:eastAsia="宋体" w:hAnsi="Times New Roman"/>
                <w:color w:val="000000"/>
                <w:sz w:val="19"/>
                <w:szCs w:val="19"/>
              </w:rPr>
              <w:t>13,278 </w:t>
            </w:r>
          </w:p>
        </w:tc>
        <w:tc>
          <w:tcPr>
            <w:tcW w:w="0" w:type="auto"/>
            <w:shd w:val="clear" w:color="auto" w:fill="FFFFFF"/>
            <w:tcMar>
              <w:top w:w="40" w:type="dxa"/>
              <w:left w:w="0" w:type="dxa"/>
              <w:bottom w:w="40" w:type="dxa"/>
              <w:right w:w="20" w:type="dxa"/>
            </w:tcMar>
            <w:vAlign w:val="bottom"/>
          </w:tcPr>
          <w:p w14:paraId="7B67072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2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30"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31" w14:textId="77777777" w:rsidR="0040300B" w:rsidRDefault="00BB2D44">
            <w:pPr>
              <w:jc w:val="right"/>
              <w:textAlignment w:val="bottom"/>
            </w:pPr>
            <w:r>
              <w:rPr>
                <w:rFonts w:ascii="Times New Roman" w:eastAsia="宋体" w:hAnsi="Times New Roman"/>
                <w:color w:val="000000"/>
                <w:sz w:val="19"/>
                <w:szCs w:val="19"/>
              </w:rPr>
              <w:t>13,164 </w:t>
            </w:r>
          </w:p>
        </w:tc>
        <w:tc>
          <w:tcPr>
            <w:tcW w:w="0" w:type="auto"/>
            <w:shd w:val="clear" w:color="auto" w:fill="FFFFFF"/>
            <w:tcMar>
              <w:top w:w="40" w:type="dxa"/>
              <w:left w:w="0" w:type="dxa"/>
              <w:bottom w:w="40" w:type="dxa"/>
              <w:right w:w="20" w:type="dxa"/>
            </w:tcMar>
            <w:vAlign w:val="bottom"/>
          </w:tcPr>
          <w:p w14:paraId="7B67073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3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34" w14:textId="77777777" w:rsidR="0040300B" w:rsidRDefault="00BB2D4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7B670735"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36" w14:textId="77777777" w:rsidR="0040300B" w:rsidRDefault="0040300B">
            <w:pPr>
              <w:rPr>
                <w:rFonts w:ascii="宋体"/>
              </w:rPr>
            </w:pPr>
          </w:p>
        </w:tc>
      </w:tr>
      <w:tr w:rsidR="0040300B" w14:paraId="7B67074B" w14:textId="77777777">
        <w:tc>
          <w:tcPr>
            <w:tcW w:w="0" w:type="auto"/>
            <w:gridSpan w:val="3"/>
            <w:shd w:val="clear" w:color="auto" w:fill="CCEEFF"/>
            <w:tcMar>
              <w:top w:w="40" w:type="dxa"/>
              <w:left w:w="20" w:type="dxa"/>
              <w:bottom w:w="40" w:type="dxa"/>
              <w:right w:w="20" w:type="dxa"/>
            </w:tcMar>
            <w:vAlign w:val="bottom"/>
          </w:tcPr>
          <w:p w14:paraId="7B670738" w14:textId="77777777" w:rsidR="0040300B" w:rsidRDefault="00BB2D44">
            <w:pPr>
              <w:textAlignment w:val="bottom"/>
            </w:pPr>
            <w:r>
              <w:rPr>
                <w:rFonts w:ascii="Times New Roman" w:eastAsia="宋体" w:hAnsi="Times New Roman"/>
                <w:color w:val="000000"/>
                <w:sz w:val="19"/>
                <w:szCs w:val="19"/>
              </w:rPr>
              <w:t>Total as a pe</w:t>
            </w:r>
            <w:r>
              <w:rPr>
                <w:rFonts w:ascii="Times New Roman" w:eastAsia="宋体" w:hAnsi="Times New Roman"/>
                <w:color w:val="000000"/>
                <w:sz w:val="19"/>
                <w:szCs w:val="19"/>
              </w:rPr>
              <w:t>rcentage of revenue</w:t>
            </w:r>
          </w:p>
        </w:tc>
        <w:tc>
          <w:tcPr>
            <w:tcW w:w="0" w:type="auto"/>
            <w:gridSpan w:val="2"/>
            <w:shd w:val="clear" w:color="auto" w:fill="CCEEFF"/>
            <w:tcMar>
              <w:top w:w="40" w:type="dxa"/>
              <w:left w:w="20" w:type="dxa"/>
              <w:bottom w:w="40" w:type="dxa"/>
              <w:right w:w="0" w:type="dxa"/>
            </w:tcMar>
            <w:vAlign w:val="bottom"/>
          </w:tcPr>
          <w:p w14:paraId="7B670739" w14:textId="77777777" w:rsidR="0040300B" w:rsidRDefault="00BB2D44">
            <w:pPr>
              <w:jc w:val="right"/>
              <w:textAlignment w:val="bottom"/>
            </w:pPr>
            <w:r>
              <w:rPr>
                <w:rFonts w:ascii="Times New Roman" w:eastAsia="宋体" w:hAnsi="Times New Roman"/>
                <w:color w:val="000000"/>
                <w:sz w:val="19"/>
                <w:szCs w:val="19"/>
              </w:rPr>
              <w:t>36.1 </w:t>
            </w:r>
          </w:p>
        </w:tc>
        <w:tc>
          <w:tcPr>
            <w:tcW w:w="0" w:type="auto"/>
            <w:shd w:val="clear" w:color="auto" w:fill="CCEEFF"/>
            <w:tcMar>
              <w:top w:w="40" w:type="dxa"/>
              <w:left w:w="0" w:type="dxa"/>
              <w:bottom w:w="40" w:type="dxa"/>
              <w:right w:w="20" w:type="dxa"/>
            </w:tcMar>
            <w:vAlign w:val="bottom"/>
          </w:tcPr>
          <w:p w14:paraId="7B67073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3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3C" w14:textId="77777777" w:rsidR="0040300B" w:rsidRDefault="00BB2D44">
            <w:pPr>
              <w:jc w:val="right"/>
              <w:textAlignment w:val="bottom"/>
            </w:pPr>
            <w:r>
              <w:rPr>
                <w:rFonts w:ascii="Times New Roman" w:eastAsia="宋体" w:hAnsi="Times New Roman"/>
                <w:color w:val="000000"/>
                <w:sz w:val="19"/>
                <w:szCs w:val="19"/>
              </w:rPr>
              <w:t>35.0 </w:t>
            </w:r>
          </w:p>
        </w:tc>
        <w:tc>
          <w:tcPr>
            <w:tcW w:w="0" w:type="auto"/>
            <w:shd w:val="clear" w:color="auto" w:fill="CCEEFF"/>
            <w:tcMar>
              <w:top w:w="40" w:type="dxa"/>
              <w:left w:w="0" w:type="dxa"/>
              <w:bottom w:w="40" w:type="dxa"/>
              <w:right w:w="20" w:type="dxa"/>
            </w:tcMar>
            <w:vAlign w:val="bottom"/>
          </w:tcPr>
          <w:p w14:paraId="7B67073D"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3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3F" w14:textId="77777777" w:rsidR="0040300B" w:rsidRDefault="00BB2D44">
            <w:pPr>
              <w:jc w:val="right"/>
              <w:textAlignment w:val="bottom"/>
            </w:pPr>
            <w:r>
              <w:rPr>
                <w:rFonts w:ascii="Times New Roman" w:eastAsia="宋体" w:hAnsi="Times New Roman"/>
                <w:color w:val="000000"/>
                <w:sz w:val="19"/>
                <w:szCs w:val="19"/>
              </w:rPr>
              <w:t>1.1 </w:t>
            </w:r>
          </w:p>
        </w:tc>
        <w:tc>
          <w:tcPr>
            <w:tcW w:w="0" w:type="auto"/>
            <w:shd w:val="clear" w:color="auto" w:fill="CCEEFF"/>
            <w:tcMar>
              <w:top w:w="40" w:type="dxa"/>
              <w:left w:w="0" w:type="dxa"/>
              <w:bottom w:w="40" w:type="dxa"/>
              <w:right w:w="20" w:type="dxa"/>
            </w:tcMar>
            <w:vAlign w:val="bottom"/>
          </w:tcPr>
          <w:p w14:paraId="7B670740" w14:textId="77777777" w:rsidR="0040300B" w:rsidRDefault="0040300B">
            <w:pPr>
              <w:jc w:val="right"/>
              <w:rPr>
                <w:rFonts w:ascii="宋体"/>
              </w:rPr>
            </w:pPr>
          </w:p>
        </w:tc>
        <w:tc>
          <w:tcPr>
            <w:tcW w:w="0" w:type="auto"/>
            <w:gridSpan w:val="3"/>
            <w:shd w:val="clear" w:color="auto" w:fill="CCEEFF"/>
            <w:tcMar>
              <w:top w:w="40" w:type="dxa"/>
              <w:left w:w="20" w:type="dxa"/>
              <w:bottom w:w="40" w:type="dxa"/>
              <w:right w:w="20" w:type="dxa"/>
            </w:tcMar>
            <w:vAlign w:val="bottom"/>
          </w:tcPr>
          <w:p w14:paraId="7B670741" w14:textId="77777777" w:rsidR="0040300B" w:rsidRDefault="00BB2D44">
            <w:pPr>
              <w:textAlignment w:val="bottom"/>
            </w:pPr>
            <w:r>
              <w:rPr>
                <w:rFonts w:ascii="Times New Roman" w:eastAsia="宋体" w:hAnsi="Times New Roman"/>
                <w:color w:val="000000"/>
                <w:sz w:val="19"/>
                <w:szCs w:val="19"/>
              </w:rPr>
              <w:t>pts </w:t>
            </w:r>
          </w:p>
        </w:tc>
        <w:tc>
          <w:tcPr>
            <w:tcW w:w="0" w:type="auto"/>
            <w:gridSpan w:val="2"/>
            <w:shd w:val="clear" w:color="auto" w:fill="CCEEFF"/>
            <w:tcMar>
              <w:top w:w="40" w:type="dxa"/>
              <w:left w:w="20" w:type="dxa"/>
              <w:bottom w:w="40" w:type="dxa"/>
              <w:right w:w="0" w:type="dxa"/>
            </w:tcMar>
            <w:vAlign w:val="bottom"/>
          </w:tcPr>
          <w:p w14:paraId="7B670742" w14:textId="77777777" w:rsidR="0040300B" w:rsidRDefault="00BB2D44">
            <w:pPr>
              <w:jc w:val="right"/>
              <w:textAlignment w:val="bottom"/>
            </w:pPr>
            <w:r>
              <w:rPr>
                <w:rFonts w:ascii="Times New Roman" w:eastAsia="宋体" w:hAnsi="Times New Roman"/>
                <w:color w:val="000000"/>
                <w:sz w:val="19"/>
                <w:szCs w:val="19"/>
              </w:rPr>
              <w:t>36.2 </w:t>
            </w:r>
          </w:p>
        </w:tc>
        <w:tc>
          <w:tcPr>
            <w:tcW w:w="0" w:type="auto"/>
            <w:shd w:val="clear" w:color="auto" w:fill="CCEEFF"/>
            <w:tcMar>
              <w:top w:w="40" w:type="dxa"/>
              <w:left w:w="0" w:type="dxa"/>
              <w:bottom w:w="40" w:type="dxa"/>
              <w:right w:w="20" w:type="dxa"/>
            </w:tcMar>
            <w:vAlign w:val="bottom"/>
          </w:tcPr>
          <w:p w14:paraId="7B670743"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4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45" w14:textId="77777777" w:rsidR="0040300B" w:rsidRDefault="00BB2D44">
            <w:pPr>
              <w:jc w:val="right"/>
              <w:textAlignment w:val="bottom"/>
            </w:pPr>
            <w:r>
              <w:rPr>
                <w:rFonts w:ascii="Times New Roman" w:eastAsia="宋体" w:hAnsi="Times New Roman"/>
                <w:color w:val="000000"/>
                <w:sz w:val="19"/>
                <w:szCs w:val="19"/>
              </w:rPr>
              <w:t>35.4 </w:t>
            </w:r>
          </w:p>
        </w:tc>
        <w:tc>
          <w:tcPr>
            <w:tcW w:w="0" w:type="auto"/>
            <w:shd w:val="clear" w:color="auto" w:fill="CCEEFF"/>
            <w:tcMar>
              <w:top w:w="40" w:type="dxa"/>
              <w:left w:w="0" w:type="dxa"/>
              <w:bottom w:w="40" w:type="dxa"/>
              <w:right w:w="20" w:type="dxa"/>
            </w:tcMar>
            <w:vAlign w:val="bottom"/>
          </w:tcPr>
          <w:p w14:paraId="7B67074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4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48" w14:textId="77777777" w:rsidR="0040300B" w:rsidRDefault="00BB2D44">
            <w:pPr>
              <w:jc w:val="right"/>
              <w:textAlignment w:val="bottom"/>
            </w:pPr>
            <w:r>
              <w:rPr>
                <w:rFonts w:ascii="Times New Roman" w:eastAsia="宋体" w:hAnsi="Times New Roman"/>
                <w:color w:val="000000"/>
                <w:sz w:val="19"/>
                <w:szCs w:val="19"/>
              </w:rPr>
              <w:t>0.8 </w:t>
            </w:r>
          </w:p>
        </w:tc>
        <w:tc>
          <w:tcPr>
            <w:tcW w:w="0" w:type="auto"/>
            <w:shd w:val="clear" w:color="auto" w:fill="CCEEFF"/>
            <w:tcMar>
              <w:top w:w="40" w:type="dxa"/>
              <w:left w:w="0" w:type="dxa"/>
              <w:bottom w:w="40" w:type="dxa"/>
              <w:right w:w="20" w:type="dxa"/>
            </w:tcMar>
            <w:vAlign w:val="bottom"/>
          </w:tcPr>
          <w:p w14:paraId="7B670749" w14:textId="77777777" w:rsidR="0040300B" w:rsidRDefault="0040300B">
            <w:pPr>
              <w:jc w:val="right"/>
              <w:rPr>
                <w:rFonts w:ascii="宋体"/>
              </w:rPr>
            </w:pPr>
          </w:p>
        </w:tc>
        <w:tc>
          <w:tcPr>
            <w:tcW w:w="0" w:type="auto"/>
            <w:gridSpan w:val="3"/>
            <w:shd w:val="clear" w:color="auto" w:fill="CCEEFF"/>
            <w:tcMar>
              <w:top w:w="40" w:type="dxa"/>
              <w:left w:w="20" w:type="dxa"/>
              <w:bottom w:w="40" w:type="dxa"/>
              <w:right w:w="20" w:type="dxa"/>
            </w:tcMar>
            <w:vAlign w:val="bottom"/>
          </w:tcPr>
          <w:p w14:paraId="7B67074A" w14:textId="77777777" w:rsidR="0040300B" w:rsidRDefault="00BB2D44">
            <w:pPr>
              <w:textAlignment w:val="bottom"/>
            </w:pPr>
            <w:r>
              <w:rPr>
                <w:rFonts w:ascii="Times New Roman" w:eastAsia="宋体" w:hAnsi="Times New Roman"/>
                <w:color w:val="000000"/>
                <w:sz w:val="19"/>
                <w:szCs w:val="19"/>
              </w:rPr>
              <w:t>pts</w:t>
            </w:r>
          </w:p>
        </w:tc>
      </w:tr>
      <w:tr w:rsidR="0040300B" w14:paraId="7B670763" w14:textId="77777777">
        <w:tc>
          <w:tcPr>
            <w:tcW w:w="0" w:type="auto"/>
            <w:gridSpan w:val="3"/>
            <w:shd w:val="clear" w:color="auto" w:fill="FFFFFF"/>
            <w:tcMar>
              <w:top w:w="40" w:type="dxa"/>
              <w:left w:w="20" w:type="dxa"/>
              <w:bottom w:w="40" w:type="dxa"/>
              <w:right w:w="20" w:type="dxa"/>
            </w:tcMar>
            <w:vAlign w:val="bottom"/>
          </w:tcPr>
          <w:p w14:paraId="7B67074C" w14:textId="77777777" w:rsidR="0040300B" w:rsidRDefault="00BB2D44">
            <w:pPr>
              <w:textAlignment w:val="bottom"/>
            </w:pPr>
            <w:r>
              <w:rPr>
                <w:rFonts w:ascii="Times New Roman" w:eastAsia="宋体" w:hAnsi="Times New Roman"/>
                <w:color w:val="000000"/>
                <w:sz w:val="19"/>
                <w:szCs w:val="19"/>
              </w:rPr>
              <w:t>Amortization of purchased intangible assets included in operating expenses</w:t>
            </w:r>
          </w:p>
        </w:tc>
        <w:tc>
          <w:tcPr>
            <w:tcW w:w="0" w:type="auto"/>
            <w:shd w:val="clear" w:color="auto" w:fill="FFFFFF"/>
            <w:tcMar>
              <w:top w:w="40" w:type="dxa"/>
              <w:left w:w="20" w:type="dxa"/>
              <w:bottom w:w="40" w:type="dxa"/>
              <w:right w:w="0" w:type="dxa"/>
            </w:tcMar>
            <w:vAlign w:val="bottom"/>
          </w:tcPr>
          <w:p w14:paraId="7B67074D"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4E" w14:textId="77777777" w:rsidR="0040300B" w:rsidRDefault="00BB2D44">
            <w:pPr>
              <w:jc w:val="right"/>
              <w:textAlignment w:val="bottom"/>
            </w:pPr>
            <w:r>
              <w:rPr>
                <w:rFonts w:ascii="Times New Roman" w:eastAsia="宋体" w:hAnsi="Times New Roman"/>
                <w:color w:val="000000"/>
                <w:sz w:val="19"/>
                <w:szCs w:val="19"/>
              </w:rPr>
              <w:t>61 </w:t>
            </w:r>
          </w:p>
        </w:tc>
        <w:tc>
          <w:tcPr>
            <w:tcW w:w="0" w:type="auto"/>
            <w:shd w:val="clear" w:color="auto" w:fill="FFFFFF"/>
            <w:tcMar>
              <w:top w:w="40" w:type="dxa"/>
              <w:left w:w="0" w:type="dxa"/>
              <w:bottom w:w="40" w:type="dxa"/>
              <w:right w:w="20" w:type="dxa"/>
            </w:tcMar>
            <w:vAlign w:val="bottom"/>
          </w:tcPr>
          <w:p w14:paraId="7B67074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5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51"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52" w14:textId="77777777" w:rsidR="0040300B" w:rsidRDefault="00BB2D44">
            <w:pPr>
              <w:jc w:val="right"/>
              <w:textAlignment w:val="bottom"/>
            </w:pPr>
            <w:r>
              <w:rPr>
                <w:rFonts w:ascii="Times New Roman" w:eastAsia="宋体" w:hAnsi="Times New Roman"/>
                <w:color w:val="000000"/>
                <w:sz w:val="19"/>
                <w:szCs w:val="19"/>
              </w:rPr>
              <w:t>3</w:t>
            </w: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7B67075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5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55" w14:textId="77777777" w:rsidR="0040300B" w:rsidRDefault="00BB2D44">
            <w:pPr>
              <w:jc w:val="right"/>
              <w:textAlignment w:val="bottom"/>
            </w:pPr>
            <w:r>
              <w:rPr>
                <w:rFonts w:ascii="Times New Roman" w:eastAsia="宋体" w:hAnsi="Times New Roman"/>
                <w:color w:val="000000"/>
                <w:sz w:val="19"/>
                <w:szCs w:val="19"/>
              </w:rPr>
              <w:t>79 </w:t>
            </w:r>
          </w:p>
        </w:tc>
        <w:tc>
          <w:tcPr>
            <w:tcW w:w="0" w:type="auto"/>
            <w:shd w:val="clear" w:color="auto" w:fill="FFFFFF"/>
            <w:tcMar>
              <w:top w:w="40" w:type="dxa"/>
              <w:left w:w="0" w:type="dxa"/>
              <w:bottom w:w="40" w:type="dxa"/>
              <w:right w:w="20" w:type="dxa"/>
            </w:tcMar>
            <w:vAlign w:val="bottom"/>
          </w:tcPr>
          <w:p w14:paraId="7B67075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57"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5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59" w14:textId="77777777" w:rsidR="0040300B" w:rsidRDefault="00BB2D44">
            <w:pPr>
              <w:jc w:val="right"/>
              <w:textAlignment w:val="bottom"/>
            </w:pPr>
            <w:r>
              <w:rPr>
                <w:rFonts w:ascii="Times New Roman" w:eastAsia="宋体" w:hAnsi="Times New Roman"/>
                <w:color w:val="000000"/>
                <w:sz w:val="19"/>
                <w:szCs w:val="19"/>
              </w:rPr>
              <w:t>136 </w:t>
            </w:r>
          </w:p>
        </w:tc>
        <w:tc>
          <w:tcPr>
            <w:tcW w:w="0" w:type="auto"/>
            <w:shd w:val="clear" w:color="auto" w:fill="FFFFFF"/>
            <w:tcMar>
              <w:top w:w="40" w:type="dxa"/>
              <w:left w:w="0" w:type="dxa"/>
              <w:bottom w:w="40" w:type="dxa"/>
              <w:right w:w="20" w:type="dxa"/>
            </w:tcMar>
            <w:vAlign w:val="bottom"/>
          </w:tcPr>
          <w:p w14:paraId="7B67075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5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75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7B67075D" w14:textId="77777777" w:rsidR="0040300B" w:rsidRDefault="00BB2D44">
            <w:pPr>
              <w:jc w:val="right"/>
              <w:textAlignment w:val="bottom"/>
            </w:pPr>
            <w:r>
              <w:rPr>
                <w:rFonts w:ascii="Times New Roman" w:eastAsia="宋体" w:hAnsi="Times New Roman"/>
                <w:color w:val="000000"/>
                <w:sz w:val="19"/>
                <w:szCs w:val="19"/>
              </w:rPr>
              <w:t>108 </w:t>
            </w:r>
          </w:p>
        </w:tc>
        <w:tc>
          <w:tcPr>
            <w:tcW w:w="0" w:type="auto"/>
            <w:shd w:val="clear" w:color="auto" w:fill="FFFFFF"/>
            <w:tcMar>
              <w:top w:w="40" w:type="dxa"/>
              <w:left w:w="0" w:type="dxa"/>
              <w:bottom w:w="40" w:type="dxa"/>
              <w:right w:w="20" w:type="dxa"/>
            </w:tcMar>
            <w:vAlign w:val="bottom"/>
          </w:tcPr>
          <w:p w14:paraId="7B67075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75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60" w14:textId="77777777" w:rsidR="0040300B" w:rsidRDefault="00BB2D44">
            <w:pPr>
              <w:jc w:val="right"/>
              <w:textAlignment w:val="bottom"/>
            </w:pPr>
            <w:r>
              <w:rPr>
                <w:rFonts w:ascii="Times New Roman" w:eastAsia="宋体" w:hAnsi="Times New Roman"/>
                <w:color w:val="000000"/>
                <w:sz w:val="19"/>
                <w:szCs w:val="19"/>
              </w:rPr>
              <w:t>26 </w:t>
            </w:r>
          </w:p>
        </w:tc>
        <w:tc>
          <w:tcPr>
            <w:tcW w:w="0" w:type="auto"/>
            <w:shd w:val="clear" w:color="auto" w:fill="FFFFFF"/>
            <w:tcMar>
              <w:top w:w="40" w:type="dxa"/>
              <w:left w:w="0" w:type="dxa"/>
              <w:bottom w:w="40" w:type="dxa"/>
              <w:right w:w="20" w:type="dxa"/>
            </w:tcMar>
            <w:vAlign w:val="bottom"/>
          </w:tcPr>
          <w:p w14:paraId="7B670761"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62" w14:textId="77777777" w:rsidR="0040300B" w:rsidRDefault="0040300B">
            <w:pPr>
              <w:rPr>
                <w:rFonts w:ascii="宋体"/>
              </w:rPr>
            </w:pPr>
          </w:p>
        </w:tc>
      </w:tr>
      <w:tr w:rsidR="0040300B" w14:paraId="7B67077B" w14:textId="77777777">
        <w:tc>
          <w:tcPr>
            <w:tcW w:w="0" w:type="auto"/>
            <w:gridSpan w:val="3"/>
            <w:shd w:val="clear" w:color="auto" w:fill="CCEEFF"/>
            <w:tcMar>
              <w:top w:w="40" w:type="dxa"/>
              <w:left w:w="20" w:type="dxa"/>
              <w:bottom w:w="40" w:type="dxa"/>
              <w:right w:w="20" w:type="dxa"/>
            </w:tcMar>
            <w:vAlign w:val="bottom"/>
          </w:tcPr>
          <w:p w14:paraId="7B670764" w14:textId="77777777" w:rsidR="0040300B" w:rsidRDefault="00BB2D44">
            <w:pPr>
              <w:textAlignment w:val="bottom"/>
            </w:pPr>
            <w:r>
              <w:rPr>
                <w:rFonts w:ascii="Times New Roman" w:eastAsia="宋体" w:hAnsi="Times New Roman"/>
                <w:color w:val="000000"/>
                <w:sz w:val="19"/>
                <w:szCs w:val="19"/>
              </w:rPr>
              <w:t>Restructuring</w:t>
            </w:r>
            <w:r>
              <w:rPr>
                <w:rFonts w:ascii="Times New Roman" w:eastAsia="宋体" w:hAnsi="Times New Roman"/>
                <w:color w:val="000000"/>
                <w:sz w:val="19"/>
                <w:szCs w:val="19"/>
              </w:rPr>
              <w:t xml:space="preserve"> and other charges included in operating expenses</w:t>
            </w:r>
          </w:p>
        </w:tc>
        <w:tc>
          <w:tcPr>
            <w:tcW w:w="0" w:type="auto"/>
            <w:shd w:val="clear" w:color="auto" w:fill="CCEEFF"/>
            <w:tcMar>
              <w:top w:w="40" w:type="dxa"/>
              <w:left w:w="20" w:type="dxa"/>
              <w:bottom w:w="40" w:type="dxa"/>
              <w:right w:w="0" w:type="dxa"/>
            </w:tcMar>
            <w:vAlign w:val="bottom"/>
          </w:tcPr>
          <w:p w14:paraId="7B67076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66" w14:textId="77777777" w:rsidR="0040300B" w:rsidRDefault="00BB2D44">
            <w:pPr>
              <w:jc w:val="right"/>
              <w:textAlignment w:val="bottom"/>
            </w:pPr>
            <w:r>
              <w:rPr>
                <w:rFonts w:ascii="Times New Roman" w:eastAsia="宋体" w:hAnsi="Times New Roman"/>
                <w:color w:val="000000"/>
                <w:sz w:val="19"/>
                <w:szCs w:val="19"/>
              </w:rPr>
              <w:t>42 </w:t>
            </w:r>
          </w:p>
        </w:tc>
        <w:tc>
          <w:tcPr>
            <w:tcW w:w="0" w:type="auto"/>
            <w:shd w:val="clear" w:color="auto" w:fill="CCEEFF"/>
            <w:tcMar>
              <w:top w:w="40" w:type="dxa"/>
              <w:left w:w="0" w:type="dxa"/>
              <w:bottom w:w="40" w:type="dxa"/>
              <w:right w:w="20" w:type="dxa"/>
            </w:tcMar>
            <w:vAlign w:val="bottom"/>
          </w:tcPr>
          <w:p w14:paraId="7B67076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6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6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6A" w14:textId="77777777" w:rsidR="0040300B" w:rsidRDefault="00BB2D44">
            <w:pPr>
              <w:jc w:val="right"/>
              <w:textAlignment w:val="bottom"/>
            </w:pPr>
            <w:r>
              <w:rPr>
                <w:rFonts w:ascii="Times New Roman" w:eastAsia="宋体" w:hAnsi="Times New Roman"/>
                <w:color w:val="000000"/>
                <w:sz w:val="19"/>
                <w:szCs w:val="19"/>
              </w:rPr>
              <w:t>128 </w:t>
            </w:r>
          </w:p>
        </w:tc>
        <w:tc>
          <w:tcPr>
            <w:tcW w:w="0" w:type="auto"/>
            <w:shd w:val="clear" w:color="auto" w:fill="CCEEFF"/>
            <w:tcMar>
              <w:top w:w="40" w:type="dxa"/>
              <w:left w:w="0" w:type="dxa"/>
              <w:bottom w:w="40" w:type="dxa"/>
              <w:right w:w="20" w:type="dxa"/>
            </w:tcMar>
            <w:vAlign w:val="bottom"/>
          </w:tcPr>
          <w:p w14:paraId="7B67076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6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6D" w14:textId="77777777" w:rsidR="0040300B" w:rsidRDefault="00BB2D44">
            <w:pPr>
              <w:jc w:val="right"/>
              <w:textAlignment w:val="bottom"/>
            </w:pPr>
            <w:r>
              <w:rPr>
                <w:rFonts w:ascii="Times New Roman" w:eastAsia="宋体" w:hAnsi="Times New Roman"/>
                <w:color w:val="000000"/>
                <w:sz w:val="19"/>
                <w:szCs w:val="19"/>
              </w:rPr>
              <w:t>(67)</w:t>
            </w:r>
          </w:p>
        </w:tc>
        <w:tc>
          <w:tcPr>
            <w:tcW w:w="0" w:type="auto"/>
            <w:shd w:val="clear" w:color="auto" w:fill="CCEEFF"/>
            <w:tcMar>
              <w:top w:w="40" w:type="dxa"/>
              <w:left w:w="0" w:type="dxa"/>
              <w:bottom w:w="40" w:type="dxa"/>
              <w:right w:w="20" w:type="dxa"/>
            </w:tcMar>
            <w:vAlign w:val="bottom"/>
          </w:tcPr>
          <w:p w14:paraId="7B67076E"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6F"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70"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71" w14:textId="77777777" w:rsidR="0040300B" w:rsidRDefault="00BB2D44">
            <w:pPr>
              <w:jc w:val="right"/>
              <w:textAlignment w:val="bottom"/>
            </w:pPr>
            <w:r>
              <w:rPr>
                <w:rFonts w:ascii="Times New Roman" w:eastAsia="宋体" w:hAnsi="Times New Roman"/>
                <w:color w:val="000000"/>
                <w:sz w:val="19"/>
                <w:szCs w:val="19"/>
              </w:rPr>
              <w:t>878 </w:t>
            </w:r>
          </w:p>
        </w:tc>
        <w:tc>
          <w:tcPr>
            <w:tcW w:w="0" w:type="auto"/>
            <w:shd w:val="clear" w:color="auto" w:fill="CCEEFF"/>
            <w:tcMar>
              <w:top w:w="40" w:type="dxa"/>
              <w:left w:w="0" w:type="dxa"/>
              <w:bottom w:w="40" w:type="dxa"/>
              <w:right w:w="20" w:type="dxa"/>
            </w:tcMar>
            <w:vAlign w:val="bottom"/>
          </w:tcPr>
          <w:p w14:paraId="7B67077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7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74"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75" w14:textId="77777777" w:rsidR="0040300B" w:rsidRDefault="00BB2D44">
            <w:pPr>
              <w:jc w:val="right"/>
              <w:textAlignment w:val="bottom"/>
            </w:pPr>
            <w:r>
              <w:rPr>
                <w:rFonts w:ascii="Times New Roman" w:eastAsia="宋体" w:hAnsi="Times New Roman"/>
                <w:color w:val="000000"/>
                <w:sz w:val="19"/>
                <w:szCs w:val="19"/>
              </w:rPr>
              <w:t>354 </w:t>
            </w:r>
          </w:p>
        </w:tc>
        <w:tc>
          <w:tcPr>
            <w:tcW w:w="0" w:type="auto"/>
            <w:shd w:val="clear" w:color="auto" w:fill="CCEEFF"/>
            <w:tcMar>
              <w:top w:w="40" w:type="dxa"/>
              <w:left w:w="0" w:type="dxa"/>
              <w:bottom w:w="40" w:type="dxa"/>
              <w:right w:w="20" w:type="dxa"/>
            </w:tcMar>
            <w:vAlign w:val="bottom"/>
          </w:tcPr>
          <w:p w14:paraId="7B67077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7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78" w14:textId="77777777" w:rsidR="0040300B" w:rsidRDefault="00BB2D44">
            <w:pPr>
              <w:jc w:val="right"/>
              <w:textAlignment w:val="bottom"/>
            </w:pPr>
            <w:r>
              <w:rPr>
                <w:rFonts w:ascii="Times New Roman" w:eastAsia="宋体" w:hAnsi="Times New Roman"/>
                <w:color w:val="000000"/>
                <w:sz w:val="19"/>
                <w:szCs w:val="19"/>
              </w:rPr>
              <w:t>148 </w:t>
            </w:r>
          </w:p>
        </w:tc>
        <w:tc>
          <w:tcPr>
            <w:tcW w:w="0" w:type="auto"/>
            <w:shd w:val="clear" w:color="auto" w:fill="CCEEFF"/>
            <w:tcMar>
              <w:top w:w="40" w:type="dxa"/>
              <w:left w:w="0" w:type="dxa"/>
              <w:bottom w:w="40" w:type="dxa"/>
              <w:right w:w="20" w:type="dxa"/>
            </w:tcMar>
            <w:vAlign w:val="bottom"/>
          </w:tcPr>
          <w:p w14:paraId="7B670779"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7A" w14:textId="77777777" w:rsidR="0040300B" w:rsidRDefault="0040300B">
            <w:pPr>
              <w:rPr>
                <w:rFonts w:ascii="宋体"/>
              </w:rPr>
            </w:pPr>
          </w:p>
        </w:tc>
      </w:tr>
      <w:tr w:rsidR="0040300B" w14:paraId="7B67078F" w14:textId="77777777">
        <w:tc>
          <w:tcPr>
            <w:tcW w:w="0" w:type="auto"/>
            <w:gridSpan w:val="3"/>
            <w:shd w:val="clear" w:color="auto" w:fill="FFFFFF"/>
            <w:tcMar>
              <w:top w:w="40" w:type="dxa"/>
              <w:left w:w="20" w:type="dxa"/>
              <w:bottom w:w="40" w:type="dxa"/>
              <w:right w:w="20" w:type="dxa"/>
            </w:tcMar>
            <w:vAlign w:val="bottom"/>
          </w:tcPr>
          <w:p w14:paraId="7B67077C" w14:textId="77777777" w:rsidR="0040300B" w:rsidRDefault="00BB2D44">
            <w:pPr>
              <w:textAlignment w:val="bottom"/>
            </w:pPr>
            <w:r>
              <w:rPr>
                <w:rFonts w:ascii="Times New Roman" w:eastAsia="宋体" w:hAnsi="Times New Roman"/>
                <w:color w:val="000000"/>
                <w:sz w:val="19"/>
                <w:szCs w:val="19"/>
              </w:rPr>
              <w:t>Operating inc</w:t>
            </w:r>
            <w:r>
              <w:rPr>
                <w:rFonts w:ascii="Times New Roman" w:eastAsia="宋体" w:hAnsi="Times New Roman"/>
                <w:color w:val="000000"/>
                <w:sz w:val="19"/>
                <w:szCs w:val="19"/>
              </w:rPr>
              <w:t>ome as a percentage of revenue</w:t>
            </w:r>
          </w:p>
        </w:tc>
        <w:tc>
          <w:tcPr>
            <w:tcW w:w="0" w:type="auto"/>
            <w:gridSpan w:val="2"/>
            <w:shd w:val="clear" w:color="auto" w:fill="FFFFFF"/>
            <w:tcMar>
              <w:top w:w="40" w:type="dxa"/>
              <w:left w:w="20" w:type="dxa"/>
              <w:bottom w:w="40" w:type="dxa"/>
              <w:right w:w="0" w:type="dxa"/>
            </w:tcMar>
            <w:vAlign w:val="bottom"/>
          </w:tcPr>
          <w:p w14:paraId="7B67077D" w14:textId="77777777" w:rsidR="0040300B" w:rsidRDefault="00BB2D44">
            <w:pPr>
              <w:jc w:val="right"/>
              <w:textAlignment w:val="bottom"/>
            </w:pPr>
            <w:r>
              <w:rPr>
                <w:rFonts w:ascii="Times New Roman" w:eastAsia="宋体" w:hAnsi="Times New Roman"/>
                <w:color w:val="000000"/>
                <w:sz w:val="19"/>
                <w:szCs w:val="19"/>
              </w:rPr>
              <w:t>27.1 </w:t>
            </w:r>
          </w:p>
        </w:tc>
        <w:tc>
          <w:tcPr>
            <w:tcW w:w="0" w:type="auto"/>
            <w:shd w:val="clear" w:color="auto" w:fill="FFFFFF"/>
            <w:tcMar>
              <w:top w:w="40" w:type="dxa"/>
              <w:left w:w="0" w:type="dxa"/>
              <w:bottom w:w="40" w:type="dxa"/>
              <w:right w:w="20" w:type="dxa"/>
            </w:tcMar>
            <w:vAlign w:val="bottom"/>
          </w:tcPr>
          <w:p w14:paraId="7B67077E"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7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80" w14:textId="77777777" w:rsidR="0040300B" w:rsidRDefault="00BB2D44">
            <w:pPr>
              <w:jc w:val="right"/>
              <w:textAlignment w:val="bottom"/>
            </w:pPr>
            <w:r>
              <w:rPr>
                <w:rFonts w:ascii="Times New Roman" w:eastAsia="宋体" w:hAnsi="Times New Roman"/>
                <w:color w:val="000000"/>
                <w:sz w:val="19"/>
                <w:szCs w:val="19"/>
              </w:rPr>
              <w:t>28.5 </w:t>
            </w:r>
          </w:p>
        </w:tc>
        <w:tc>
          <w:tcPr>
            <w:tcW w:w="0" w:type="auto"/>
            <w:shd w:val="clear" w:color="auto" w:fill="FFFFFF"/>
            <w:tcMar>
              <w:top w:w="40" w:type="dxa"/>
              <w:left w:w="0" w:type="dxa"/>
              <w:bottom w:w="40" w:type="dxa"/>
              <w:right w:w="20" w:type="dxa"/>
            </w:tcMar>
            <w:vAlign w:val="bottom"/>
          </w:tcPr>
          <w:p w14:paraId="7B670781"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83" w14:textId="77777777" w:rsidR="0040300B" w:rsidRDefault="00BB2D44">
            <w:pPr>
              <w:jc w:val="right"/>
              <w:textAlignment w:val="bottom"/>
            </w:pPr>
            <w:r>
              <w:rPr>
                <w:rFonts w:ascii="Times New Roman" w:eastAsia="宋体" w:hAnsi="Times New Roman"/>
                <w:color w:val="000000"/>
                <w:sz w:val="19"/>
                <w:szCs w:val="19"/>
              </w:rPr>
              <w:t>(1.4)</w:t>
            </w:r>
          </w:p>
        </w:tc>
        <w:tc>
          <w:tcPr>
            <w:tcW w:w="0" w:type="auto"/>
            <w:shd w:val="clear" w:color="auto" w:fill="FFFFFF"/>
            <w:tcMar>
              <w:top w:w="40" w:type="dxa"/>
              <w:left w:w="0" w:type="dxa"/>
              <w:bottom w:w="40" w:type="dxa"/>
              <w:right w:w="20" w:type="dxa"/>
            </w:tcMar>
            <w:vAlign w:val="bottom"/>
          </w:tcPr>
          <w:p w14:paraId="7B670784"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85" w14:textId="77777777" w:rsidR="0040300B" w:rsidRDefault="00BB2D44">
            <w:pPr>
              <w:textAlignment w:val="bottom"/>
            </w:pPr>
            <w:r>
              <w:rPr>
                <w:rFonts w:ascii="Times New Roman" w:eastAsia="宋体" w:hAnsi="Times New Roman"/>
                <w:color w:val="000000"/>
                <w:sz w:val="19"/>
                <w:szCs w:val="19"/>
              </w:rPr>
              <w:t>pts</w:t>
            </w:r>
          </w:p>
        </w:tc>
        <w:tc>
          <w:tcPr>
            <w:tcW w:w="0" w:type="auto"/>
            <w:gridSpan w:val="2"/>
            <w:shd w:val="clear" w:color="auto" w:fill="FFFFFF"/>
            <w:tcMar>
              <w:top w:w="40" w:type="dxa"/>
              <w:left w:w="20" w:type="dxa"/>
              <w:bottom w:w="40" w:type="dxa"/>
              <w:right w:w="0" w:type="dxa"/>
            </w:tcMar>
            <w:vAlign w:val="bottom"/>
          </w:tcPr>
          <w:p w14:paraId="7B670786" w14:textId="77777777" w:rsidR="0040300B" w:rsidRDefault="00BB2D44">
            <w:pPr>
              <w:jc w:val="right"/>
              <w:textAlignment w:val="bottom"/>
            </w:pPr>
            <w:r>
              <w:rPr>
                <w:rFonts w:ascii="Times New Roman" w:eastAsia="宋体" w:hAnsi="Times New Roman"/>
                <w:color w:val="000000"/>
                <w:sz w:val="19"/>
                <w:szCs w:val="19"/>
              </w:rPr>
              <w:t>25.2 </w:t>
            </w:r>
          </w:p>
        </w:tc>
        <w:tc>
          <w:tcPr>
            <w:tcW w:w="0" w:type="auto"/>
            <w:shd w:val="clear" w:color="auto" w:fill="FFFFFF"/>
            <w:tcMar>
              <w:top w:w="40" w:type="dxa"/>
              <w:left w:w="0" w:type="dxa"/>
              <w:bottom w:w="40" w:type="dxa"/>
              <w:right w:w="20" w:type="dxa"/>
            </w:tcMar>
            <w:vAlign w:val="bottom"/>
          </w:tcPr>
          <w:p w14:paraId="7B670787"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8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89" w14:textId="77777777" w:rsidR="0040300B" w:rsidRDefault="00BB2D44">
            <w:pPr>
              <w:jc w:val="right"/>
              <w:textAlignment w:val="bottom"/>
            </w:pPr>
            <w:r>
              <w:rPr>
                <w:rFonts w:ascii="Times New Roman" w:eastAsia="宋体" w:hAnsi="Times New Roman"/>
                <w:color w:val="000000"/>
                <w:sz w:val="19"/>
                <w:szCs w:val="19"/>
              </w:rPr>
              <w:t>27.9 </w:t>
            </w:r>
          </w:p>
        </w:tc>
        <w:tc>
          <w:tcPr>
            <w:tcW w:w="0" w:type="auto"/>
            <w:shd w:val="clear" w:color="auto" w:fill="FFFFFF"/>
            <w:tcMar>
              <w:top w:w="40" w:type="dxa"/>
              <w:left w:w="0" w:type="dxa"/>
              <w:bottom w:w="40" w:type="dxa"/>
              <w:right w:w="20" w:type="dxa"/>
            </w:tcMar>
            <w:vAlign w:val="bottom"/>
          </w:tcPr>
          <w:p w14:paraId="7B67078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8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8C" w14:textId="77777777" w:rsidR="0040300B" w:rsidRDefault="00BB2D44">
            <w:pPr>
              <w:jc w:val="right"/>
              <w:textAlignment w:val="bottom"/>
            </w:pPr>
            <w:r>
              <w:rPr>
                <w:rFonts w:ascii="Times New Roman" w:eastAsia="宋体" w:hAnsi="Times New Roman"/>
                <w:color w:val="000000"/>
                <w:sz w:val="19"/>
                <w:szCs w:val="19"/>
              </w:rPr>
              <w:t>(2.7)</w:t>
            </w:r>
          </w:p>
        </w:tc>
        <w:tc>
          <w:tcPr>
            <w:tcW w:w="0" w:type="auto"/>
            <w:shd w:val="clear" w:color="auto" w:fill="FFFFFF"/>
            <w:tcMar>
              <w:top w:w="40" w:type="dxa"/>
              <w:left w:w="0" w:type="dxa"/>
              <w:bottom w:w="40" w:type="dxa"/>
              <w:right w:w="20" w:type="dxa"/>
            </w:tcMar>
            <w:vAlign w:val="bottom"/>
          </w:tcPr>
          <w:p w14:paraId="7B67078D"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8E" w14:textId="77777777" w:rsidR="0040300B" w:rsidRDefault="00BB2D44">
            <w:pPr>
              <w:textAlignment w:val="bottom"/>
            </w:pPr>
            <w:r>
              <w:rPr>
                <w:rFonts w:ascii="Times New Roman" w:eastAsia="宋体" w:hAnsi="Times New Roman"/>
                <w:color w:val="000000"/>
                <w:sz w:val="19"/>
                <w:szCs w:val="19"/>
              </w:rPr>
              <w:t>pts</w:t>
            </w:r>
          </w:p>
        </w:tc>
      </w:tr>
      <w:tr w:rsidR="0040300B" w14:paraId="7B6707A7" w14:textId="77777777">
        <w:tc>
          <w:tcPr>
            <w:tcW w:w="0" w:type="auto"/>
            <w:gridSpan w:val="3"/>
            <w:shd w:val="clear" w:color="auto" w:fill="CCEEFF"/>
            <w:tcMar>
              <w:top w:w="40" w:type="dxa"/>
              <w:left w:w="20" w:type="dxa"/>
              <w:bottom w:w="40" w:type="dxa"/>
              <w:right w:w="20" w:type="dxa"/>
            </w:tcMar>
            <w:vAlign w:val="bottom"/>
          </w:tcPr>
          <w:p w14:paraId="7B670790" w14:textId="77777777" w:rsidR="0040300B" w:rsidRDefault="00BB2D44">
            <w:pPr>
              <w:textAlignment w:val="bottom"/>
            </w:pPr>
            <w:r>
              <w:rPr>
                <w:rFonts w:ascii="Times New Roman" w:eastAsia="宋体" w:hAnsi="Times New Roman"/>
                <w:color w:val="000000"/>
                <w:sz w:val="19"/>
                <w:szCs w:val="19"/>
              </w:rPr>
              <w:t>Interest and other income (loss), net</w:t>
            </w:r>
          </w:p>
        </w:tc>
        <w:tc>
          <w:tcPr>
            <w:tcW w:w="0" w:type="auto"/>
            <w:shd w:val="clear" w:color="auto" w:fill="CCEEFF"/>
            <w:tcMar>
              <w:top w:w="40" w:type="dxa"/>
              <w:left w:w="20" w:type="dxa"/>
              <w:bottom w:w="40" w:type="dxa"/>
              <w:right w:w="0" w:type="dxa"/>
            </w:tcMar>
            <w:vAlign w:val="bottom"/>
          </w:tcPr>
          <w:p w14:paraId="7B670791"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92" w14:textId="77777777" w:rsidR="0040300B" w:rsidRDefault="00BB2D44">
            <w:pPr>
              <w:jc w:val="right"/>
              <w:textAlignment w:val="bottom"/>
            </w:pPr>
            <w:r>
              <w:rPr>
                <w:rFonts w:ascii="Times New Roman" w:eastAsia="宋体" w:hAnsi="Times New Roman"/>
                <w:color w:val="000000"/>
                <w:sz w:val="19"/>
                <w:szCs w:val="19"/>
              </w:rPr>
              <w:t>126 </w:t>
            </w:r>
          </w:p>
        </w:tc>
        <w:tc>
          <w:tcPr>
            <w:tcW w:w="0" w:type="auto"/>
            <w:shd w:val="clear" w:color="auto" w:fill="CCEEFF"/>
            <w:tcMar>
              <w:top w:w="40" w:type="dxa"/>
              <w:left w:w="0" w:type="dxa"/>
              <w:bottom w:w="40" w:type="dxa"/>
              <w:right w:w="20" w:type="dxa"/>
            </w:tcMar>
            <w:vAlign w:val="bottom"/>
          </w:tcPr>
          <w:p w14:paraId="7B67079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94"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95"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96" w14:textId="77777777" w:rsidR="0040300B" w:rsidRDefault="00BB2D44">
            <w:pPr>
              <w:jc w:val="right"/>
              <w:textAlignment w:val="bottom"/>
            </w:pPr>
            <w:r>
              <w:rPr>
                <w:rFonts w:ascii="Times New Roman" w:eastAsia="宋体" w:hAnsi="Times New Roman"/>
                <w:color w:val="000000"/>
                <w:sz w:val="19"/>
                <w:szCs w:val="19"/>
              </w:rPr>
              <w:t>30 </w:t>
            </w:r>
          </w:p>
        </w:tc>
        <w:tc>
          <w:tcPr>
            <w:tcW w:w="0" w:type="auto"/>
            <w:shd w:val="clear" w:color="auto" w:fill="CCEEFF"/>
            <w:tcMar>
              <w:top w:w="40" w:type="dxa"/>
              <w:left w:w="0" w:type="dxa"/>
              <w:bottom w:w="40" w:type="dxa"/>
              <w:right w:w="20" w:type="dxa"/>
            </w:tcMar>
            <w:vAlign w:val="bottom"/>
          </w:tcPr>
          <w:p w14:paraId="7B67079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9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99" w14:textId="77777777" w:rsidR="0040300B" w:rsidRDefault="00BB2D44">
            <w:pPr>
              <w:jc w:val="right"/>
              <w:textAlignment w:val="bottom"/>
            </w:pPr>
            <w:r>
              <w:rPr>
                <w:rFonts w:ascii="Times New Roman" w:eastAsia="宋体" w:hAnsi="Times New Roman"/>
                <w:color w:val="000000"/>
                <w:sz w:val="19"/>
                <w:szCs w:val="19"/>
              </w:rPr>
              <w:t>320 </w:t>
            </w:r>
          </w:p>
        </w:tc>
        <w:tc>
          <w:tcPr>
            <w:tcW w:w="0" w:type="auto"/>
            <w:shd w:val="clear" w:color="auto" w:fill="CCEEFF"/>
            <w:tcMar>
              <w:top w:w="40" w:type="dxa"/>
              <w:left w:w="0" w:type="dxa"/>
              <w:bottom w:w="40" w:type="dxa"/>
              <w:right w:w="20" w:type="dxa"/>
            </w:tcMar>
            <w:vAlign w:val="bottom"/>
          </w:tcPr>
          <w:p w14:paraId="7B67079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9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9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9D" w14:textId="77777777" w:rsidR="0040300B" w:rsidRDefault="00BB2D44">
            <w:pPr>
              <w:jc w:val="right"/>
              <w:textAlignment w:val="bottom"/>
            </w:pPr>
            <w:r>
              <w:rPr>
                <w:rFonts w:ascii="Times New Roman" w:eastAsia="宋体" w:hAnsi="Times New Roman"/>
                <w:color w:val="000000"/>
                <w:sz w:val="19"/>
                <w:szCs w:val="19"/>
              </w:rPr>
              <w:t>269 </w:t>
            </w:r>
          </w:p>
        </w:tc>
        <w:tc>
          <w:tcPr>
            <w:tcW w:w="0" w:type="auto"/>
            <w:shd w:val="clear" w:color="auto" w:fill="CCEEFF"/>
            <w:tcMar>
              <w:top w:w="40" w:type="dxa"/>
              <w:left w:w="0" w:type="dxa"/>
              <w:bottom w:w="40" w:type="dxa"/>
              <w:right w:w="20" w:type="dxa"/>
            </w:tcMar>
            <w:vAlign w:val="bottom"/>
          </w:tcPr>
          <w:p w14:paraId="7B67079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9F"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A0"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A1" w14:textId="77777777" w:rsidR="0040300B" w:rsidRDefault="00BB2D44">
            <w:pPr>
              <w:jc w:val="right"/>
              <w:textAlignment w:val="bottom"/>
            </w:pPr>
            <w:r>
              <w:rPr>
                <w:rFonts w:ascii="Times New Roman" w:eastAsia="宋体" w:hAnsi="Times New Roman"/>
                <w:color w:val="000000"/>
                <w:sz w:val="19"/>
                <w:szCs w:val="19"/>
              </w:rPr>
              <w:t>291 </w:t>
            </w:r>
          </w:p>
        </w:tc>
        <w:tc>
          <w:tcPr>
            <w:tcW w:w="0" w:type="auto"/>
            <w:shd w:val="clear" w:color="auto" w:fill="CCEEFF"/>
            <w:tcMar>
              <w:top w:w="40" w:type="dxa"/>
              <w:left w:w="0" w:type="dxa"/>
              <w:bottom w:w="40" w:type="dxa"/>
              <w:right w:w="20" w:type="dxa"/>
            </w:tcMar>
            <w:vAlign w:val="bottom"/>
          </w:tcPr>
          <w:p w14:paraId="7B6707A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A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A4" w14:textId="77777777" w:rsidR="0040300B" w:rsidRDefault="00BB2D44">
            <w:pPr>
              <w:jc w:val="right"/>
              <w:textAlignment w:val="bottom"/>
            </w:pPr>
            <w:r>
              <w:rPr>
                <w:rFonts w:ascii="Times New Roman" w:eastAsia="宋体" w:hAnsi="Times New Roman"/>
                <w:color w:val="000000"/>
                <w:sz w:val="19"/>
                <w:szCs w:val="19"/>
              </w:rPr>
              <w:t>(8)</w:t>
            </w:r>
          </w:p>
        </w:tc>
        <w:tc>
          <w:tcPr>
            <w:tcW w:w="0" w:type="auto"/>
            <w:shd w:val="clear" w:color="auto" w:fill="CCEEFF"/>
            <w:tcMar>
              <w:top w:w="40" w:type="dxa"/>
              <w:left w:w="0" w:type="dxa"/>
              <w:bottom w:w="40" w:type="dxa"/>
              <w:right w:w="20" w:type="dxa"/>
            </w:tcMar>
            <w:vAlign w:val="bottom"/>
          </w:tcPr>
          <w:p w14:paraId="7B6707A5"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A6" w14:textId="77777777" w:rsidR="0040300B" w:rsidRDefault="0040300B">
            <w:pPr>
              <w:rPr>
                <w:rFonts w:ascii="宋体"/>
              </w:rPr>
            </w:pPr>
          </w:p>
        </w:tc>
      </w:tr>
      <w:tr w:rsidR="0040300B" w14:paraId="7B6707BB" w14:textId="77777777">
        <w:tc>
          <w:tcPr>
            <w:tcW w:w="0" w:type="auto"/>
            <w:gridSpan w:val="3"/>
            <w:shd w:val="clear" w:color="auto" w:fill="FFFFFF"/>
            <w:tcMar>
              <w:top w:w="40" w:type="dxa"/>
              <w:left w:w="20" w:type="dxa"/>
              <w:bottom w:w="40" w:type="dxa"/>
              <w:right w:w="20" w:type="dxa"/>
            </w:tcMar>
            <w:vAlign w:val="bottom"/>
          </w:tcPr>
          <w:p w14:paraId="7B6707A8" w14:textId="77777777" w:rsidR="0040300B" w:rsidRDefault="00BB2D44">
            <w:pPr>
              <w:textAlignment w:val="bottom"/>
            </w:pPr>
            <w:r>
              <w:rPr>
                <w:rFonts w:ascii="Times New Roman" w:eastAsia="宋体" w:hAnsi="Times New Roman"/>
                <w:color w:val="000000"/>
                <w:sz w:val="19"/>
                <w:szCs w:val="19"/>
              </w:rPr>
              <w:t>Income</w:t>
            </w:r>
            <w:r>
              <w:rPr>
                <w:rFonts w:ascii="Times New Roman" w:eastAsia="宋体" w:hAnsi="Times New Roman"/>
                <w:color w:val="000000"/>
                <w:sz w:val="19"/>
                <w:szCs w:val="19"/>
              </w:rPr>
              <w:t xml:space="preserve"> tax percentage</w:t>
            </w:r>
          </w:p>
        </w:tc>
        <w:tc>
          <w:tcPr>
            <w:tcW w:w="0" w:type="auto"/>
            <w:gridSpan w:val="2"/>
            <w:shd w:val="clear" w:color="auto" w:fill="FFFFFF"/>
            <w:tcMar>
              <w:top w:w="40" w:type="dxa"/>
              <w:left w:w="20" w:type="dxa"/>
              <w:bottom w:w="40" w:type="dxa"/>
              <w:right w:w="0" w:type="dxa"/>
            </w:tcMar>
            <w:vAlign w:val="bottom"/>
          </w:tcPr>
          <w:p w14:paraId="7B6707A9" w14:textId="77777777" w:rsidR="0040300B" w:rsidRDefault="00BB2D44">
            <w:pPr>
              <w:jc w:val="right"/>
              <w:textAlignment w:val="bottom"/>
            </w:pPr>
            <w:r>
              <w:rPr>
                <w:rFonts w:ascii="Times New Roman" w:eastAsia="宋体" w:hAnsi="Times New Roman"/>
                <w:color w:val="000000"/>
                <w:sz w:val="19"/>
                <w:szCs w:val="19"/>
              </w:rPr>
              <w:t>20.3 </w:t>
            </w:r>
          </w:p>
        </w:tc>
        <w:tc>
          <w:tcPr>
            <w:tcW w:w="0" w:type="auto"/>
            <w:shd w:val="clear" w:color="auto" w:fill="FFFFFF"/>
            <w:tcMar>
              <w:top w:w="40" w:type="dxa"/>
              <w:left w:w="0" w:type="dxa"/>
              <w:bottom w:w="40" w:type="dxa"/>
              <w:right w:w="20" w:type="dxa"/>
            </w:tcMar>
            <w:vAlign w:val="bottom"/>
          </w:tcPr>
          <w:p w14:paraId="7B6707AA"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A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AC" w14:textId="77777777" w:rsidR="0040300B" w:rsidRDefault="00BB2D44">
            <w:pPr>
              <w:jc w:val="right"/>
              <w:textAlignment w:val="bottom"/>
            </w:pPr>
            <w:r>
              <w:rPr>
                <w:rFonts w:ascii="Times New Roman" w:eastAsia="宋体" w:hAnsi="Times New Roman"/>
                <w:color w:val="000000"/>
                <w:sz w:val="19"/>
                <w:szCs w:val="19"/>
              </w:rPr>
              <w:t>19.4 </w:t>
            </w:r>
          </w:p>
        </w:tc>
        <w:tc>
          <w:tcPr>
            <w:tcW w:w="0" w:type="auto"/>
            <w:shd w:val="clear" w:color="auto" w:fill="FFFFFF"/>
            <w:tcMar>
              <w:top w:w="40" w:type="dxa"/>
              <w:left w:w="0" w:type="dxa"/>
              <w:bottom w:w="40" w:type="dxa"/>
              <w:right w:w="20" w:type="dxa"/>
            </w:tcMar>
            <w:vAlign w:val="bottom"/>
          </w:tcPr>
          <w:p w14:paraId="7B6707AD"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A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AF" w14:textId="77777777" w:rsidR="0040300B" w:rsidRDefault="00BB2D44">
            <w:pPr>
              <w:jc w:val="right"/>
              <w:textAlignment w:val="bottom"/>
            </w:pPr>
            <w:r>
              <w:rPr>
                <w:rFonts w:ascii="Times New Roman" w:eastAsia="宋体" w:hAnsi="Times New Roman"/>
                <w:color w:val="000000"/>
                <w:sz w:val="19"/>
                <w:szCs w:val="19"/>
              </w:rPr>
              <w:t>0.9 </w:t>
            </w:r>
          </w:p>
        </w:tc>
        <w:tc>
          <w:tcPr>
            <w:tcW w:w="0" w:type="auto"/>
            <w:shd w:val="clear" w:color="auto" w:fill="FFFFFF"/>
            <w:tcMar>
              <w:top w:w="40" w:type="dxa"/>
              <w:left w:w="0" w:type="dxa"/>
              <w:bottom w:w="40" w:type="dxa"/>
              <w:right w:w="20" w:type="dxa"/>
            </w:tcMar>
            <w:vAlign w:val="bottom"/>
          </w:tcPr>
          <w:p w14:paraId="7B6707B0"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B1" w14:textId="77777777" w:rsidR="0040300B" w:rsidRDefault="00BB2D44">
            <w:pPr>
              <w:textAlignment w:val="bottom"/>
            </w:pPr>
            <w:r>
              <w:rPr>
                <w:rFonts w:ascii="Times New Roman" w:eastAsia="宋体" w:hAnsi="Times New Roman"/>
                <w:color w:val="000000"/>
                <w:sz w:val="19"/>
                <w:szCs w:val="19"/>
              </w:rPr>
              <w:t>pts</w:t>
            </w:r>
          </w:p>
        </w:tc>
        <w:tc>
          <w:tcPr>
            <w:tcW w:w="0" w:type="auto"/>
            <w:gridSpan w:val="2"/>
            <w:shd w:val="clear" w:color="auto" w:fill="FFFFFF"/>
            <w:tcMar>
              <w:top w:w="40" w:type="dxa"/>
              <w:left w:w="20" w:type="dxa"/>
              <w:bottom w:w="40" w:type="dxa"/>
              <w:right w:w="0" w:type="dxa"/>
            </w:tcMar>
            <w:vAlign w:val="bottom"/>
          </w:tcPr>
          <w:p w14:paraId="7B6707B2" w14:textId="77777777" w:rsidR="0040300B" w:rsidRDefault="00BB2D44">
            <w:pPr>
              <w:jc w:val="right"/>
              <w:textAlignment w:val="bottom"/>
            </w:pPr>
            <w:r>
              <w:rPr>
                <w:rFonts w:ascii="Times New Roman" w:eastAsia="宋体" w:hAnsi="Times New Roman"/>
                <w:color w:val="000000"/>
                <w:sz w:val="19"/>
                <w:szCs w:val="19"/>
              </w:rPr>
              <w:t>20.4 </w:t>
            </w:r>
          </w:p>
        </w:tc>
        <w:tc>
          <w:tcPr>
            <w:tcW w:w="0" w:type="auto"/>
            <w:shd w:val="clear" w:color="auto" w:fill="FFFFFF"/>
            <w:tcMar>
              <w:top w:w="40" w:type="dxa"/>
              <w:left w:w="0" w:type="dxa"/>
              <w:bottom w:w="40" w:type="dxa"/>
              <w:right w:w="20" w:type="dxa"/>
            </w:tcMar>
            <w:vAlign w:val="bottom"/>
          </w:tcPr>
          <w:p w14:paraId="7B6707B3"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B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B5" w14:textId="77777777" w:rsidR="0040300B" w:rsidRDefault="00BB2D44">
            <w:pPr>
              <w:jc w:val="right"/>
              <w:textAlignment w:val="bottom"/>
            </w:pPr>
            <w:r>
              <w:rPr>
                <w:rFonts w:ascii="Times New Roman" w:eastAsia="宋体" w:hAnsi="Times New Roman"/>
                <w:color w:val="000000"/>
                <w:sz w:val="19"/>
                <w:szCs w:val="19"/>
              </w:rPr>
              <w:t>19.6 </w:t>
            </w:r>
          </w:p>
        </w:tc>
        <w:tc>
          <w:tcPr>
            <w:tcW w:w="0" w:type="auto"/>
            <w:shd w:val="clear" w:color="auto" w:fill="FFFFFF"/>
            <w:tcMar>
              <w:top w:w="40" w:type="dxa"/>
              <w:left w:w="0" w:type="dxa"/>
              <w:bottom w:w="40" w:type="dxa"/>
              <w:right w:w="20" w:type="dxa"/>
            </w:tcMar>
            <w:vAlign w:val="bottom"/>
          </w:tcPr>
          <w:p w14:paraId="7B6707B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B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B8" w14:textId="77777777" w:rsidR="0040300B" w:rsidRDefault="00BB2D44">
            <w:pPr>
              <w:jc w:val="right"/>
              <w:textAlignment w:val="bottom"/>
            </w:pPr>
            <w:r>
              <w:rPr>
                <w:rFonts w:ascii="Times New Roman" w:eastAsia="宋体" w:hAnsi="Times New Roman"/>
                <w:color w:val="000000"/>
                <w:sz w:val="19"/>
                <w:szCs w:val="19"/>
              </w:rPr>
              <w:t>0.8 </w:t>
            </w:r>
          </w:p>
        </w:tc>
        <w:tc>
          <w:tcPr>
            <w:tcW w:w="0" w:type="auto"/>
            <w:shd w:val="clear" w:color="auto" w:fill="FFFFFF"/>
            <w:tcMar>
              <w:top w:w="40" w:type="dxa"/>
              <w:left w:w="0" w:type="dxa"/>
              <w:bottom w:w="40" w:type="dxa"/>
              <w:right w:w="20" w:type="dxa"/>
            </w:tcMar>
            <w:vAlign w:val="bottom"/>
          </w:tcPr>
          <w:p w14:paraId="7B6707B9"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BA" w14:textId="77777777" w:rsidR="0040300B" w:rsidRDefault="00BB2D44">
            <w:pPr>
              <w:textAlignment w:val="bottom"/>
            </w:pPr>
            <w:r>
              <w:rPr>
                <w:rFonts w:ascii="Times New Roman" w:eastAsia="宋体" w:hAnsi="Times New Roman"/>
                <w:color w:val="000000"/>
                <w:sz w:val="19"/>
                <w:szCs w:val="19"/>
              </w:rPr>
              <w:t>pts</w:t>
            </w:r>
          </w:p>
        </w:tc>
      </w:tr>
      <w:tr w:rsidR="0040300B" w14:paraId="7B6707D3" w14:textId="77777777">
        <w:tc>
          <w:tcPr>
            <w:tcW w:w="0" w:type="auto"/>
            <w:gridSpan w:val="3"/>
            <w:shd w:val="clear" w:color="auto" w:fill="CCEEFF"/>
            <w:tcMar>
              <w:top w:w="40" w:type="dxa"/>
              <w:left w:w="20" w:type="dxa"/>
              <w:bottom w:w="40" w:type="dxa"/>
              <w:right w:w="20" w:type="dxa"/>
            </w:tcMar>
            <w:vAlign w:val="bottom"/>
          </w:tcPr>
          <w:p w14:paraId="7B6707BC" w14:textId="77777777" w:rsidR="0040300B" w:rsidRDefault="00BB2D44">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7B6707BD"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BE" w14:textId="77777777" w:rsidR="0040300B" w:rsidRDefault="00BB2D44">
            <w:pPr>
              <w:jc w:val="right"/>
              <w:textAlignment w:val="bottom"/>
            </w:pPr>
            <w:r>
              <w:rPr>
                <w:rFonts w:ascii="Times New Roman" w:eastAsia="宋体" w:hAnsi="Times New Roman"/>
                <w:color w:val="000000"/>
                <w:sz w:val="19"/>
                <w:szCs w:val="19"/>
              </w:rPr>
              <w:t>2,863 </w:t>
            </w:r>
          </w:p>
        </w:tc>
        <w:tc>
          <w:tcPr>
            <w:tcW w:w="0" w:type="auto"/>
            <w:shd w:val="clear" w:color="auto" w:fill="CCEEFF"/>
            <w:tcMar>
              <w:top w:w="40" w:type="dxa"/>
              <w:left w:w="0" w:type="dxa"/>
              <w:bottom w:w="40" w:type="dxa"/>
              <w:right w:w="20" w:type="dxa"/>
            </w:tcMar>
            <w:vAlign w:val="bottom"/>
          </w:tcPr>
          <w:p w14:paraId="7B6707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C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C1"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C2" w14:textId="77777777" w:rsidR="0040300B" w:rsidRDefault="00BB2D44">
            <w:pPr>
              <w:jc w:val="right"/>
              <w:textAlignment w:val="bottom"/>
            </w:pPr>
            <w:r>
              <w:rPr>
                <w:rFonts w:ascii="Times New Roman" w:eastAsia="宋体" w:hAnsi="Times New Roman"/>
                <w:color w:val="000000"/>
                <w:sz w:val="19"/>
                <w:szCs w:val="19"/>
              </w:rPr>
              <w:t>2,774 </w:t>
            </w:r>
          </w:p>
        </w:tc>
        <w:tc>
          <w:tcPr>
            <w:tcW w:w="0" w:type="auto"/>
            <w:shd w:val="clear" w:color="auto" w:fill="CCEEFF"/>
            <w:tcMar>
              <w:top w:w="40" w:type="dxa"/>
              <w:left w:w="0" w:type="dxa"/>
              <w:bottom w:w="40" w:type="dxa"/>
              <w:right w:w="20" w:type="dxa"/>
            </w:tcMar>
            <w:vAlign w:val="bottom"/>
          </w:tcPr>
          <w:p w14:paraId="7B6707C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C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C5" w14:textId="77777777" w:rsidR="0040300B" w:rsidRDefault="00BB2D44">
            <w:pPr>
              <w:jc w:val="right"/>
              <w:textAlignment w:val="bottom"/>
            </w:pPr>
            <w:r>
              <w:rPr>
                <w:rFonts w:ascii="Times New Roman" w:eastAsia="宋体" w:hAnsi="Times New Roman"/>
                <w:color w:val="000000"/>
                <w:sz w:val="19"/>
                <w:szCs w:val="19"/>
              </w:rPr>
              <w:t>3 </w:t>
            </w:r>
          </w:p>
        </w:tc>
        <w:tc>
          <w:tcPr>
            <w:tcW w:w="0" w:type="auto"/>
            <w:shd w:val="clear" w:color="auto" w:fill="CCEEFF"/>
            <w:tcMar>
              <w:top w:w="40" w:type="dxa"/>
              <w:left w:w="0" w:type="dxa"/>
              <w:bottom w:w="40" w:type="dxa"/>
              <w:right w:w="20" w:type="dxa"/>
            </w:tcMar>
            <w:vAlign w:val="bottom"/>
          </w:tcPr>
          <w:p w14:paraId="7B6707C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C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C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C9" w14:textId="77777777" w:rsidR="0040300B" w:rsidRDefault="00BB2D44">
            <w:pPr>
              <w:jc w:val="right"/>
              <w:textAlignment w:val="bottom"/>
            </w:pPr>
            <w:r>
              <w:rPr>
                <w:rFonts w:ascii="Times New Roman" w:eastAsia="宋体" w:hAnsi="Times New Roman"/>
                <w:color w:val="000000"/>
                <w:sz w:val="19"/>
                <w:szCs w:val="19"/>
              </w:rPr>
              <w:t>7,582 </w:t>
            </w:r>
          </w:p>
        </w:tc>
        <w:tc>
          <w:tcPr>
            <w:tcW w:w="0" w:type="auto"/>
            <w:shd w:val="clear" w:color="auto" w:fill="CCEEFF"/>
            <w:tcMar>
              <w:top w:w="40" w:type="dxa"/>
              <w:left w:w="0" w:type="dxa"/>
              <w:bottom w:w="40" w:type="dxa"/>
              <w:right w:w="20" w:type="dxa"/>
            </w:tcMar>
            <w:vAlign w:val="bottom"/>
          </w:tcPr>
          <w:p w14:paraId="7B6707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C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CC"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CD" w14:textId="77777777" w:rsidR="0040300B" w:rsidRDefault="00BB2D44">
            <w:pPr>
              <w:jc w:val="right"/>
              <w:textAlignment w:val="bottom"/>
            </w:pPr>
            <w:r>
              <w:rPr>
                <w:rFonts w:ascii="Times New Roman" w:eastAsia="宋体" w:hAnsi="Times New Roman"/>
                <w:color w:val="000000"/>
                <w:sz w:val="19"/>
                <w:szCs w:val="19"/>
              </w:rPr>
              <w:t>8,578 </w:t>
            </w:r>
          </w:p>
        </w:tc>
        <w:tc>
          <w:tcPr>
            <w:tcW w:w="0" w:type="auto"/>
            <w:shd w:val="clear" w:color="auto" w:fill="CCEEFF"/>
            <w:tcMar>
              <w:top w:w="40" w:type="dxa"/>
              <w:left w:w="0" w:type="dxa"/>
              <w:bottom w:w="40" w:type="dxa"/>
              <w:right w:w="20" w:type="dxa"/>
            </w:tcMar>
            <w:vAlign w:val="bottom"/>
          </w:tcPr>
          <w:p w14:paraId="7B6707C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C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D0" w14:textId="77777777" w:rsidR="0040300B" w:rsidRDefault="00BB2D44">
            <w:pPr>
              <w:jc w:val="right"/>
              <w:textAlignment w:val="bottom"/>
            </w:pPr>
            <w:r>
              <w:rPr>
                <w:rFonts w:ascii="Times New Roman" w:eastAsia="宋体" w:hAnsi="Times New Roman"/>
                <w:color w:val="000000"/>
                <w:sz w:val="19"/>
                <w:szCs w:val="19"/>
              </w:rPr>
              <w:t>(12)</w:t>
            </w:r>
          </w:p>
        </w:tc>
        <w:tc>
          <w:tcPr>
            <w:tcW w:w="0" w:type="auto"/>
            <w:shd w:val="clear" w:color="auto" w:fill="CCEEFF"/>
            <w:tcMar>
              <w:top w:w="40" w:type="dxa"/>
              <w:left w:w="0" w:type="dxa"/>
              <w:bottom w:w="40" w:type="dxa"/>
              <w:right w:w="20" w:type="dxa"/>
            </w:tcMar>
            <w:vAlign w:val="bottom"/>
          </w:tcPr>
          <w:p w14:paraId="7B6707D1"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D2" w14:textId="77777777" w:rsidR="0040300B" w:rsidRDefault="0040300B">
            <w:pPr>
              <w:rPr>
                <w:rFonts w:ascii="宋体"/>
              </w:rPr>
            </w:pPr>
          </w:p>
        </w:tc>
      </w:tr>
      <w:tr w:rsidR="0040300B" w14:paraId="7B6707E7" w14:textId="77777777">
        <w:tc>
          <w:tcPr>
            <w:tcW w:w="0" w:type="auto"/>
            <w:gridSpan w:val="3"/>
            <w:shd w:val="clear" w:color="auto" w:fill="FFFFFF"/>
            <w:tcMar>
              <w:top w:w="40" w:type="dxa"/>
              <w:left w:w="20" w:type="dxa"/>
              <w:bottom w:w="40" w:type="dxa"/>
              <w:right w:w="20" w:type="dxa"/>
            </w:tcMar>
            <w:vAlign w:val="bottom"/>
          </w:tcPr>
          <w:p w14:paraId="7B6707D4" w14:textId="77777777" w:rsidR="0040300B" w:rsidRDefault="00BB2D44">
            <w:pPr>
              <w:textAlignment w:val="bottom"/>
            </w:pPr>
            <w:r>
              <w:rPr>
                <w:rFonts w:ascii="Times New Roman" w:eastAsia="宋体" w:hAnsi="Times New Roman"/>
                <w:color w:val="000000"/>
                <w:sz w:val="19"/>
                <w:szCs w:val="19"/>
              </w:rPr>
              <w:t>Net income as</w:t>
            </w:r>
            <w:r>
              <w:rPr>
                <w:rFonts w:ascii="Times New Roman" w:eastAsia="宋体" w:hAnsi="Times New Roman"/>
                <w:color w:val="000000"/>
                <w:sz w:val="19"/>
                <w:szCs w:val="19"/>
              </w:rPr>
              <w:t xml:space="preserve"> a percentage of revenue</w:t>
            </w:r>
          </w:p>
        </w:tc>
        <w:tc>
          <w:tcPr>
            <w:tcW w:w="0" w:type="auto"/>
            <w:gridSpan w:val="2"/>
            <w:shd w:val="clear" w:color="auto" w:fill="FFFFFF"/>
            <w:tcMar>
              <w:top w:w="40" w:type="dxa"/>
              <w:left w:w="20" w:type="dxa"/>
              <w:bottom w:w="40" w:type="dxa"/>
              <w:right w:w="0" w:type="dxa"/>
            </w:tcMar>
            <w:vAlign w:val="bottom"/>
          </w:tcPr>
          <w:p w14:paraId="7B6707D5" w14:textId="77777777" w:rsidR="0040300B" w:rsidRDefault="00BB2D44">
            <w:pPr>
              <w:jc w:val="right"/>
              <w:textAlignment w:val="bottom"/>
            </w:pPr>
            <w:r>
              <w:rPr>
                <w:rFonts w:ascii="Times New Roman" w:eastAsia="宋体" w:hAnsi="Times New Roman"/>
                <w:color w:val="000000"/>
                <w:sz w:val="19"/>
                <w:szCs w:val="19"/>
              </w:rPr>
              <w:t>22.4 </w:t>
            </w:r>
          </w:p>
        </w:tc>
        <w:tc>
          <w:tcPr>
            <w:tcW w:w="0" w:type="auto"/>
            <w:shd w:val="clear" w:color="auto" w:fill="FFFFFF"/>
            <w:tcMar>
              <w:top w:w="40" w:type="dxa"/>
              <w:left w:w="0" w:type="dxa"/>
              <w:bottom w:w="40" w:type="dxa"/>
              <w:right w:w="20" w:type="dxa"/>
            </w:tcMar>
            <w:vAlign w:val="bottom"/>
          </w:tcPr>
          <w:p w14:paraId="7B6707D6"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D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D8" w14:textId="77777777" w:rsidR="0040300B" w:rsidRDefault="00BB2D44">
            <w:pPr>
              <w:jc w:val="right"/>
              <w:textAlignment w:val="bottom"/>
            </w:pPr>
            <w:r>
              <w:rPr>
                <w:rFonts w:ascii="Times New Roman" w:eastAsia="宋体" w:hAnsi="Times New Roman"/>
                <w:color w:val="000000"/>
                <w:sz w:val="19"/>
                <w:szCs w:val="19"/>
              </w:rPr>
              <w:t>23.1 </w:t>
            </w:r>
          </w:p>
        </w:tc>
        <w:tc>
          <w:tcPr>
            <w:tcW w:w="0" w:type="auto"/>
            <w:shd w:val="clear" w:color="auto" w:fill="FFFFFF"/>
            <w:tcMar>
              <w:top w:w="40" w:type="dxa"/>
              <w:left w:w="0" w:type="dxa"/>
              <w:bottom w:w="40" w:type="dxa"/>
              <w:right w:w="20" w:type="dxa"/>
            </w:tcMar>
            <w:vAlign w:val="bottom"/>
          </w:tcPr>
          <w:p w14:paraId="7B6707D9"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D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DB" w14:textId="77777777" w:rsidR="0040300B" w:rsidRDefault="00BB2D44">
            <w:pPr>
              <w:jc w:val="right"/>
              <w:textAlignment w:val="bottom"/>
            </w:pPr>
            <w:r>
              <w:rPr>
                <w:rFonts w:ascii="Times New Roman" w:eastAsia="宋体" w:hAnsi="Times New Roman"/>
                <w:color w:val="000000"/>
                <w:sz w:val="19"/>
                <w:szCs w:val="19"/>
              </w:rPr>
              <w:t>(0.7)</w:t>
            </w:r>
          </w:p>
        </w:tc>
        <w:tc>
          <w:tcPr>
            <w:tcW w:w="0" w:type="auto"/>
            <w:shd w:val="clear" w:color="auto" w:fill="FFFFFF"/>
            <w:tcMar>
              <w:top w:w="40" w:type="dxa"/>
              <w:left w:w="0" w:type="dxa"/>
              <w:bottom w:w="40" w:type="dxa"/>
              <w:right w:w="20" w:type="dxa"/>
            </w:tcMar>
            <w:vAlign w:val="bottom"/>
          </w:tcPr>
          <w:p w14:paraId="7B6707DC"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DD" w14:textId="77777777" w:rsidR="0040300B" w:rsidRDefault="00BB2D44">
            <w:pPr>
              <w:textAlignment w:val="bottom"/>
            </w:pPr>
            <w:r>
              <w:rPr>
                <w:rFonts w:ascii="Times New Roman" w:eastAsia="宋体" w:hAnsi="Times New Roman"/>
                <w:color w:val="000000"/>
                <w:sz w:val="19"/>
                <w:szCs w:val="19"/>
              </w:rPr>
              <w:t>pts</w:t>
            </w:r>
          </w:p>
        </w:tc>
        <w:tc>
          <w:tcPr>
            <w:tcW w:w="0" w:type="auto"/>
            <w:gridSpan w:val="2"/>
            <w:shd w:val="clear" w:color="auto" w:fill="FFFFFF"/>
            <w:tcMar>
              <w:top w:w="40" w:type="dxa"/>
              <w:left w:w="20" w:type="dxa"/>
              <w:bottom w:w="40" w:type="dxa"/>
              <w:right w:w="0" w:type="dxa"/>
            </w:tcMar>
            <w:vAlign w:val="bottom"/>
          </w:tcPr>
          <w:p w14:paraId="7B6707DE" w14:textId="77777777" w:rsidR="0040300B" w:rsidRDefault="00BB2D44">
            <w:pPr>
              <w:jc w:val="right"/>
              <w:textAlignment w:val="bottom"/>
            </w:pPr>
            <w:r>
              <w:rPr>
                <w:rFonts w:ascii="Times New Roman" w:eastAsia="宋体" w:hAnsi="Times New Roman"/>
                <w:color w:val="000000"/>
                <w:sz w:val="19"/>
                <w:szCs w:val="19"/>
              </w:rPr>
              <w:t>20.7 </w:t>
            </w:r>
          </w:p>
        </w:tc>
        <w:tc>
          <w:tcPr>
            <w:tcW w:w="0" w:type="auto"/>
            <w:shd w:val="clear" w:color="auto" w:fill="FFFFFF"/>
            <w:tcMar>
              <w:top w:w="40" w:type="dxa"/>
              <w:left w:w="0" w:type="dxa"/>
              <w:bottom w:w="40" w:type="dxa"/>
              <w:right w:w="20" w:type="dxa"/>
            </w:tcMar>
            <w:vAlign w:val="bottom"/>
          </w:tcPr>
          <w:p w14:paraId="7B6707DF"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E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E1" w14:textId="77777777" w:rsidR="0040300B" w:rsidRDefault="00BB2D44">
            <w:pPr>
              <w:jc w:val="right"/>
              <w:textAlignment w:val="bottom"/>
            </w:pPr>
            <w:r>
              <w:rPr>
                <w:rFonts w:ascii="Times New Roman" w:eastAsia="宋体" w:hAnsi="Times New Roman"/>
                <w:color w:val="000000"/>
                <w:sz w:val="19"/>
                <w:szCs w:val="19"/>
              </w:rPr>
              <w:t>23.1 </w:t>
            </w:r>
          </w:p>
        </w:tc>
        <w:tc>
          <w:tcPr>
            <w:tcW w:w="0" w:type="auto"/>
            <w:shd w:val="clear" w:color="auto" w:fill="FFFFFF"/>
            <w:tcMar>
              <w:top w:w="40" w:type="dxa"/>
              <w:left w:w="0" w:type="dxa"/>
              <w:bottom w:w="40" w:type="dxa"/>
              <w:right w:w="20" w:type="dxa"/>
            </w:tcMar>
            <w:vAlign w:val="bottom"/>
          </w:tcPr>
          <w:p w14:paraId="7B6707E2"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tcPr>
          <w:p w14:paraId="7B6707E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7E4" w14:textId="77777777" w:rsidR="0040300B" w:rsidRDefault="00BB2D44">
            <w:pPr>
              <w:jc w:val="right"/>
              <w:textAlignment w:val="bottom"/>
            </w:pPr>
            <w:r>
              <w:rPr>
                <w:rFonts w:ascii="Times New Roman" w:eastAsia="宋体" w:hAnsi="Times New Roman"/>
                <w:color w:val="000000"/>
                <w:sz w:val="19"/>
                <w:szCs w:val="19"/>
              </w:rPr>
              <w:t>(2.4)</w:t>
            </w:r>
          </w:p>
        </w:tc>
        <w:tc>
          <w:tcPr>
            <w:tcW w:w="0" w:type="auto"/>
            <w:shd w:val="clear" w:color="auto" w:fill="FFFFFF"/>
            <w:tcMar>
              <w:top w:w="40" w:type="dxa"/>
              <w:left w:w="0" w:type="dxa"/>
              <w:bottom w:w="40" w:type="dxa"/>
              <w:right w:w="20" w:type="dxa"/>
            </w:tcMar>
            <w:vAlign w:val="bottom"/>
          </w:tcPr>
          <w:p w14:paraId="7B6707E5" w14:textId="77777777" w:rsidR="0040300B" w:rsidRDefault="0040300B">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B6707E6" w14:textId="77777777" w:rsidR="0040300B" w:rsidRDefault="00BB2D44">
            <w:pPr>
              <w:textAlignment w:val="bottom"/>
            </w:pPr>
            <w:r>
              <w:rPr>
                <w:rFonts w:ascii="Times New Roman" w:eastAsia="宋体" w:hAnsi="Times New Roman"/>
                <w:color w:val="000000"/>
                <w:sz w:val="19"/>
                <w:szCs w:val="19"/>
              </w:rPr>
              <w:t>pts</w:t>
            </w:r>
          </w:p>
        </w:tc>
      </w:tr>
      <w:tr w:rsidR="0040300B" w14:paraId="7B6707FF" w14:textId="77777777">
        <w:tc>
          <w:tcPr>
            <w:tcW w:w="0" w:type="auto"/>
            <w:gridSpan w:val="3"/>
            <w:shd w:val="clear" w:color="auto" w:fill="CCEEFF"/>
            <w:tcMar>
              <w:top w:w="40" w:type="dxa"/>
              <w:left w:w="20" w:type="dxa"/>
              <w:bottom w:w="40" w:type="dxa"/>
              <w:right w:w="20" w:type="dxa"/>
            </w:tcMar>
            <w:vAlign w:val="bottom"/>
          </w:tcPr>
          <w:p w14:paraId="7B6707E8" w14:textId="77777777" w:rsidR="0040300B" w:rsidRDefault="00BB2D44">
            <w:pPr>
              <w:textAlignment w:val="bottom"/>
            </w:pPr>
            <w:r>
              <w:rPr>
                <w:rFonts w:ascii="Times New Roman" w:eastAsia="宋体" w:hAnsi="Times New Roman"/>
                <w:color w:val="000000"/>
                <w:sz w:val="19"/>
                <w:szCs w:val="19"/>
              </w:rPr>
              <w:t>Earnings per share—diluted</w:t>
            </w:r>
          </w:p>
        </w:tc>
        <w:tc>
          <w:tcPr>
            <w:tcW w:w="0" w:type="auto"/>
            <w:shd w:val="clear" w:color="auto" w:fill="CCEEFF"/>
            <w:tcMar>
              <w:top w:w="40" w:type="dxa"/>
              <w:left w:w="20" w:type="dxa"/>
              <w:bottom w:w="40" w:type="dxa"/>
              <w:right w:w="0" w:type="dxa"/>
            </w:tcMar>
            <w:vAlign w:val="bottom"/>
          </w:tcPr>
          <w:p w14:paraId="7B6707E9"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EA" w14:textId="77777777" w:rsidR="0040300B" w:rsidRDefault="00BB2D44">
            <w:pPr>
              <w:jc w:val="right"/>
              <w:textAlignment w:val="bottom"/>
            </w:pPr>
            <w:r>
              <w:rPr>
                <w:rFonts w:ascii="Times New Roman" w:eastAsia="宋体" w:hAnsi="Times New Roman"/>
                <w:color w:val="000000"/>
                <w:sz w:val="19"/>
                <w:szCs w:val="19"/>
              </w:rPr>
              <w:t>0.68 </w:t>
            </w:r>
          </w:p>
        </w:tc>
        <w:tc>
          <w:tcPr>
            <w:tcW w:w="0" w:type="auto"/>
            <w:shd w:val="clear" w:color="auto" w:fill="CCEEFF"/>
            <w:tcMar>
              <w:top w:w="40" w:type="dxa"/>
              <w:left w:w="0" w:type="dxa"/>
              <w:bottom w:w="40" w:type="dxa"/>
              <w:right w:w="20" w:type="dxa"/>
            </w:tcMar>
            <w:vAlign w:val="bottom"/>
          </w:tcPr>
          <w:p w14:paraId="7B6707E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E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ED"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EE" w14:textId="77777777" w:rsidR="0040300B" w:rsidRDefault="00BB2D44">
            <w:pPr>
              <w:jc w:val="right"/>
              <w:textAlignment w:val="bottom"/>
            </w:pPr>
            <w:r>
              <w:rPr>
                <w:rFonts w:ascii="Times New Roman" w:eastAsia="宋体" w:hAnsi="Times New Roman"/>
                <w:color w:val="000000"/>
                <w:sz w:val="19"/>
                <w:szCs w:val="19"/>
              </w:rPr>
              <w:t>0.65 </w:t>
            </w:r>
          </w:p>
        </w:tc>
        <w:tc>
          <w:tcPr>
            <w:tcW w:w="0" w:type="auto"/>
            <w:shd w:val="clear" w:color="auto" w:fill="CCEEFF"/>
            <w:tcMar>
              <w:top w:w="40" w:type="dxa"/>
              <w:left w:w="0" w:type="dxa"/>
              <w:bottom w:w="40" w:type="dxa"/>
              <w:right w:w="20" w:type="dxa"/>
            </w:tcMar>
            <w:vAlign w:val="bottom"/>
          </w:tcPr>
          <w:p w14:paraId="7B6707E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F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F1" w14:textId="77777777" w:rsidR="0040300B" w:rsidRDefault="00BB2D44">
            <w:pPr>
              <w:jc w:val="right"/>
              <w:textAlignment w:val="bottom"/>
            </w:pPr>
            <w:r>
              <w:rPr>
                <w:rFonts w:ascii="Times New Roman" w:eastAsia="宋体" w:hAnsi="Times New Roman"/>
                <w:color w:val="000000"/>
                <w:sz w:val="19"/>
                <w:szCs w:val="19"/>
              </w:rPr>
              <w:t>5 </w:t>
            </w:r>
          </w:p>
        </w:tc>
        <w:tc>
          <w:tcPr>
            <w:tcW w:w="0" w:type="auto"/>
            <w:shd w:val="clear" w:color="auto" w:fill="CCEEFF"/>
            <w:tcMar>
              <w:top w:w="40" w:type="dxa"/>
              <w:left w:w="0" w:type="dxa"/>
              <w:bottom w:w="40" w:type="dxa"/>
              <w:right w:w="20" w:type="dxa"/>
            </w:tcMar>
            <w:vAlign w:val="bottom"/>
          </w:tcPr>
          <w:p w14:paraId="7B6707F2"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F3"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F4"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F5" w14:textId="77777777" w:rsidR="0040300B" w:rsidRDefault="00BB2D44">
            <w:pPr>
              <w:jc w:val="right"/>
              <w:textAlignment w:val="bottom"/>
            </w:pPr>
            <w:r>
              <w:rPr>
                <w:rFonts w:ascii="Times New Roman" w:eastAsia="宋体" w:hAnsi="Times New Roman"/>
                <w:color w:val="000000"/>
                <w:sz w:val="19"/>
                <w:szCs w:val="19"/>
              </w:rPr>
              <w:t>1.79 </w:t>
            </w:r>
          </w:p>
        </w:tc>
        <w:tc>
          <w:tcPr>
            <w:tcW w:w="0" w:type="auto"/>
            <w:shd w:val="clear" w:color="auto" w:fill="CCEEFF"/>
            <w:tcMar>
              <w:top w:w="40" w:type="dxa"/>
              <w:left w:w="0" w:type="dxa"/>
              <w:bottom w:w="40" w:type="dxa"/>
              <w:right w:w="20" w:type="dxa"/>
            </w:tcMar>
            <w:vAlign w:val="bottom"/>
          </w:tcPr>
          <w:p w14:paraId="7B6707F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F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7F8" w14:textId="77777777" w:rsidR="0040300B" w:rsidRDefault="00BB2D4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7B6707F9" w14:textId="77777777" w:rsidR="0040300B" w:rsidRDefault="00BB2D44">
            <w:pPr>
              <w:jc w:val="right"/>
              <w:textAlignment w:val="bottom"/>
            </w:pPr>
            <w:r>
              <w:rPr>
                <w:rFonts w:ascii="Times New Roman" w:eastAsia="宋体" w:hAnsi="Times New Roman"/>
                <w:color w:val="000000"/>
                <w:sz w:val="19"/>
                <w:szCs w:val="19"/>
              </w:rPr>
              <w:t>2.01 </w:t>
            </w:r>
          </w:p>
        </w:tc>
        <w:tc>
          <w:tcPr>
            <w:tcW w:w="0" w:type="auto"/>
            <w:shd w:val="clear" w:color="auto" w:fill="CCEEFF"/>
            <w:tcMar>
              <w:top w:w="40" w:type="dxa"/>
              <w:left w:w="0" w:type="dxa"/>
              <w:bottom w:w="40" w:type="dxa"/>
              <w:right w:w="20" w:type="dxa"/>
            </w:tcMar>
            <w:vAlign w:val="bottom"/>
          </w:tcPr>
          <w:p w14:paraId="7B6707F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7F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7FC" w14:textId="77777777" w:rsidR="0040300B" w:rsidRDefault="00BB2D44">
            <w:pPr>
              <w:jc w:val="right"/>
              <w:textAlignment w:val="bottom"/>
            </w:pPr>
            <w:r>
              <w:rPr>
                <w:rFonts w:ascii="Times New Roman" w:eastAsia="宋体" w:hAnsi="Times New Roman"/>
                <w:color w:val="000000"/>
                <w:sz w:val="19"/>
                <w:szCs w:val="19"/>
              </w:rPr>
              <w:t>(11)</w:t>
            </w:r>
          </w:p>
        </w:tc>
        <w:tc>
          <w:tcPr>
            <w:tcW w:w="0" w:type="auto"/>
            <w:shd w:val="clear" w:color="auto" w:fill="CCEEFF"/>
            <w:tcMar>
              <w:top w:w="40" w:type="dxa"/>
              <w:left w:w="0" w:type="dxa"/>
              <w:bottom w:w="40" w:type="dxa"/>
              <w:right w:w="20" w:type="dxa"/>
            </w:tcMar>
            <w:vAlign w:val="bottom"/>
          </w:tcPr>
          <w:p w14:paraId="7B6707FD" w14:textId="77777777" w:rsidR="0040300B" w:rsidRDefault="00BB2D4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tcPr>
          <w:p w14:paraId="7B6707FE" w14:textId="77777777" w:rsidR="0040300B" w:rsidRDefault="0040300B">
            <w:pPr>
              <w:rPr>
                <w:rFonts w:ascii="宋体"/>
              </w:rPr>
            </w:pPr>
          </w:p>
        </w:tc>
      </w:tr>
    </w:tbl>
    <w:p w14:paraId="7B670800" w14:textId="77777777" w:rsidR="0040300B" w:rsidRDefault="0040300B">
      <w:pPr>
        <w:spacing w:before="60"/>
        <w:jc w:val="both"/>
      </w:pPr>
    </w:p>
    <w:p w14:paraId="7B670801" w14:textId="77777777" w:rsidR="0040300B" w:rsidRDefault="0040300B">
      <w:pPr>
        <w:spacing w:before="120"/>
      </w:pPr>
    </w:p>
    <w:p w14:paraId="7B670802" w14:textId="77777777" w:rsidR="0040300B" w:rsidRDefault="00BB2D44">
      <w:pPr>
        <w:jc w:val="center"/>
      </w:pPr>
      <w:r>
        <w:rPr>
          <w:rFonts w:ascii="Times New Roman" w:eastAsia="宋体" w:hAnsi="Times New Roman"/>
          <w:color w:val="000000"/>
          <w:sz w:val="20"/>
          <w:szCs w:val="20"/>
        </w:rPr>
        <w:t>43</w:t>
      </w:r>
    </w:p>
    <w:p w14:paraId="7B670803" w14:textId="77777777" w:rsidR="0040300B" w:rsidRDefault="00BB2D44">
      <w:r>
        <w:pict w14:anchorId="7B671C3B">
          <v:rect id="_x0000_i1067" style="width:415.3pt;height:1.5pt" o:hralign="center" o:hrstd="t" o:hr="t" fillcolor="#a0a0a0" stroked="f"/>
        </w:pict>
      </w:r>
    </w:p>
    <w:p w14:paraId="7B670804" w14:textId="77777777" w:rsidR="0040300B" w:rsidRDefault="00BB2D44">
      <w:hyperlink r:id="rId89"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05" w14:textId="77777777" w:rsidR="0040300B" w:rsidRDefault="00BB2D44">
      <w:pPr>
        <w:jc w:val="center"/>
      </w:pPr>
      <w:r>
        <w:rPr>
          <w:rFonts w:ascii="Times New Roman" w:eastAsia="宋体" w:hAnsi="Times New Roman"/>
          <w:b/>
          <w:bCs/>
          <w:color w:val="000000"/>
          <w:sz w:val="18"/>
          <w:szCs w:val="18"/>
        </w:rPr>
        <w:t>CISCO SYSTEMS, INC.</w:t>
      </w:r>
    </w:p>
    <w:p w14:paraId="7B670806"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0807" w14:textId="77777777" w:rsidR="0040300B" w:rsidRDefault="0040300B">
      <w:pPr>
        <w:jc w:val="center"/>
      </w:pPr>
    </w:p>
    <w:p w14:paraId="7B670808" w14:textId="77777777" w:rsidR="0040300B" w:rsidRDefault="00BB2D44">
      <w:r>
        <w:rPr>
          <w:rFonts w:ascii="Times New Roman" w:eastAsia="宋体" w:hAnsi="Times New Roman"/>
          <w:i/>
          <w:iCs/>
          <w:color w:val="000000"/>
          <w:sz w:val="20"/>
          <w:szCs w:val="20"/>
          <w:u w:val="single"/>
        </w:rPr>
        <w:t>Three Months Ended May 1, 2021 Compared with Three Months Ended April 25, 2020</w:t>
      </w:r>
    </w:p>
    <w:p w14:paraId="7B670809" w14:textId="77777777" w:rsidR="0040300B" w:rsidRDefault="00BB2D44">
      <w:pPr>
        <w:spacing w:before="120"/>
        <w:jc w:val="both"/>
      </w:pPr>
      <w:r>
        <w:rPr>
          <w:rFonts w:ascii="Times New Roman" w:eastAsia="宋体" w:hAnsi="Times New Roman"/>
          <w:color w:val="000000"/>
          <w:sz w:val="20"/>
          <w:szCs w:val="20"/>
        </w:rPr>
        <w:t xml:space="preserve">In the third quarter of fiscal 2021, we had strong performance across the business and delivered solid revenue growth and earnings per share. </w:t>
      </w:r>
      <w:r>
        <w:rPr>
          <w:rFonts w:ascii="Times New Roman" w:eastAsia="宋体" w:hAnsi="Times New Roman"/>
          <w:color w:val="000000"/>
          <w:sz w:val="20"/>
          <w:szCs w:val="20"/>
        </w:rPr>
        <w:t>As customers have accelerated their digitization and cloud investments in the wake of the COVID-19 pandemic, we have been focusing on executing and innovating to support and assist that transition. Total revenue increased by 7% compared with the third quar</w:t>
      </w:r>
      <w:r>
        <w:rPr>
          <w:rFonts w:ascii="Times New Roman" w:eastAsia="宋体" w:hAnsi="Times New Roman"/>
          <w:color w:val="000000"/>
          <w:sz w:val="20"/>
          <w:szCs w:val="20"/>
        </w:rPr>
        <w:t>ter of fiscal 2020. Our product revenue reflected growth in Infrastructure Platforms, Applications, and Security, and we continued to make progress in the transition of our business model to increased software and subscriptions. We remain focused on accele</w:t>
      </w:r>
      <w:r>
        <w:rPr>
          <w:rFonts w:ascii="Times New Roman" w:eastAsia="宋体" w:hAnsi="Times New Roman"/>
          <w:color w:val="000000"/>
          <w:sz w:val="20"/>
          <w:szCs w:val="20"/>
        </w:rPr>
        <w:t>rating innovation across our portfolio, and we believe that we have made continued progress on our strategic priorities. We continue to operate in a challenging macroeconomic and highly competitive environment. While the overall environment remains uncerta</w:t>
      </w:r>
      <w:r>
        <w:rPr>
          <w:rFonts w:ascii="Times New Roman" w:eastAsia="宋体" w:hAnsi="Times New Roman"/>
          <w:color w:val="000000"/>
          <w:sz w:val="20"/>
          <w:szCs w:val="20"/>
        </w:rPr>
        <w:t xml:space="preserve">in, we continue to aggressively invest in priority areas with the objective of driving profitable growth over the long term. </w:t>
      </w:r>
    </w:p>
    <w:p w14:paraId="7B67080A" w14:textId="77777777" w:rsidR="0040300B" w:rsidRDefault="00BB2D44">
      <w:pPr>
        <w:spacing w:before="120"/>
        <w:jc w:val="both"/>
      </w:pPr>
      <w:r>
        <w:rPr>
          <w:rFonts w:ascii="Times New Roman" w:eastAsia="宋体" w:hAnsi="Times New Roman"/>
          <w:color w:val="000000"/>
          <w:sz w:val="20"/>
          <w:szCs w:val="20"/>
        </w:rPr>
        <w:t>Within total revenue, product revenue increased by 6% and service revenue increased by 8%. The third quarter of fiscal 2021 had 14</w:t>
      </w:r>
      <w:r>
        <w:rPr>
          <w:rFonts w:ascii="Times New Roman" w:eastAsia="宋体" w:hAnsi="Times New Roman"/>
          <w:color w:val="000000"/>
          <w:sz w:val="20"/>
          <w:szCs w:val="20"/>
        </w:rPr>
        <w:t xml:space="preserve"> weeks, compared with 13 weeks in the third quarter of fiscal 2020, thus our results for the third quarter and first nine months of fiscal 2021 reflect an extra week compared with the corresponding periods of fiscal 2020. We estimate that the total additio</w:t>
      </w:r>
      <w:r>
        <w:rPr>
          <w:rFonts w:ascii="Times New Roman" w:eastAsia="宋体" w:hAnsi="Times New Roman"/>
          <w:color w:val="000000"/>
          <w:sz w:val="20"/>
          <w:szCs w:val="20"/>
        </w:rPr>
        <w:t>nal revenue associated with the extra week was approximately 3% of revenue growth. In the third quarter of fiscal 2021, total software revenue was $3.8 billion across all product areas and service, an increase of 13%, with 81% of total software revenue sol</w:t>
      </w:r>
      <w:r>
        <w:rPr>
          <w:rFonts w:ascii="Times New Roman" w:eastAsia="宋体" w:hAnsi="Times New Roman"/>
          <w:color w:val="000000"/>
          <w:sz w:val="20"/>
          <w:szCs w:val="20"/>
        </w:rPr>
        <w:t xml:space="preserve">d as a subscription, reflecting a 7 percentage point increase from the third quarter of fiscal 2020. Total gross margin decreased by 1.0 percentage points. Product gross margin decreased by 1.1 percentage points, largely driven by ongoing costs related to </w:t>
      </w:r>
      <w:r>
        <w:rPr>
          <w:rFonts w:ascii="Times New Roman" w:eastAsia="宋体" w:hAnsi="Times New Roman"/>
          <w:color w:val="000000"/>
          <w:sz w:val="20"/>
          <w:szCs w:val="20"/>
        </w:rPr>
        <w:t xml:space="preserve">supply chain constraints. The effect of pricing erosion was moderate, partially offset by favorable product mix. We are partnering with several of our key suppliers utilizing our volume purchasing and extending supply coverage, including revising supplier </w:t>
      </w:r>
      <w:r>
        <w:rPr>
          <w:rFonts w:ascii="Times New Roman" w:eastAsia="宋体" w:hAnsi="Times New Roman"/>
          <w:color w:val="000000"/>
          <w:sz w:val="20"/>
          <w:szCs w:val="20"/>
        </w:rPr>
        <w:t>arrangements, to address supply chain challenges. As a percentage of revenue, research and development, sales and marketing, and general and administrative expenses, collectively, increased by 1.1 percentage points due in large part to the impact of the ex</w:t>
      </w:r>
      <w:r>
        <w:rPr>
          <w:rFonts w:ascii="Times New Roman" w:eastAsia="宋体" w:hAnsi="Times New Roman"/>
          <w:color w:val="000000"/>
          <w:sz w:val="20"/>
          <w:szCs w:val="20"/>
        </w:rPr>
        <w:t>tra week in the third quarter of fiscal 2021. The total impact associated with the extra week on our cost of sales and operating expenses was approximately $150 million (excluding the impact of share-based compensation expense). Operating income as a perce</w:t>
      </w:r>
      <w:r>
        <w:rPr>
          <w:rFonts w:ascii="Times New Roman" w:eastAsia="宋体" w:hAnsi="Times New Roman"/>
          <w:color w:val="000000"/>
          <w:sz w:val="20"/>
          <w:szCs w:val="20"/>
        </w:rPr>
        <w:t>ntage of revenue decreased by 1.4 percentage points. Diluted earnings per share increased 5%, driven by a 3% increase in net income.</w:t>
      </w:r>
    </w:p>
    <w:p w14:paraId="7B67080B" w14:textId="77777777" w:rsidR="0040300B" w:rsidRDefault="00BB2D44">
      <w:pPr>
        <w:spacing w:before="120"/>
        <w:jc w:val="both"/>
      </w:pPr>
      <w:r>
        <w:rPr>
          <w:rFonts w:ascii="Times New Roman" w:eastAsia="宋体" w:hAnsi="Times New Roman"/>
          <w:color w:val="000000"/>
          <w:sz w:val="20"/>
          <w:szCs w:val="20"/>
        </w:rPr>
        <w:t>In terms of our geographic segments, revenue from the Americas increased $146 million, EMEA revenue increased by $347 milli</w:t>
      </w:r>
      <w:r>
        <w:rPr>
          <w:rFonts w:ascii="Times New Roman" w:eastAsia="宋体" w:hAnsi="Times New Roman"/>
          <w:color w:val="000000"/>
          <w:sz w:val="20"/>
          <w:szCs w:val="20"/>
        </w:rPr>
        <w:t>on and APJC revenue increased by $327 million. The “BRICM” countries experienced product revenue growth of 22% in the aggregate, driven by an increase in product revenue across each of the BRICM countries with the exception of Mexico.</w:t>
      </w:r>
    </w:p>
    <w:p w14:paraId="7B67080C" w14:textId="77777777" w:rsidR="0040300B" w:rsidRDefault="00BB2D44">
      <w:pPr>
        <w:spacing w:before="120"/>
        <w:jc w:val="both"/>
      </w:pPr>
      <w:r>
        <w:rPr>
          <w:rFonts w:ascii="Times New Roman" w:eastAsia="宋体" w:hAnsi="Times New Roman"/>
          <w:color w:val="000000"/>
          <w:sz w:val="20"/>
          <w:szCs w:val="20"/>
        </w:rPr>
        <w:t>From a customer marke</w:t>
      </w:r>
      <w:r>
        <w:rPr>
          <w:rFonts w:ascii="Times New Roman" w:eastAsia="宋体" w:hAnsi="Times New Roman"/>
          <w:color w:val="000000"/>
          <w:sz w:val="20"/>
          <w:szCs w:val="20"/>
        </w:rPr>
        <w:t>t standpoint, we experienced product revenue growth in the service provider, public sector and commercial markets, partially offset by a product revenue decline in the enterprise market. We are seeing improvement in business momentum in our customer market</w:t>
      </w:r>
      <w:r>
        <w:rPr>
          <w:rFonts w:ascii="Times New Roman" w:eastAsia="宋体" w:hAnsi="Times New Roman"/>
          <w:color w:val="000000"/>
          <w:sz w:val="20"/>
          <w:szCs w:val="20"/>
        </w:rPr>
        <w:t>s, which we believe was related to an improving global macroeconomic environment.</w:t>
      </w:r>
    </w:p>
    <w:p w14:paraId="7B67080D" w14:textId="77777777" w:rsidR="0040300B" w:rsidRDefault="00BB2D44">
      <w:pPr>
        <w:spacing w:before="120"/>
        <w:jc w:val="both"/>
      </w:pPr>
      <w:r>
        <w:rPr>
          <w:rFonts w:ascii="Times New Roman" w:eastAsia="宋体" w:hAnsi="Times New Roman"/>
          <w:color w:val="000000"/>
          <w:sz w:val="20"/>
          <w:szCs w:val="20"/>
        </w:rPr>
        <w:t>From a product category perspective, the product revenue increase of 6% was driven by growth in revenue in Infrastructure Platforms of 6%, Applications of 5%, and Security of</w:t>
      </w:r>
      <w:r>
        <w:rPr>
          <w:rFonts w:ascii="Times New Roman" w:eastAsia="宋体" w:hAnsi="Times New Roman"/>
          <w:color w:val="000000"/>
          <w:sz w:val="20"/>
          <w:szCs w:val="20"/>
        </w:rPr>
        <w:t xml:space="preserve"> 13%. </w:t>
      </w:r>
    </w:p>
    <w:p w14:paraId="7B67080E" w14:textId="77777777" w:rsidR="0040300B" w:rsidRDefault="0040300B"/>
    <w:p w14:paraId="7B67080F" w14:textId="77777777" w:rsidR="0040300B" w:rsidRDefault="00BB2D44">
      <w:pPr>
        <w:jc w:val="center"/>
      </w:pPr>
      <w:r>
        <w:rPr>
          <w:rFonts w:ascii="Times New Roman" w:eastAsia="宋体" w:hAnsi="Times New Roman"/>
          <w:color w:val="000000"/>
          <w:sz w:val="20"/>
          <w:szCs w:val="20"/>
        </w:rPr>
        <w:t>44</w:t>
      </w:r>
    </w:p>
    <w:p w14:paraId="7B670810" w14:textId="77777777" w:rsidR="0040300B" w:rsidRDefault="00BB2D44">
      <w:r>
        <w:pict w14:anchorId="7B671C3C">
          <v:rect id="_x0000_i1068" style="width:415.3pt;height:1.5pt" o:hralign="center" o:hrstd="t" o:hr="t" fillcolor="#a0a0a0" stroked="f"/>
        </w:pict>
      </w:r>
    </w:p>
    <w:p w14:paraId="7B670811" w14:textId="77777777" w:rsidR="0040300B" w:rsidRDefault="00BB2D44">
      <w:hyperlink r:id="rId90"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12" w14:textId="77777777" w:rsidR="0040300B" w:rsidRDefault="00BB2D44">
      <w:pPr>
        <w:jc w:val="center"/>
      </w:pPr>
      <w:r>
        <w:rPr>
          <w:rFonts w:ascii="Times New Roman" w:eastAsia="宋体" w:hAnsi="Times New Roman"/>
          <w:b/>
          <w:bCs/>
          <w:color w:val="000000"/>
          <w:sz w:val="18"/>
          <w:szCs w:val="18"/>
        </w:rPr>
        <w:t>CISCO SYSTEMS, INC.</w:t>
      </w:r>
    </w:p>
    <w:p w14:paraId="7B670813" w14:textId="77777777" w:rsidR="0040300B" w:rsidRDefault="00BB2D44">
      <w:pPr>
        <w:jc w:val="center"/>
      </w:pPr>
      <w:r>
        <w:rPr>
          <w:rFonts w:ascii="Times New Roman" w:eastAsia="宋体" w:hAnsi="Times New Roman"/>
          <w:b/>
          <w:bCs/>
          <w:color w:val="000000"/>
          <w:sz w:val="18"/>
          <w:szCs w:val="18"/>
        </w:rPr>
        <w:t>MANAGEMENT’S DISCUSSION AND ANALYSIS OF FINANCIAL CONDI</w:t>
      </w:r>
      <w:r>
        <w:rPr>
          <w:rFonts w:ascii="Times New Roman" w:eastAsia="宋体" w:hAnsi="Times New Roman"/>
          <w:b/>
          <w:bCs/>
          <w:color w:val="000000"/>
          <w:sz w:val="18"/>
          <w:szCs w:val="18"/>
        </w:rPr>
        <w:t>TION AND RESULTS OF OPERATIONS (Continued)</w:t>
      </w:r>
    </w:p>
    <w:p w14:paraId="7B670814" w14:textId="77777777" w:rsidR="0040300B" w:rsidRDefault="0040300B">
      <w:pPr>
        <w:jc w:val="center"/>
      </w:pPr>
    </w:p>
    <w:p w14:paraId="7B670815"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816" w14:textId="77777777" w:rsidR="0040300B" w:rsidRDefault="00BB2D44">
      <w:pPr>
        <w:spacing w:before="120"/>
        <w:jc w:val="both"/>
      </w:pPr>
      <w:r>
        <w:rPr>
          <w:rFonts w:ascii="Times New Roman" w:eastAsia="宋体" w:hAnsi="Times New Roman"/>
          <w:color w:val="000000"/>
          <w:sz w:val="20"/>
          <w:szCs w:val="20"/>
        </w:rPr>
        <w:t>Total revenue decreased 1%, with product revenue decreasing 3% and service revenue increasing 4%. Total gross margin decreased by 0.4 p</w:t>
      </w:r>
      <w:r>
        <w:rPr>
          <w:rFonts w:ascii="Times New Roman" w:eastAsia="宋体" w:hAnsi="Times New Roman"/>
          <w:color w:val="000000"/>
          <w:sz w:val="20"/>
          <w:szCs w:val="20"/>
        </w:rPr>
        <w:t>ercentage points due to pricing erosion partially offset by favorable impacts from product mix. As a percentage of revenue, research and development, sales and marketing, and general and administrative expenses collectively increased by 0.8 percentage poin</w:t>
      </w:r>
      <w:r>
        <w:rPr>
          <w:rFonts w:ascii="Times New Roman" w:eastAsia="宋体" w:hAnsi="Times New Roman"/>
          <w:color w:val="000000"/>
          <w:sz w:val="20"/>
          <w:szCs w:val="20"/>
        </w:rPr>
        <w:t>ts. Operating income as a percentage of revenue decreased by 2.7 percentage points. We incurred restructuring and other charges of $878 million in the first nine months of fiscal 2021, which resulted in a decrease of 12% in net income and a decrease of 11%</w:t>
      </w:r>
      <w:r>
        <w:rPr>
          <w:rFonts w:ascii="Times New Roman" w:eastAsia="宋体" w:hAnsi="Times New Roman"/>
          <w:color w:val="000000"/>
          <w:sz w:val="20"/>
          <w:szCs w:val="20"/>
        </w:rPr>
        <w:t xml:space="preserve"> in diluted earnings per share.</w:t>
      </w:r>
    </w:p>
    <w:p w14:paraId="7B670817" w14:textId="77777777" w:rsidR="0040300B" w:rsidRDefault="00BB2D44">
      <w:pPr>
        <w:spacing w:before="120"/>
      </w:pPr>
      <w:r>
        <w:rPr>
          <w:rFonts w:ascii="Times New Roman" w:eastAsia="宋体" w:hAnsi="Times New Roman"/>
          <w:b/>
          <w:bCs/>
          <w:color w:val="000000"/>
          <w:sz w:val="20"/>
          <w:szCs w:val="20"/>
        </w:rPr>
        <w:t>COVID-19 Pandemic Response Summary</w:t>
      </w:r>
    </w:p>
    <w:p w14:paraId="7B670818" w14:textId="77777777" w:rsidR="0040300B" w:rsidRDefault="00BB2D44">
      <w:pPr>
        <w:spacing w:before="120"/>
        <w:jc w:val="both"/>
      </w:pPr>
      <w:r>
        <w:rPr>
          <w:rFonts w:ascii="Times New Roman" w:eastAsia="宋体" w:hAnsi="Times New Roman"/>
          <w:color w:val="000000"/>
          <w:sz w:val="20"/>
          <w:szCs w:val="20"/>
        </w:rPr>
        <w:t xml:space="preserve">During this extraordinary time, our priority has been supporting our employees, customers, partners and communities, while positioning Cisco for the future. The pandemic has driven </w:t>
      </w:r>
      <w:r>
        <w:rPr>
          <w:rFonts w:ascii="Times New Roman" w:eastAsia="宋体" w:hAnsi="Times New Roman"/>
          <w:color w:val="000000"/>
          <w:sz w:val="20"/>
          <w:szCs w:val="20"/>
        </w:rPr>
        <w:t>organizations across the globe to digitize their operations and support remote workforces at a faster speed and greater scale than ever before. We remain focused on providing the technology and solutions our customers need to accelerate their digital organ</w:t>
      </w:r>
      <w:r>
        <w:rPr>
          <w:rFonts w:ascii="Times New Roman" w:eastAsia="宋体" w:hAnsi="Times New Roman"/>
          <w:color w:val="000000"/>
          <w:sz w:val="20"/>
          <w:szCs w:val="20"/>
        </w:rPr>
        <w:t>izations. The actions we have taken and are taking include:</w:t>
      </w:r>
    </w:p>
    <w:p w14:paraId="7B670819" w14:textId="77777777" w:rsidR="0040300B" w:rsidRDefault="00BB2D44">
      <w:pPr>
        <w:spacing w:before="120" w:after="60"/>
        <w:jc w:val="both"/>
      </w:pPr>
      <w:r>
        <w:rPr>
          <w:rFonts w:ascii="Times New Roman" w:eastAsia="宋体" w:hAnsi="Times New Roman"/>
          <w:color w:val="000000"/>
          <w:sz w:val="20"/>
          <w:szCs w:val="20"/>
          <w:u w:val="single"/>
        </w:rPr>
        <w:t>Employees</w:t>
      </w:r>
    </w:p>
    <w:p w14:paraId="7B67081A" w14:textId="77777777" w:rsidR="0040300B" w:rsidRDefault="00BB2D44">
      <w:pPr>
        <w:ind w:hanging="360"/>
        <w:jc w:val="both"/>
      </w:pPr>
      <w:r>
        <w:rPr>
          <w:rFonts w:ascii="Times New Roman" w:eastAsia="宋体" w:hAnsi="Times New Roman"/>
          <w:color w:val="000000"/>
          <w:sz w:val="20"/>
          <w:szCs w:val="20"/>
        </w:rPr>
        <w:t>•Most of our global workforce working from home.</w:t>
      </w:r>
    </w:p>
    <w:p w14:paraId="7B67081B" w14:textId="77777777" w:rsidR="0040300B" w:rsidRDefault="00BB2D44">
      <w:pPr>
        <w:ind w:hanging="360"/>
        <w:jc w:val="both"/>
      </w:pPr>
      <w:r>
        <w:rPr>
          <w:rFonts w:ascii="Times New Roman" w:eastAsia="宋体" w:hAnsi="Times New Roman"/>
          <w:color w:val="000000"/>
          <w:sz w:val="20"/>
          <w:szCs w:val="20"/>
        </w:rPr>
        <w:t xml:space="preserve">•Seamless transition to work from home with a long-standing flexible work policy, and we build the technologies that allow organizations </w:t>
      </w:r>
      <w:r>
        <w:rPr>
          <w:rFonts w:ascii="Times New Roman" w:eastAsia="宋体" w:hAnsi="Times New Roman"/>
          <w:color w:val="000000"/>
          <w:sz w:val="20"/>
          <w:szCs w:val="20"/>
        </w:rPr>
        <w:t>to stay connected, secure and productive.</w:t>
      </w:r>
    </w:p>
    <w:p w14:paraId="7B67081C" w14:textId="77777777" w:rsidR="0040300B" w:rsidRDefault="00BB2D44">
      <w:pPr>
        <w:spacing w:after="100"/>
        <w:ind w:hanging="360"/>
        <w:jc w:val="both"/>
      </w:pPr>
      <w:r>
        <w:rPr>
          <w:rFonts w:ascii="Times New Roman" w:eastAsia="宋体" w:hAnsi="Times New Roman"/>
          <w:color w:val="000000"/>
          <w:sz w:val="20"/>
          <w:szCs w:val="20"/>
        </w:rPr>
        <w:t>•For the remainder who must be in the office to perform their roles, we are focused on their health and safety, and are taking all of the necessary precautions.</w:t>
      </w:r>
    </w:p>
    <w:p w14:paraId="7B67081D" w14:textId="77777777" w:rsidR="0040300B" w:rsidRDefault="00BB2D44">
      <w:pPr>
        <w:spacing w:before="120" w:after="60"/>
        <w:jc w:val="both"/>
      </w:pPr>
      <w:r>
        <w:rPr>
          <w:rFonts w:ascii="Times New Roman" w:eastAsia="宋体" w:hAnsi="Times New Roman"/>
          <w:color w:val="000000"/>
          <w:sz w:val="20"/>
          <w:szCs w:val="20"/>
          <w:u w:val="single"/>
        </w:rPr>
        <w:t>Customer and Partners</w:t>
      </w:r>
    </w:p>
    <w:p w14:paraId="7B67081E" w14:textId="77777777" w:rsidR="0040300B" w:rsidRDefault="00BB2D44">
      <w:pPr>
        <w:ind w:hanging="360"/>
        <w:jc w:val="both"/>
      </w:pPr>
      <w:r>
        <w:rPr>
          <w:rFonts w:ascii="Times New Roman" w:eastAsia="宋体" w:hAnsi="Times New Roman"/>
          <w:color w:val="000000"/>
          <w:sz w:val="20"/>
          <w:szCs w:val="20"/>
        </w:rPr>
        <w:t xml:space="preserve">•Provided a variety of free </w:t>
      </w:r>
      <w:r>
        <w:rPr>
          <w:rFonts w:ascii="Times New Roman" w:eastAsia="宋体" w:hAnsi="Times New Roman"/>
          <w:color w:val="000000"/>
          <w:sz w:val="20"/>
          <w:szCs w:val="20"/>
        </w:rPr>
        <w:t>offers and trials for our Webex and security technologies as they dramatically shifted entire workforces to be remote.</w:t>
      </w:r>
    </w:p>
    <w:p w14:paraId="7B67081F" w14:textId="77777777" w:rsidR="0040300B" w:rsidRDefault="00BB2D44">
      <w:pPr>
        <w:spacing w:before="120" w:after="60"/>
        <w:jc w:val="both"/>
      </w:pPr>
      <w:r>
        <w:rPr>
          <w:rFonts w:ascii="Times New Roman" w:eastAsia="宋体" w:hAnsi="Times New Roman"/>
          <w:color w:val="000000"/>
          <w:sz w:val="20"/>
          <w:szCs w:val="20"/>
          <w:u w:val="single"/>
        </w:rPr>
        <w:t>Communities</w:t>
      </w:r>
    </w:p>
    <w:p w14:paraId="7B670820" w14:textId="77777777" w:rsidR="0040300B" w:rsidRDefault="00BB2D44">
      <w:pPr>
        <w:ind w:hanging="360"/>
        <w:jc w:val="both"/>
      </w:pPr>
      <w:r>
        <w:rPr>
          <w:rFonts w:ascii="Times New Roman" w:eastAsia="宋体" w:hAnsi="Times New Roman"/>
          <w:color w:val="000000"/>
          <w:sz w:val="20"/>
          <w:szCs w:val="20"/>
        </w:rPr>
        <w:t>•Committed significant funds to support both global and local pandemic response efforts.</w:t>
      </w:r>
    </w:p>
    <w:p w14:paraId="7B670821" w14:textId="77777777" w:rsidR="0040300B" w:rsidRDefault="00BB2D44">
      <w:pPr>
        <w:ind w:hanging="360"/>
        <w:jc w:val="both"/>
      </w:pPr>
      <w:r>
        <w:rPr>
          <w:rFonts w:ascii="Times New Roman" w:eastAsia="宋体" w:hAnsi="Times New Roman"/>
          <w:color w:val="000000"/>
          <w:sz w:val="20"/>
          <w:szCs w:val="20"/>
        </w:rPr>
        <w:t>•Provided technology and financial s</w:t>
      </w:r>
      <w:r>
        <w:rPr>
          <w:rFonts w:ascii="Times New Roman" w:eastAsia="宋体" w:hAnsi="Times New Roman"/>
          <w:color w:val="000000"/>
          <w:sz w:val="20"/>
          <w:szCs w:val="20"/>
        </w:rPr>
        <w:t>upport for non-profits, first responders, and governments.</w:t>
      </w:r>
    </w:p>
    <w:p w14:paraId="7B670822" w14:textId="77777777" w:rsidR="0040300B" w:rsidRDefault="00BB2D44">
      <w:pPr>
        <w:spacing w:after="100"/>
        <w:ind w:hanging="360"/>
        <w:jc w:val="both"/>
      </w:pPr>
      <w:r>
        <w:rPr>
          <w:rFonts w:ascii="Times New Roman" w:eastAsia="宋体" w:hAnsi="Times New Roman"/>
          <w:color w:val="000000"/>
          <w:sz w:val="20"/>
          <w:szCs w:val="20"/>
        </w:rPr>
        <w:t>•Donated personal protective equipment to hospital workers including N95 masks and face shields 3D-printed by Cisco volunteers around the world.</w:t>
      </w:r>
    </w:p>
    <w:p w14:paraId="7B670823" w14:textId="77777777" w:rsidR="0040300B" w:rsidRDefault="00BB2D44">
      <w:pPr>
        <w:jc w:val="center"/>
      </w:pPr>
      <w:r>
        <w:rPr>
          <w:rFonts w:ascii="Times New Roman" w:eastAsia="宋体" w:hAnsi="Times New Roman"/>
          <w:color w:val="000000"/>
          <w:sz w:val="20"/>
          <w:szCs w:val="20"/>
        </w:rPr>
        <w:t>45</w:t>
      </w:r>
    </w:p>
    <w:p w14:paraId="7B670824" w14:textId="77777777" w:rsidR="0040300B" w:rsidRDefault="00BB2D44">
      <w:r>
        <w:pict w14:anchorId="7B671C3D">
          <v:rect id="_x0000_i1069" style="width:415.3pt;height:1.5pt" o:hralign="center" o:hrstd="t" o:hr="t" fillcolor="#a0a0a0" stroked="f"/>
        </w:pict>
      </w:r>
    </w:p>
    <w:p w14:paraId="7B670825" w14:textId="77777777" w:rsidR="0040300B" w:rsidRDefault="00BB2D44">
      <w:hyperlink r:id="rId91"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26" w14:textId="77777777" w:rsidR="0040300B" w:rsidRDefault="00BB2D44">
      <w:pPr>
        <w:jc w:val="center"/>
      </w:pPr>
      <w:r>
        <w:rPr>
          <w:rFonts w:ascii="Times New Roman" w:eastAsia="宋体" w:hAnsi="Times New Roman"/>
          <w:b/>
          <w:bCs/>
          <w:color w:val="000000"/>
          <w:sz w:val="18"/>
          <w:szCs w:val="18"/>
        </w:rPr>
        <w:t>CISCO SYSTEMS, INC.</w:t>
      </w:r>
    </w:p>
    <w:p w14:paraId="7B670827"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0828" w14:textId="77777777" w:rsidR="0040300B" w:rsidRDefault="0040300B">
      <w:pPr>
        <w:jc w:val="center"/>
      </w:pPr>
    </w:p>
    <w:p w14:paraId="7B670829" w14:textId="77777777" w:rsidR="0040300B" w:rsidRDefault="00BB2D44">
      <w:pPr>
        <w:spacing w:before="120"/>
        <w:jc w:val="both"/>
      </w:pPr>
      <w:r>
        <w:rPr>
          <w:rFonts w:ascii="Times New Roman" w:eastAsia="宋体" w:hAnsi="Times New Roman"/>
          <w:b/>
          <w:bCs/>
          <w:color w:val="000000"/>
          <w:sz w:val="20"/>
          <w:szCs w:val="20"/>
        </w:rPr>
        <w:t xml:space="preserve">Strategy and </w:t>
      </w:r>
      <w:r>
        <w:rPr>
          <w:rFonts w:ascii="Times New Roman" w:eastAsia="宋体" w:hAnsi="Times New Roman"/>
          <w:b/>
          <w:bCs/>
          <w:color w:val="000000"/>
          <w:sz w:val="20"/>
          <w:szCs w:val="20"/>
        </w:rPr>
        <w:t>Priorities</w:t>
      </w:r>
      <w:r>
        <w:rPr>
          <w:rFonts w:ascii="Times New Roman" w:eastAsia="宋体" w:hAnsi="Times New Roman"/>
          <w:b/>
          <w:bCs/>
          <w:color w:val="000000"/>
          <w:sz w:val="22"/>
          <w:szCs w:val="22"/>
        </w:rPr>
        <w:t xml:space="preserve"> </w:t>
      </w:r>
    </w:p>
    <w:p w14:paraId="7B67082A" w14:textId="77777777" w:rsidR="0040300B" w:rsidRDefault="00BB2D44">
      <w:pPr>
        <w:spacing w:before="120"/>
        <w:jc w:val="both"/>
      </w:pPr>
      <w:r>
        <w:rPr>
          <w:rFonts w:ascii="Times New Roman" w:eastAsia="宋体" w:hAnsi="Times New Roman"/>
          <w:color w:val="000000"/>
          <w:sz w:val="20"/>
          <w:szCs w:val="20"/>
        </w:rPr>
        <w:t>As our customers add billions of new connections to their enterprises, and as more applications move to a multicloud environment, the network becomes even more critical. Our customers are navigating change at an unprecedented pace and our missi</w:t>
      </w:r>
      <w:r>
        <w:rPr>
          <w:rFonts w:ascii="Times New Roman" w:eastAsia="宋体" w:hAnsi="Times New Roman"/>
          <w:color w:val="000000"/>
          <w:sz w:val="20"/>
          <w:szCs w:val="20"/>
        </w:rPr>
        <w:t>on is to inspire new possibilities for them by helping transform their infrastructure, expand applications and analytics, address their security needs, and empower their teams. We believe that our customers are looking for intent-based networks that provid</w:t>
      </w:r>
      <w:r>
        <w:rPr>
          <w:rFonts w:ascii="Times New Roman" w:eastAsia="宋体" w:hAnsi="Times New Roman"/>
          <w:color w:val="000000"/>
          <w:sz w:val="20"/>
          <w:szCs w:val="20"/>
        </w:rPr>
        <w:t>e meaningful business value through automation, security, and analytics across private, hybrid, and multicloud environments. Our vision is to deliver highly secure, software-defined, automated and intelligent platforms for our customers.</w:t>
      </w:r>
      <w:r>
        <w:rPr>
          <w:rFonts w:ascii="Times New Roman" w:eastAsia="宋体" w:hAnsi="Times New Roman"/>
          <w:color w:val="FF0000"/>
          <w:sz w:val="20"/>
          <w:szCs w:val="20"/>
        </w:rPr>
        <w:t xml:space="preserve"> </w:t>
      </w:r>
    </w:p>
    <w:p w14:paraId="7B67082B" w14:textId="77777777" w:rsidR="0040300B" w:rsidRDefault="00BB2D44">
      <w:pPr>
        <w:spacing w:before="120"/>
        <w:jc w:val="both"/>
      </w:pPr>
      <w:r>
        <w:rPr>
          <w:rFonts w:ascii="Times New Roman" w:eastAsia="宋体" w:hAnsi="Times New Roman"/>
          <w:color w:val="000000"/>
          <w:sz w:val="20"/>
          <w:szCs w:val="20"/>
        </w:rPr>
        <w:t>For additional di</w:t>
      </w:r>
      <w:r>
        <w:rPr>
          <w:rFonts w:ascii="Times New Roman" w:eastAsia="宋体" w:hAnsi="Times New Roman"/>
          <w:color w:val="000000"/>
          <w:sz w:val="20"/>
          <w:szCs w:val="20"/>
        </w:rPr>
        <w:t>scussion of our strategy and priorities, see Item 1. Business in our Annual Report on Form 10-K for the year ended July 25, 2020.</w:t>
      </w:r>
    </w:p>
    <w:p w14:paraId="7B67082C" w14:textId="77777777" w:rsidR="0040300B" w:rsidRDefault="00BB2D44">
      <w:pPr>
        <w:spacing w:before="120"/>
        <w:jc w:val="both"/>
      </w:pPr>
      <w:r>
        <w:rPr>
          <w:rFonts w:ascii="Times New Roman" w:eastAsia="宋体" w:hAnsi="Times New Roman"/>
          <w:b/>
          <w:bCs/>
          <w:color w:val="000000"/>
          <w:sz w:val="20"/>
          <w:szCs w:val="20"/>
        </w:rPr>
        <w:t>Other Key Financial Measures</w:t>
      </w:r>
    </w:p>
    <w:p w14:paraId="7B67082D" w14:textId="77777777" w:rsidR="0040300B" w:rsidRDefault="00BB2D44">
      <w:pPr>
        <w:spacing w:before="120"/>
        <w:jc w:val="both"/>
      </w:pPr>
      <w:r>
        <w:rPr>
          <w:rFonts w:ascii="Times New Roman" w:eastAsia="宋体" w:hAnsi="Times New Roman"/>
          <w:color w:val="000000"/>
          <w:sz w:val="20"/>
          <w:szCs w:val="20"/>
        </w:rPr>
        <w:t>The following is a summary of our other key financial measures for the third quarter of fiscal 20</w:t>
      </w:r>
      <w:r>
        <w:rPr>
          <w:rFonts w:ascii="Times New Roman" w:eastAsia="宋体" w:hAnsi="Times New Roman"/>
          <w:color w:val="000000"/>
          <w:sz w:val="20"/>
          <w:szCs w:val="20"/>
        </w:rPr>
        <w:t xml:space="preserve">21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40300B" w14:paraId="7B67083D" w14:textId="77777777">
        <w:tc>
          <w:tcPr>
            <w:tcW w:w="50" w:type="pct"/>
            <w:shd w:val="clear" w:color="auto" w:fill="auto"/>
          </w:tcPr>
          <w:p w14:paraId="7B67082E" w14:textId="77777777" w:rsidR="0040300B" w:rsidRDefault="0040300B">
            <w:pPr>
              <w:rPr>
                <w:rFonts w:ascii="宋体"/>
              </w:rPr>
            </w:pPr>
          </w:p>
        </w:tc>
        <w:tc>
          <w:tcPr>
            <w:tcW w:w="3599" w:type="pct"/>
            <w:shd w:val="clear" w:color="auto" w:fill="auto"/>
          </w:tcPr>
          <w:p w14:paraId="7B67082F" w14:textId="77777777" w:rsidR="0040300B" w:rsidRDefault="0040300B">
            <w:pPr>
              <w:rPr>
                <w:rFonts w:ascii="宋体"/>
              </w:rPr>
            </w:pPr>
          </w:p>
        </w:tc>
        <w:tc>
          <w:tcPr>
            <w:tcW w:w="5" w:type="pct"/>
            <w:shd w:val="clear" w:color="auto" w:fill="auto"/>
          </w:tcPr>
          <w:p w14:paraId="7B670830" w14:textId="77777777" w:rsidR="0040300B" w:rsidRDefault="0040300B">
            <w:pPr>
              <w:rPr>
                <w:rFonts w:ascii="宋体"/>
              </w:rPr>
            </w:pPr>
          </w:p>
        </w:tc>
        <w:tc>
          <w:tcPr>
            <w:tcW w:w="5" w:type="pct"/>
            <w:shd w:val="clear" w:color="auto" w:fill="auto"/>
          </w:tcPr>
          <w:p w14:paraId="7B670831" w14:textId="77777777" w:rsidR="0040300B" w:rsidRDefault="0040300B">
            <w:pPr>
              <w:rPr>
                <w:rFonts w:ascii="宋体"/>
              </w:rPr>
            </w:pPr>
          </w:p>
        </w:tc>
        <w:tc>
          <w:tcPr>
            <w:tcW w:w="26" w:type="pct"/>
            <w:shd w:val="clear" w:color="auto" w:fill="auto"/>
          </w:tcPr>
          <w:p w14:paraId="7B670832" w14:textId="77777777" w:rsidR="0040300B" w:rsidRDefault="0040300B">
            <w:pPr>
              <w:rPr>
                <w:rFonts w:ascii="宋体"/>
              </w:rPr>
            </w:pPr>
          </w:p>
        </w:tc>
        <w:tc>
          <w:tcPr>
            <w:tcW w:w="5" w:type="pct"/>
            <w:shd w:val="clear" w:color="auto" w:fill="auto"/>
          </w:tcPr>
          <w:p w14:paraId="7B670833" w14:textId="77777777" w:rsidR="0040300B" w:rsidRDefault="0040300B">
            <w:pPr>
              <w:rPr>
                <w:rFonts w:ascii="宋体"/>
              </w:rPr>
            </w:pPr>
          </w:p>
        </w:tc>
        <w:tc>
          <w:tcPr>
            <w:tcW w:w="50" w:type="pct"/>
            <w:shd w:val="clear" w:color="auto" w:fill="auto"/>
          </w:tcPr>
          <w:p w14:paraId="7B670834" w14:textId="77777777" w:rsidR="0040300B" w:rsidRDefault="0040300B">
            <w:pPr>
              <w:rPr>
                <w:rFonts w:ascii="宋体"/>
              </w:rPr>
            </w:pPr>
          </w:p>
        </w:tc>
        <w:tc>
          <w:tcPr>
            <w:tcW w:w="580" w:type="pct"/>
            <w:shd w:val="clear" w:color="auto" w:fill="auto"/>
          </w:tcPr>
          <w:p w14:paraId="7B670835" w14:textId="77777777" w:rsidR="0040300B" w:rsidRDefault="0040300B">
            <w:pPr>
              <w:rPr>
                <w:rFonts w:ascii="宋体"/>
              </w:rPr>
            </w:pPr>
          </w:p>
        </w:tc>
        <w:tc>
          <w:tcPr>
            <w:tcW w:w="5" w:type="pct"/>
            <w:shd w:val="clear" w:color="auto" w:fill="auto"/>
          </w:tcPr>
          <w:p w14:paraId="7B670836" w14:textId="77777777" w:rsidR="0040300B" w:rsidRDefault="0040300B">
            <w:pPr>
              <w:rPr>
                <w:rFonts w:ascii="宋体"/>
              </w:rPr>
            </w:pPr>
          </w:p>
        </w:tc>
        <w:tc>
          <w:tcPr>
            <w:tcW w:w="5" w:type="pct"/>
            <w:shd w:val="clear" w:color="auto" w:fill="auto"/>
          </w:tcPr>
          <w:p w14:paraId="7B670837" w14:textId="77777777" w:rsidR="0040300B" w:rsidRDefault="0040300B">
            <w:pPr>
              <w:rPr>
                <w:rFonts w:ascii="宋体"/>
              </w:rPr>
            </w:pPr>
          </w:p>
        </w:tc>
        <w:tc>
          <w:tcPr>
            <w:tcW w:w="26" w:type="pct"/>
            <w:shd w:val="clear" w:color="auto" w:fill="auto"/>
          </w:tcPr>
          <w:p w14:paraId="7B670838" w14:textId="77777777" w:rsidR="0040300B" w:rsidRDefault="0040300B">
            <w:pPr>
              <w:rPr>
                <w:rFonts w:ascii="宋体"/>
              </w:rPr>
            </w:pPr>
          </w:p>
        </w:tc>
        <w:tc>
          <w:tcPr>
            <w:tcW w:w="5" w:type="pct"/>
            <w:shd w:val="clear" w:color="auto" w:fill="auto"/>
          </w:tcPr>
          <w:p w14:paraId="7B670839" w14:textId="77777777" w:rsidR="0040300B" w:rsidRDefault="0040300B">
            <w:pPr>
              <w:rPr>
                <w:rFonts w:ascii="宋体"/>
              </w:rPr>
            </w:pPr>
          </w:p>
        </w:tc>
        <w:tc>
          <w:tcPr>
            <w:tcW w:w="50" w:type="pct"/>
            <w:shd w:val="clear" w:color="auto" w:fill="auto"/>
          </w:tcPr>
          <w:p w14:paraId="7B67083A" w14:textId="77777777" w:rsidR="0040300B" w:rsidRDefault="0040300B">
            <w:pPr>
              <w:rPr>
                <w:rFonts w:ascii="宋体"/>
              </w:rPr>
            </w:pPr>
          </w:p>
        </w:tc>
        <w:tc>
          <w:tcPr>
            <w:tcW w:w="581" w:type="pct"/>
            <w:shd w:val="clear" w:color="auto" w:fill="auto"/>
          </w:tcPr>
          <w:p w14:paraId="7B67083B" w14:textId="77777777" w:rsidR="0040300B" w:rsidRDefault="0040300B">
            <w:pPr>
              <w:rPr>
                <w:rFonts w:ascii="宋体"/>
              </w:rPr>
            </w:pPr>
          </w:p>
        </w:tc>
        <w:tc>
          <w:tcPr>
            <w:tcW w:w="5" w:type="pct"/>
            <w:shd w:val="clear" w:color="auto" w:fill="auto"/>
          </w:tcPr>
          <w:p w14:paraId="7B67083C" w14:textId="77777777" w:rsidR="0040300B" w:rsidRDefault="0040300B">
            <w:pPr>
              <w:rPr>
                <w:rFonts w:ascii="宋体"/>
              </w:rPr>
            </w:pPr>
          </w:p>
        </w:tc>
      </w:tr>
      <w:tr w:rsidR="0040300B" w14:paraId="7B670843" w14:textId="77777777">
        <w:tc>
          <w:tcPr>
            <w:tcW w:w="0" w:type="auto"/>
            <w:gridSpan w:val="3"/>
            <w:shd w:val="clear" w:color="auto" w:fill="auto"/>
            <w:tcMar>
              <w:top w:w="0" w:type="dxa"/>
              <w:left w:w="20" w:type="dxa"/>
              <w:bottom w:w="0" w:type="dxa"/>
              <w:right w:w="20" w:type="dxa"/>
            </w:tcMar>
          </w:tcPr>
          <w:p w14:paraId="7B67083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83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84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084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0842"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7084D" w14:textId="77777777">
        <w:tc>
          <w:tcPr>
            <w:tcW w:w="0" w:type="auto"/>
            <w:gridSpan w:val="3"/>
            <w:shd w:val="clear" w:color="auto" w:fill="CCEEFF"/>
            <w:tcMar>
              <w:top w:w="40" w:type="dxa"/>
              <w:left w:w="20" w:type="dxa"/>
              <w:bottom w:w="40" w:type="dxa"/>
              <w:right w:w="20" w:type="dxa"/>
            </w:tcMar>
            <w:vAlign w:val="bottom"/>
          </w:tcPr>
          <w:p w14:paraId="7B670844" w14:textId="77777777" w:rsidR="0040300B" w:rsidRDefault="00BB2D44">
            <w:pPr>
              <w:textAlignment w:val="bottom"/>
            </w:pPr>
            <w:r>
              <w:rPr>
                <w:rFonts w:ascii="Times New Roman" w:eastAsia="宋体" w:hAnsi="Times New Roman"/>
                <w:color w:val="000000"/>
                <w:sz w:val="20"/>
                <w:szCs w:val="20"/>
              </w:rPr>
              <w:t>Cash and cash equivalents and investments</w:t>
            </w:r>
          </w:p>
        </w:tc>
        <w:tc>
          <w:tcPr>
            <w:tcW w:w="0" w:type="auto"/>
            <w:gridSpan w:val="3"/>
            <w:shd w:val="clear" w:color="auto" w:fill="CCEEFF"/>
            <w:tcMar>
              <w:top w:w="0" w:type="dxa"/>
              <w:left w:w="20" w:type="dxa"/>
              <w:bottom w:w="0" w:type="dxa"/>
              <w:right w:w="20" w:type="dxa"/>
            </w:tcMar>
          </w:tcPr>
          <w:p w14:paraId="7B67084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84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847" w14:textId="77777777" w:rsidR="0040300B" w:rsidRDefault="00BB2D44">
            <w:pPr>
              <w:jc w:val="right"/>
              <w:textAlignment w:val="bottom"/>
            </w:pPr>
            <w:r>
              <w:rPr>
                <w:rFonts w:ascii="Times New Roman" w:eastAsia="宋体" w:hAnsi="Times New Roman"/>
                <w:color w:val="000000"/>
                <w:sz w:val="20"/>
                <w:szCs w:val="20"/>
              </w:rPr>
              <w:t>23,579 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84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84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8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84B" w14:textId="77777777" w:rsidR="0040300B" w:rsidRDefault="00BB2D44">
            <w:pPr>
              <w:jc w:val="right"/>
              <w:textAlignment w:val="bottom"/>
            </w:pPr>
            <w:r>
              <w:rPr>
                <w:rFonts w:ascii="Times New Roman" w:eastAsia="宋体" w:hAnsi="Times New Roman"/>
                <w:color w:val="000000"/>
                <w:sz w:val="20"/>
                <w:szCs w:val="20"/>
              </w:rPr>
              <w:t>29,419 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84C" w14:textId="77777777" w:rsidR="0040300B" w:rsidRDefault="0040300B">
            <w:pPr>
              <w:jc w:val="right"/>
              <w:rPr>
                <w:rFonts w:ascii="宋体"/>
              </w:rPr>
            </w:pPr>
          </w:p>
        </w:tc>
      </w:tr>
      <w:tr w:rsidR="0040300B" w14:paraId="7B670857" w14:textId="77777777">
        <w:tc>
          <w:tcPr>
            <w:tcW w:w="0" w:type="auto"/>
            <w:gridSpan w:val="3"/>
            <w:shd w:val="clear" w:color="auto" w:fill="FFFFFF"/>
            <w:tcMar>
              <w:top w:w="40" w:type="dxa"/>
              <w:left w:w="20" w:type="dxa"/>
              <w:bottom w:w="40" w:type="dxa"/>
              <w:right w:w="20" w:type="dxa"/>
            </w:tcMar>
            <w:vAlign w:val="bottom"/>
          </w:tcPr>
          <w:p w14:paraId="7B67084E" w14:textId="77777777" w:rsidR="0040300B" w:rsidRDefault="00BB2D44">
            <w:pPr>
              <w:textAlignment w:val="bottom"/>
            </w:pPr>
            <w:r>
              <w:rPr>
                <w:rFonts w:ascii="Times New Roman" w:eastAsia="宋体" w:hAnsi="Times New Roman"/>
                <w:color w:val="000000"/>
                <w:sz w:val="20"/>
                <w:szCs w:val="20"/>
              </w:rPr>
              <w:t>Deferred revenue</w:t>
            </w:r>
          </w:p>
        </w:tc>
        <w:tc>
          <w:tcPr>
            <w:tcW w:w="0" w:type="auto"/>
            <w:gridSpan w:val="3"/>
            <w:shd w:val="clear" w:color="auto" w:fill="FFFFFF"/>
            <w:tcMar>
              <w:top w:w="0" w:type="dxa"/>
              <w:left w:w="20" w:type="dxa"/>
              <w:bottom w:w="0" w:type="dxa"/>
              <w:right w:w="20" w:type="dxa"/>
            </w:tcMar>
          </w:tcPr>
          <w:p w14:paraId="7B67084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85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851" w14:textId="77777777" w:rsidR="0040300B" w:rsidRDefault="00BB2D44">
            <w:pPr>
              <w:jc w:val="right"/>
              <w:textAlignment w:val="bottom"/>
            </w:pPr>
            <w:r>
              <w:rPr>
                <w:rFonts w:ascii="Times New Roman" w:eastAsia="宋体" w:hAnsi="Times New Roman"/>
                <w:color w:val="000000"/>
                <w:sz w:val="20"/>
                <w:szCs w:val="20"/>
              </w:rPr>
              <w:t>20,889 </w:t>
            </w:r>
          </w:p>
        </w:tc>
        <w:tc>
          <w:tcPr>
            <w:tcW w:w="0" w:type="auto"/>
            <w:shd w:val="clear" w:color="auto" w:fill="FFFFFF"/>
            <w:tcMar>
              <w:top w:w="40" w:type="dxa"/>
              <w:left w:w="0" w:type="dxa"/>
              <w:bottom w:w="40" w:type="dxa"/>
              <w:right w:w="20" w:type="dxa"/>
            </w:tcMar>
            <w:vAlign w:val="bottom"/>
          </w:tcPr>
          <w:p w14:paraId="7B67085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85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85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855" w14:textId="77777777" w:rsidR="0040300B" w:rsidRDefault="00BB2D44">
            <w:pPr>
              <w:jc w:val="right"/>
              <w:textAlignment w:val="bottom"/>
            </w:pPr>
            <w:r>
              <w:rPr>
                <w:rFonts w:ascii="Times New Roman" w:eastAsia="宋体" w:hAnsi="Times New Roman"/>
                <w:color w:val="000000"/>
                <w:sz w:val="20"/>
                <w:szCs w:val="20"/>
              </w:rPr>
              <w:t>20,446 </w:t>
            </w:r>
          </w:p>
        </w:tc>
        <w:tc>
          <w:tcPr>
            <w:tcW w:w="0" w:type="auto"/>
            <w:shd w:val="clear" w:color="auto" w:fill="FFFFFF"/>
            <w:tcMar>
              <w:top w:w="40" w:type="dxa"/>
              <w:left w:w="0" w:type="dxa"/>
              <w:bottom w:w="40" w:type="dxa"/>
              <w:right w:w="20" w:type="dxa"/>
            </w:tcMar>
            <w:vAlign w:val="bottom"/>
          </w:tcPr>
          <w:p w14:paraId="7B670856" w14:textId="77777777" w:rsidR="0040300B" w:rsidRDefault="0040300B">
            <w:pPr>
              <w:jc w:val="right"/>
              <w:rPr>
                <w:rFonts w:ascii="宋体"/>
              </w:rPr>
            </w:pPr>
          </w:p>
        </w:tc>
      </w:tr>
      <w:tr w:rsidR="0040300B" w14:paraId="7B670861" w14:textId="77777777">
        <w:tc>
          <w:tcPr>
            <w:tcW w:w="0" w:type="auto"/>
            <w:gridSpan w:val="3"/>
            <w:shd w:val="clear" w:color="auto" w:fill="CCEEFF"/>
            <w:tcMar>
              <w:top w:w="40" w:type="dxa"/>
              <w:left w:w="20" w:type="dxa"/>
              <w:bottom w:w="40" w:type="dxa"/>
              <w:right w:w="20" w:type="dxa"/>
            </w:tcMar>
            <w:vAlign w:val="bottom"/>
          </w:tcPr>
          <w:p w14:paraId="7B670858" w14:textId="77777777" w:rsidR="0040300B" w:rsidRDefault="00BB2D44">
            <w:pPr>
              <w:textAlignment w:val="bottom"/>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tcPr>
          <w:p w14:paraId="7B670859"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85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85B" w14:textId="77777777" w:rsidR="0040300B" w:rsidRDefault="00BB2D44">
            <w:pPr>
              <w:jc w:val="right"/>
              <w:textAlignment w:val="bottom"/>
            </w:pPr>
            <w:r>
              <w:rPr>
                <w:rFonts w:ascii="Times New Roman" w:eastAsia="宋体" w:hAnsi="Times New Roman"/>
                <w:color w:val="000000"/>
                <w:sz w:val="20"/>
                <w:szCs w:val="20"/>
              </w:rPr>
              <w:t>1,579 </w:t>
            </w:r>
          </w:p>
        </w:tc>
        <w:tc>
          <w:tcPr>
            <w:tcW w:w="0" w:type="auto"/>
            <w:shd w:val="clear" w:color="auto" w:fill="CCEEFF"/>
            <w:tcMar>
              <w:top w:w="40" w:type="dxa"/>
              <w:left w:w="0" w:type="dxa"/>
              <w:bottom w:w="40" w:type="dxa"/>
              <w:right w:w="20" w:type="dxa"/>
            </w:tcMar>
            <w:vAlign w:val="bottom"/>
          </w:tcPr>
          <w:p w14:paraId="7B67085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85D"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85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85F" w14:textId="77777777" w:rsidR="0040300B" w:rsidRDefault="00BB2D44">
            <w:pPr>
              <w:jc w:val="right"/>
              <w:textAlignment w:val="bottom"/>
            </w:pPr>
            <w:r>
              <w:rPr>
                <w:rFonts w:ascii="Times New Roman" w:eastAsia="宋体" w:hAnsi="Times New Roman"/>
                <w:color w:val="000000"/>
                <w:sz w:val="20"/>
                <w:szCs w:val="20"/>
              </w:rPr>
              <w:t>1,282 </w:t>
            </w:r>
          </w:p>
        </w:tc>
        <w:tc>
          <w:tcPr>
            <w:tcW w:w="0" w:type="auto"/>
            <w:shd w:val="clear" w:color="auto" w:fill="CCEEFF"/>
            <w:tcMar>
              <w:top w:w="40" w:type="dxa"/>
              <w:left w:w="0" w:type="dxa"/>
              <w:bottom w:w="40" w:type="dxa"/>
              <w:right w:w="20" w:type="dxa"/>
            </w:tcMar>
            <w:vAlign w:val="bottom"/>
          </w:tcPr>
          <w:p w14:paraId="7B670860" w14:textId="77777777" w:rsidR="0040300B" w:rsidRDefault="0040300B">
            <w:pPr>
              <w:jc w:val="right"/>
              <w:rPr>
                <w:rFonts w:ascii="宋体"/>
              </w:rPr>
            </w:pPr>
          </w:p>
        </w:tc>
      </w:tr>
    </w:tbl>
    <w:p w14:paraId="7B670862" w14:textId="77777777" w:rsidR="0040300B" w:rsidRDefault="0040300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40300B" w14:paraId="7B670872" w14:textId="77777777">
        <w:trPr>
          <w:jc w:val="center"/>
        </w:trPr>
        <w:tc>
          <w:tcPr>
            <w:tcW w:w="50" w:type="pct"/>
            <w:shd w:val="clear" w:color="auto" w:fill="auto"/>
          </w:tcPr>
          <w:p w14:paraId="7B670863" w14:textId="77777777" w:rsidR="0040300B" w:rsidRDefault="0040300B">
            <w:pPr>
              <w:rPr>
                <w:rFonts w:ascii="宋体"/>
              </w:rPr>
            </w:pPr>
          </w:p>
        </w:tc>
        <w:tc>
          <w:tcPr>
            <w:tcW w:w="3599" w:type="pct"/>
            <w:shd w:val="clear" w:color="auto" w:fill="auto"/>
          </w:tcPr>
          <w:p w14:paraId="7B670864" w14:textId="77777777" w:rsidR="0040300B" w:rsidRDefault="0040300B">
            <w:pPr>
              <w:rPr>
                <w:rFonts w:ascii="宋体"/>
              </w:rPr>
            </w:pPr>
          </w:p>
        </w:tc>
        <w:tc>
          <w:tcPr>
            <w:tcW w:w="5" w:type="pct"/>
            <w:shd w:val="clear" w:color="auto" w:fill="auto"/>
          </w:tcPr>
          <w:p w14:paraId="7B670865" w14:textId="77777777" w:rsidR="0040300B" w:rsidRDefault="0040300B">
            <w:pPr>
              <w:rPr>
                <w:rFonts w:ascii="宋体"/>
              </w:rPr>
            </w:pPr>
          </w:p>
        </w:tc>
        <w:tc>
          <w:tcPr>
            <w:tcW w:w="5" w:type="pct"/>
            <w:shd w:val="clear" w:color="auto" w:fill="auto"/>
          </w:tcPr>
          <w:p w14:paraId="7B670866" w14:textId="77777777" w:rsidR="0040300B" w:rsidRDefault="0040300B">
            <w:pPr>
              <w:rPr>
                <w:rFonts w:ascii="宋体"/>
              </w:rPr>
            </w:pPr>
          </w:p>
        </w:tc>
        <w:tc>
          <w:tcPr>
            <w:tcW w:w="26" w:type="pct"/>
            <w:shd w:val="clear" w:color="auto" w:fill="auto"/>
          </w:tcPr>
          <w:p w14:paraId="7B670867" w14:textId="77777777" w:rsidR="0040300B" w:rsidRDefault="0040300B">
            <w:pPr>
              <w:rPr>
                <w:rFonts w:ascii="宋体"/>
              </w:rPr>
            </w:pPr>
          </w:p>
        </w:tc>
        <w:tc>
          <w:tcPr>
            <w:tcW w:w="5" w:type="pct"/>
            <w:shd w:val="clear" w:color="auto" w:fill="auto"/>
          </w:tcPr>
          <w:p w14:paraId="7B670868" w14:textId="77777777" w:rsidR="0040300B" w:rsidRDefault="0040300B">
            <w:pPr>
              <w:rPr>
                <w:rFonts w:ascii="宋体"/>
              </w:rPr>
            </w:pPr>
          </w:p>
        </w:tc>
        <w:tc>
          <w:tcPr>
            <w:tcW w:w="50" w:type="pct"/>
            <w:shd w:val="clear" w:color="auto" w:fill="auto"/>
          </w:tcPr>
          <w:p w14:paraId="7B670869" w14:textId="77777777" w:rsidR="0040300B" w:rsidRDefault="0040300B">
            <w:pPr>
              <w:rPr>
                <w:rFonts w:ascii="宋体"/>
              </w:rPr>
            </w:pPr>
          </w:p>
        </w:tc>
        <w:tc>
          <w:tcPr>
            <w:tcW w:w="580" w:type="pct"/>
            <w:shd w:val="clear" w:color="auto" w:fill="auto"/>
          </w:tcPr>
          <w:p w14:paraId="7B67086A" w14:textId="77777777" w:rsidR="0040300B" w:rsidRDefault="0040300B">
            <w:pPr>
              <w:rPr>
                <w:rFonts w:ascii="宋体"/>
              </w:rPr>
            </w:pPr>
          </w:p>
        </w:tc>
        <w:tc>
          <w:tcPr>
            <w:tcW w:w="5" w:type="pct"/>
            <w:shd w:val="clear" w:color="auto" w:fill="auto"/>
          </w:tcPr>
          <w:p w14:paraId="7B67086B" w14:textId="77777777" w:rsidR="0040300B" w:rsidRDefault="0040300B">
            <w:pPr>
              <w:rPr>
                <w:rFonts w:ascii="宋体"/>
              </w:rPr>
            </w:pPr>
          </w:p>
        </w:tc>
        <w:tc>
          <w:tcPr>
            <w:tcW w:w="5" w:type="pct"/>
            <w:shd w:val="clear" w:color="auto" w:fill="auto"/>
          </w:tcPr>
          <w:p w14:paraId="7B67086C" w14:textId="77777777" w:rsidR="0040300B" w:rsidRDefault="0040300B">
            <w:pPr>
              <w:rPr>
                <w:rFonts w:ascii="宋体"/>
              </w:rPr>
            </w:pPr>
          </w:p>
        </w:tc>
        <w:tc>
          <w:tcPr>
            <w:tcW w:w="26" w:type="pct"/>
            <w:shd w:val="clear" w:color="auto" w:fill="auto"/>
          </w:tcPr>
          <w:p w14:paraId="7B67086D" w14:textId="77777777" w:rsidR="0040300B" w:rsidRDefault="0040300B">
            <w:pPr>
              <w:rPr>
                <w:rFonts w:ascii="宋体"/>
              </w:rPr>
            </w:pPr>
          </w:p>
        </w:tc>
        <w:tc>
          <w:tcPr>
            <w:tcW w:w="5" w:type="pct"/>
            <w:shd w:val="clear" w:color="auto" w:fill="auto"/>
          </w:tcPr>
          <w:p w14:paraId="7B67086E" w14:textId="77777777" w:rsidR="0040300B" w:rsidRDefault="0040300B">
            <w:pPr>
              <w:rPr>
                <w:rFonts w:ascii="宋体"/>
              </w:rPr>
            </w:pPr>
          </w:p>
        </w:tc>
        <w:tc>
          <w:tcPr>
            <w:tcW w:w="50" w:type="pct"/>
            <w:shd w:val="clear" w:color="auto" w:fill="auto"/>
          </w:tcPr>
          <w:p w14:paraId="7B67086F" w14:textId="77777777" w:rsidR="0040300B" w:rsidRDefault="0040300B">
            <w:pPr>
              <w:rPr>
                <w:rFonts w:ascii="宋体"/>
              </w:rPr>
            </w:pPr>
          </w:p>
        </w:tc>
        <w:tc>
          <w:tcPr>
            <w:tcW w:w="581" w:type="pct"/>
            <w:shd w:val="clear" w:color="auto" w:fill="auto"/>
          </w:tcPr>
          <w:p w14:paraId="7B670870" w14:textId="77777777" w:rsidR="0040300B" w:rsidRDefault="0040300B">
            <w:pPr>
              <w:rPr>
                <w:rFonts w:ascii="宋体"/>
              </w:rPr>
            </w:pPr>
          </w:p>
        </w:tc>
        <w:tc>
          <w:tcPr>
            <w:tcW w:w="5" w:type="pct"/>
            <w:shd w:val="clear" w:color="auto" w:fill="auto"/>
          </w:tcPr>
          <w:p w14:paraId="7B670871" w14:textId="77777777" w:rsidR="0040300B" w:rsidRDefault="0040300B">
            <w:pPr>
              <w:rPr>
                <w:rFonts w:ascii="宋体"/>
              </w:rPr>
            </w:pPr>
          </w:p>
        </w:tc>
      </w:tr>
      <w:tr w:rsidR="0040300B" w14:paraId="7B670876" w14:textId="77777777">
        <w:trPr>
          <w:jc w:val="center"/>
        </w:trPr>
        <w:tc>
          <w:tcPr>
            <w:tcW w:w="0" w:type="auto"/>
            <w:gridSpan w:val="3"/>
            <w:shd w:val="clear" w:color="auto" w:fill="auto"/>
            <w:tcMar>
              <w:top w:w="0" w:type="dxa"/>
              <w:left w:w="20" w:type="dxa"/>
              <w:bottom w:w="0" w:type="dxa"/>
              <w:right w:w="20" w:type="dxa"/>
            </w:tcMar>
          </w:tcPr>
          <w:p w14:paraId="7B67087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874"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875"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87C" w14:textId="77777777">
        <w:trPr>
          <w:jc w:val="center"/>
        </w:trPr>
        <w:tc>
          <w:tcPr>
            <w:tcW w:w="0" w:type="auto"/>
            <w:gridSpan w:val="3"/>
            <w:shd w:val="clear" w:color="auto" w:fill="auto"/>
            <w:tcMar>
              <w:top w:w="0" w:type="dxa"/>
              <w:left w:w="20" w:type="dxa"/>
              <w:bottom w:w="0" w:type="dxa"/>
              <w:right w:w="20" w:type="dxa"/>
            </w:tcMar>
          </w:tcPr>
          <w:p w14:paraId="7B67087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87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879" w14:textId="77777777" w:rsidR="0040300B" w:rsidRDefault="00BB2D44">
            <w:pPr>
              <w:jc w:val="center"/>
              <w:textAlignment w:val="bottom"/>
            </w:pPr>
            <w:r>
              <w:rPr>
                <w:rFonts w:ascii="Times New Roman" w:eastAsia="宋体" w:hAnsi="Times New Roman"/>
                <w:color w:val="000000"/>
                <w:sz w:val="18"/>
                <w:szCs w:val="18"/>
              </w:rPr>
              <w:t xml:space="preserve">May </w:t>
            </w:r>
            <w:r>
              <w:rPr>
                <w:rFonts w:ascii="Times New Roman" w:eastAsia="宋体" w:hAnsi="Times New Roman"/>
                <w:color w:val="000000"/>
                <w:sz w:val="18"/>
                <w:szCs w:val="18"/>
              </w:rPr>
              <w:t>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87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87B"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886" w14:textId="77777777">
        <w:trPr>
          <w:jc w:val="center"/>
        </w:trPr>
        <w:tc>
          <w:tcPr>
            <w:tcW w:w="0" w:type="auto"/>
            <w:gridSpan w:val="3"/>
            <w:shd w:val="clear" w:color="auto" w:fill="CCEEFF"/>
            <w:tcMar>
              <w:top w:w="40" w:type="dxa"/>
              <w:left w:w="20" w:type="dxa"/>
              <w:bottom w:w="40" w:type="dxa"/>
              <w:right w:w="20" w:type="dxa"/>
            </w:tcMar>
            <w:vAlign w:val="bottom"/>
          </w:tcPr>
          <w:p w14:paraId="7B67087D" w14:textId="77777777" w:rsidR="0040300B" w:rsidRDefault="00BB2D44">
            <w:pPr>
              <w:textAlignment w:val="bottom"/>
            </w:pPr>
            <w:r>
              <w:rPr>
                <w:rFonts w:ascii="Times New Roman" w:eastAsia="宋体" w:hAnsi="Times New Roman"/>
                <w:color w:val="000000"/>
                <w:sz w:val="20"/>
                <w:szCs w:val="20"/>
              </w:rPr>
              <w:t>Cash provided by operating activities</w:t>
            </w:r>
          </w:p>
        </w:tc>
        <w:tc>
          <w:tcPr>
            <w:tcW w:w="0" w:type="auto"/>
            <w:gridSpan w:val="3"/>
            <w:shd w:val="clear" w:color="auto" w:fill="CCEEFF"/>
            <w:tcMar>
              <w:top w:w="0" w:type="dxa"/>
              <w:left w:w="20" w:type="dxa"/>
              <w:bottom w:w="0" w:type="dxa"/>
              <w:right w:w="20" w:type="dxa"/>
            </w:tcMar>
          </w:tcPr>
          <w:p w14:paraId="7B67087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87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880" w14:textId="77777777" w:rsidR="0040300B" w:rsidRDefault="00BB2D44">
            <w:pPr>
              <w:jc w:val="right"/>
              <w:textAlignment w:val="bottom"/>
            </w:pPr>
            <w:r>
              <w:rPr>
                <w:rFonts w:ascii="Times New Roman" w:eastAsia="宋体" w:hAnsi="Times New Roman"/>
                <w:color w:val="000000"/>
                <w:sz w:val="20"/>
                <w:szCs w:val="20"/>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88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88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088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0884" w14:textId="77777777" w:rsidR="0040300B" w:rsidRDefault="00BB2D44">
            <w:pPr>
              <w:jc w:val="right"/>
              <w:textAlignment w:val="bottom"/>
            </w:pPr>
            <w:r>
              <w:rPr>
                <w:rFonts w:ascii="Times New Roman" w:eastAsia="宋体" w:hAnsi="Times New Roman"/>
                <w:color w:val="000000"/>
                <w:sz w:val="20"/>
                <w:szCs w:val="20"/>
              </w:rPr>
              <w:t>11,624 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885" w14:textId="77777777" w:rsidR="0040300B" w:rsidRDefault="0040300B">
            <w:pPr>
              <w:jc w:val="right"/>
              <w:rPr>
                <w:rFonts w:ascii="宋体"/>
              </w:rPr>
            </w:pPr>
          </w:p>
        </w:tc>
      </w:tr>
      <w:tr w:rsidR="0040300B" w14:paraId="7B670890" w14:textId="77777777">
        <w:trPr>
          <w:jc w:val="center"/>
        </w:trPr>
        <w:tc>
          <w:tcPr>
            <w:tcW w:w="0" w:type="auto"/>
            <w:gridSpan w:val="3"/>
            <w:shd w:val="clear" w:color="auto" w:fill="FFFFFF"/>
            <w:tcMar>
              <w:top w:w="40" w:type="dxa"/>
              <w:left w:w="20" w:type="dxa"/>
              <w:bottom w:w="40" w:type="dxa"/>
              <w:right w:w="20" w:type="dxa"/>
            </w:tcMar>
            <w:vAlign w:val="bottom"/>
          </w:tcPr>
          <w:p w14:paraId="7B670887" w14:textId="77777777" w:rsidR="0040300B" w:rsidRDefault="00BB2D44">
            <w:pPr>
              <w:textAlignment w:val="bottom"/>
            </w:pPr>
            <w:r>
              <w:rPr>
                <w:rFonts w:ascii="Times New Roman" w:eastAsia="宋体" w:hAnsi="Times New Roman"/>
                <w:color w:val="000000"/>
                <w:sz w:val="20"/>
                <w:szCs w:val="20"/>
              </w:rPr>
              <w:t>Repurchases of common stock—stock repurchase program</w:t>
            </w:r>
          </w:p>
        </w:tc>
        <w:tc>
          <w:tcPr>
            <w:tcW w:w="0" w:type="auto"/>
            <w:gridSpan w:val="3"/>
            <w:shd w:val="clear" w:color="auto" w:fill="FFFFFF"/>
            <w:tcMar>
              <w:top w:w="0" w:type="dxa"/>
              <w:left w:w="20" w:type="dxa"/>
              <w:bottom w:w="0" w:type="dxa"/>
              <w:right w:w="20" w:type="dxa"/>
            </w:tcMar>
          </w:tcPr>
          <w:p w14:paraId="7B67088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88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88A" w14:textId="77777777" w:rsidR="0040300B" w:rsidRDefault="00BB2D44">
            <w:pPr>
              <w:jc w:val="right"/>
              <w:textAlignment w:val="bottom"/>
            </w:pPr>
            <w:r>
              <w:rPr>
                <w:rFonts w:ascii="Times New Roman" w:eastAsia="宋体" w:hAnsi="Times New Roman"/>
                <w:color w:val="000000"/>
                <w:sz w:val="20"/>
                <w:szCs w:val="20"/>
              </w:rPr>
              <w:t>2,111 </w:t>
            </w:r>
          </w:p>
        </w:tc>
        <w:tc>
          <w:tcPr>
            <w:tcW w:w="0" w:type="auto"/>
            <w:shd w:val="clear" w:color="auto" w:fill="FFFFFF"/>
            <w:tcMar>
              <w:top w:w="40" w:type="dxa"/>
              <w:left w:w="0" w:type="dxa"/>
              <w:bottom w:w="40" w:type="dxa"/>
              <w:right w:w="20" w:type="dxa"/>
            </w:tcMar>
            <w:vAlign w:val="bottom"/>
          </w:tcPr>
          <w:p w14:paraId="7B67088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88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88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88E" w14:textId="77777777" w:rsidR="0040300B" w:rsidRDefault="00BB2D44">
            <w:pPr>
              <w:jc w:val="right"/>
              <w:textAlignment w:val="bottom"/>
            </w:pPr>
            <w:r>
              <w:rPr>
                <w:rFonts w:ascii="Times New Roman" w:eastAsia="宋体" w:hAnsi="Times New Roman"/>
                <w:color w:val="000000"/>
                <w:sz w:val="20"/>
                <w:szCs w:val="20"/>
              </w:rPr>
              <w:t>2,619 </w:t>
            </w:r>
          </w:p>
        </w:tc>
        <w:tc>
          <w:tcPr>
            <w:tcW w:w="0" w:type="auto"/>
            <w:shd w:val="clear" w:color="auto" w:fill="FFFFFF"/>
            <w:tcMar>
              <w:top w:w="40" w:type="dxa"/>
              <w:left w:w="0" w:type="dxa"/>
              <w:bottom w:w="40" w:type="dxa"/>
              <w:right w:w="20" w:type="dxa"/>
            </w:tcMar>
            <w:vAlign w:val="bottom"/>
          </w:tcPr>
          <w:p w14:paraId="7B67088F" w14:textId="77777777" w:rsidR="0040300B" w:rsidRDefault="0040300B">
            <w:pPr>
              <w:jc w:val="right"/>
              <w:rPr>
                <w:rFonts w:ascii="宋体"/>
              </w:rPr>
            </w:pPr>
          </w:p>
        </w:tc>
      </w:tr>
      <w:tr w:rsidR="0040300B" w14:paraId="7B67089A" w14:textId="77777777">
        <w:trPr>
          <w:jc w:val="center"/>
        </w:trPr>
        <w:tc>
          <w:tcPr>
            <w:tcW w:w="0" w:type="auto"/>
            <w:gridSpan w:val="3"/>
            <w:shd w:val="clear" w:color="auto" w:fill="CCEEFF"/>
            <w:tcMar>
              <w:top w:w="40" w:type="dxa"/>
              <w:left w:w="20" w:type="dxa"/>
              <w:bottom w:w="40" w:type="dxa"/>
              <w:right w:w="20" w:type="dxa"/>
            </w:tcMar>
            <w:vAlign w:val="bottom"/>
          </w:tcPr>
          <w:p w14:paraId="7B670891" w14:textId="77777777" w:rsidR="0040300B" w:rsidRDefault="00BB2D44">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tcPr>
          <w:p w14:paraId="7B67089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89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894" w14:textId="77777777" w:rsidR="0040300B" w:rsidRDefault="00BB2D44">
            <w:pPr>
              <w:jc w:val="right"/>
              <w:textAlignment w:val="bottom"/>
            </w:pPr>
            <w:r>
              <w:rPr>
                <w:rFonts w:ascii="Times New Roman" w:eastAsia="宋体" w:hAnsi="Times New Roman"/>
                <w:color w:val="000000"/>
                <w:sz w:val="20"/>
                <w:szCs w:val="20"/>
              </w:rPr>
              <w:t>4,601 </w:t>
            </w:r>
          </w:p>
        </w:tc>
        <w:tc>
          <w:tcPr>
            <w:tcW w:w="0" w:type="auto"/>
            <w:shd w:val="clear" w:color="auto" w:fill="CCEEFF"/>
            <w:tcMar>
              <w:top w:w="40" w:type="dxa"/>
              <w:left w:w="0" w:type="dxa"/>
              <w:bottom w:w="40" w:type="dxa"/>
              <w:right w:w="20" w:type="dxa"/>
            </w:tcMar>
            <w:vAlign w:val="bottom"/>
          </w:tcPr>
          <w:p w14:paraId="7B67089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89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089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0898" w14:textId="77777777" w:rsidR="0040300B" w:rsidRDefault="00BB2D44">
            <w:pPr>
              <w:jc w:val="right"/>
              <w:textAlignment w:val="bottom"/>
            </w:pPr>
            <w:r>
              <w:rPr>
                <w:rFonts w:ascii="Times New Roman" w:eastAsia="宋体" w:hAnsi="Times New Roman"/>
                <w:color w:val="000000"/>
                <w:sz w:val="20"/>
                <w:szCs w:val="20"/>
              </w:rPr>
              <w:t>4,491 </w:t>
            </w:r>
          </w:p>
        </w:tc>
        <w:tc>
          <w:tcPr>
            <w:tcW w:w="0" w:type="auto"/>
            <w:shd w:val="clear" w:color="auto" w:fill="CCEEFF"/>
            <w:tcMar>
              <w:top w:w="40" w:type="dxa"/>
              <w:left w:w="0" w:type="dxa"/>
              <w:bottom w:w="40" w:type="dxa"/>
              <w:right w:w="20" w:type="dxa"/>
            </w:tcMar>
            <w:vAlign w:val="bottom"/>
          </w:tcPr>
          <w:p w14:paraId="7B670899" w14:textId="77777777" w:rsidR="0040300B" w:rsidRDefault="0040300B">
            <w:pPr>
              <w:jc w:val="right"/>
              <w:rPr>
                <w:rFonts w:ascii="宋体"/>
              </w:rPr>
            </w:pPr>
          </w:p>
        </w:tc>
      </w:tr>
    </w:tbl>
    <w:p w14:paraId="7B67089B" w14:textId="77777777" w:rsidR="0040300B" w:rsidRDefault="0040300B">
      <w:pPr>
        <w:jc w:val="both"/>
      </w:pPr>
    </w:p>
    <w:p w14:paraId="7B67089C" w14:textId="77777777" w:rsidR="0040300B" w:rsidRDefault="00BB2D44">
      <w:pPr>
        <w:jc w:val="center"/>
      </w:pPr>
      <w:r>
        <w:rPr>
          <w:rFonts w:ascii="Times New Roman" w:eastAsia="宋体" w:hAnsi="Times New Roman"/>
          <w:color w:val="000000"/>
          <w:sz w:val="20"/>
          <w:szCs w:val="20"/>
        </w:rPr>
        <w:t>46</w:t>
      </w:r>
    </w:p>
    <w:p w14:paraId="7B67089D" w14:textId="77777777" w:rsidR="0040300B" w:rsidRDefault="00BB2D44">
      <w:r>
        <w:pict w14:anchorId="7B671C3E">
          <v:rect id="_x0000_i1070" style="width:415.3pt;height:1.5pt" o:hralign="center" o:hrstd="t" o:hr="t" fillcolor="#a0a0a0" stroked="f"/>
        </w:pict>
      </w:r>
    </w:p>
    <w:p w14:paraId="7B67089E" w14:textId="77777777" w:rsidR="0040300B" w:rsidRDefault="00BB2D44">
      <w:hyperlink r:id="rId92"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9F" w14:textId="77777777" w:rsidR="0040300B" w:rsidRDefault="00BB2D44">
      <w:pPr>
        <w:jc w:val="center"/>
      </w:pPr>
      <w:r>
        <w:rPr>
          <w:rFonts w:ascii="Times New Roman" w:eastAsia="宋体" w:hAnsi="Times New Roman"/>
          <w:b/>
          <w:bCs/>
          <w:color w:val="000000"/>
          <w:sz w:val="18"/>
          <w:szCs w:val="18"/>
        </w:rPr>
        <w:t>CISCO SYSTEMS, INC.</w:t>
      </w:r>
    </w:p>
    <w:p w14:paraId="7B6708A0"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08A1" w14:textId="77777777" w:rsidR="0040300B" w:rsidRDefault="0040300B">
      <w:pPr>
        <w:jc w:val="center"/>
      </w:pPr>
    </w:p>
    <w:p w14:paraId="7B6708A2" w14:textId="77777777" w:rsidR="0040300B" w:rsidRDefault="00BB2D44">
      <w:pPr>
        <w:spacing w:before="120"/>
        <w:jc w:val="both"/>
      </w:pPr>
      <w:r>
        <w:rPr>
          <w:rFonts w:ascii="Times New Roman" w:eastAsia="宋体" w:hAnsi="Times New Roman"/>
          <w:b/>
          <w:bCs/>
          <w:color w:val="000000"/>
          <w:sz w:val="22"/>
          <w:szCs w:val="22"/>
        </w:rPr>
        <w:t>CRITICAL ACCOUNTING ESTIMATES</w:t>
      </w:r>
    </w:p>
    <w:p w14:paraId="7B6708A3" w14:textId="77777777" w:rsidR="0040300B" w:rsidRDefault="00BB2D44">
      <w:pPr>
        <w:spacing w:before="120"/>
        <w:jc w:val="both"/>
      </w:pPr>
      <w:r>
        <w:rPr>
          <w:rFonts w:ascii="Times New Roman" w:eastAsia="宋体" w:hAnsi="Times New Roman"/>
          <w:color w:val="000000"/>
          <w:sz w:val="20"/>
          <w:szCs w:val="20"/>
        </w:rPr>
        <w:t>The preparation of financial statements and related disclosures in conformity with accounting principles generally accepted in the United States requires us to make judgments, assumptions, an</w:t>
      </w:r>
      <w:r>
        <w:rPr>
          <w:rFonts w:ascii="Times New Roman" w:eastAsia="宋体" w:hAnsi="Times New Roman"/>
          <w:color w:val="000000"/>
          <w:sz w:val="20"/>
          <w:szCs w:val="20"/>
        </w:rPr>
        <w:t>d estimates that affect the amounts reported in the Consolidated Financial Statements and accompanying notes. Note 2 to the Consolidated Financial Statements in our Annual Report on Form 10-K for the year ended July 25, 2020, as updated as applicable in No</w:t>
      </w:r>
      <w:r>
        <w:rPr>
          <w:rFonts w:ascii="Times New Roman" w:eastAsia="宋体" w:hAnsi="Times New Roman"/>
          <w:color w:val="000000"/>
          <w:sz w:val="20"/>
          <w:szCs w:val="20"/>
        </w:rPr>
        <w:t>te 2 to the Consolidated Financial Statements herein, describes the significant accounting policies and methods used in the preparation of the Consolidated Financial Statements. The accounting policies described below are significantly affected by critical</w:t>
      </w:r>
      <w:r>
        <w:rPr>
          <w:rFonts w:ascii="Times New Roman" w:eastAsia="宋体" w:hAnsi="Times New Roman"/>
          <w:color w:val="000000"/>
          <w:sz w:val="20"/>
          <w:szCs w:val="20"/>
        </w:rPr>
        <w:t xml:space="preserve"> accounting estimates. Such accounting policies require significant judgments, assumptions, and estimates used in the preparation of the Consolidated Financial Statements, and actual results could differ materially from the amounts reported based on these </w:t>
      </w:r>
      <w:r>
        <w:rPr>
          <w:rFonts w:ascii="Times New Roman" w:eastAsia="宋体" w:hAnsi="Times New Roman"/>
          <w:color w:val="000000"/>
          <w:sz w:val="20"/>
          <w:szCs w:val="20"/>
        </w:rPr>
        <w:t>policies.</w:t>
      </w:r>
    </w:p>
    <w:p w14:paraId="7B6708A4" w14:textId="77777777" w:rsidR="0040300B" w:rsidRDefault="00BB2D44">
      <w:pPr>
        <w:spacing w:before="120"/>
        <w:jc w:val="both"/>
      </w:pPr>
      <w:r>
        <w:rPr>
          <w:rFonts w:ascii="Times New Roman" w:eastAsia="宋体" w:hAnsi="Times New Roman"/>
          <w:color w:val="000000"/>
          <w:sz w:val="20"/>
          <w:szCs w:val="20"/>
        </w:rPr>
        <w:t>The inputs into certain of our judgments, assumptions, and estimates considered the economic implications of the COVID-19 pandemic on our critical and significant accounting estimates. The COVID-19 pandemic did not have a material impact on our s</w:t>
      </w:r>
      <w:r>
        <w:rPr>
          <w:rFonts w:ascii="Times New Roman" w:eastAsia="宋体" w:hAnsi="Times New Roman"/>
          <w:color w:val="000000"/>
          <w:sz w:val="20"/>
          <w:szCs w:val="20"/>
        </w:rPr>
        <w:t>ignificant judgments, assumptions and estimates that are reflected in our results for the third quarter and first nine months of fiscal 2021. These estimates are listed in our Annual Report on Form 10-K for the year ending July 25, 2020, and include: goodw</w:t>
      </w:r>
      <w:r>
        <w:rPr>
          <w:rFonts w:ascii="Times New Roman" w:eastAsia="宋体" w:hAnsi="Times New Roman"/>
          <w:color w:val="000000"/>
          <w:sz w:val="20"/>
          <w:szCs w:val="20"/>
        </w:rPr>
        <w:t>ill and identified purchased intangible assets and income taxes, among other items. The actual results that we experience may differ materially from our estimates. As the COVID-19 pandemic continues to develop, many of our estimates could require increased</w:t>
      </w:r>
      <w:r>
        <w:rPr>
          <w:rFonts w:ascii="Times New Roman" w:eastAsia="宋体" w:hAnsi="Times New Roman"/>
          <w:color w:val="000000"/>
          <w:sz w:val="20"/>
          <w:szCs w:val="20"/>
        </w:rPr>
        <w:t xml:space="preserve"> judgment and carry a higher degree of variability and volatility. As events continue to evolve our estimates may change materially in future periods. </w:t>
      </w:r>
    </w:p>
    <w:p w14:paraId="7B6708A5" w14:textId="77777777" w:rsidR="0040300B" w:rsidRDefault="00BB2D44">
      <w:pPr>
        <w:spacing w:before="120"/>
        <w:jc w:val="both"/>
      </w:pPr>
      <w:r>
        <w:rPr>
          <w:rFonts w:ascii="Times New Roman" w:eastAsia="宋体" w:hAnsi="Times New Roman"/>
          <w:b/>
          <w:bCs/>
          <w:color w:val="000000"/>
          <w:sz w:val="20"/>
          <w:szCs w:val="20"/>
        </w:rPr>
        <w:t xml:space="preserve">Revenue Recognition </w:t>
      </w:r>
    </w:p>
    <w:p w14:paraId="7B6708A6" w14:textId="77777777" w:rsidR="0040300B" w:rsidRDefault="00BB2D44">
      <w:pPr>
        <w:spacing w:before="120"/>
        <w:jc w:val="both"/>
      </w:pPr>
      <w:r>
        <w:rPr>
          <w:rFonts w:ascii="Times New Roman" w:eastAsia="宋体" w:hAnsi="Times New Roman"/>
          <w:color w:val="000000"/>
          <w:sz w:val="20"/>
          <w:szCs w:val="20"/>
        </w:rPr>
        <w:t>We enter into contracts with customers that can include various combinations of pro</w:t>
      </w:r>
      <w:r>
        <w:rPr>
          <w:rFonts w:ascii="Times New Roman" w:eastAsia="宋体" w:hAnsi="Times New Roman"/>
          <w:color w:val="000000"/>
          <w:sz w:val="20"/>
          <w:szCs w:val="20"/>
        </w:rPr>
        <w:t>ducts and services which are generally distinct and accounted for as separate performance obligations. As a result, our contracts may contain multiple performance obligations. We determine whether arrangements are distinct based on whether the customer can</w:t>
      </w:r>
      <w:r>
        <w:rPr>
          <w:rFonts w:ascii="Times New Roman" w:eastAsia="宋体" w:hAnsi="Times New Roman"/>
          <w:color w:val="000000"/>
          <w:sz w:val="20"/>
          <w:szCs w:val="20"/>
        </w:rPr>
        <w:t xml:space="preserve"> benefit from the product or service on its own or together with other resources that are readily available and whether our commitment to transfer the product or service to the customer is separately identifiable from other obligations in the contract. We </w:t>
      </w:r>
      <w:r>
        <w:rPr>
          <w:rFonts w:ascii="Times New Roman" w:eastAsia="宋体" w:hAnsi="Times New Roman"/>
          <w:color w:val="000000"/>
          <w:sz w:val="20"/>
          <w:szCs w:val="20"/>
        </w:rPr>
        <w:t xml:space="preserve">classify our hardware, perpetual software licenses, and SaaS as distinct performance obligations. Term software licenses represent multiple obligations, which include software licenses and software maintenance. In transactions where we deliver hardware or </w:t>
      </w:r>
      <w:r>
        <w:rPr>
          <w:rFonts w:ascii="Times New Roman" w:eastAsia="宋体" w:hAnsi="Times New Roman"/>
          <w:color w:val="000000"/>
          <w:sz w:val="20"/>
          <w:szCs w:val="20"/>
        </w:rPr>
        <w:t>software, we are typically the principal and we record revenue and costs of goods sold on a gross basis.</w:t>
      </w:r>
    </w:p>
    <w:p w14:paraId="7B6708A7" w14:textId="77777777" w:rsidR="0040300B" w:rsidRDefault="00BB2D44">
      <w:pPr>
        <w:spacing w:before="120"/>
        <w:jc w:val="both"/>
      </w:pPr>
      <w:r>
        <w:rPr>
          <w:rFonts w:ascii="Times New Roman" w:eastAsia="宋体" w:hAnsi="Times New Roman"/>
          <w:color w:val="000000"/>
          <w:sz w:val="20"/>
          <w:szCs w:val="20"/>
        </w:rPr>
        <w:t xml:space="preserve">We recognize revenue upon transfer of control of promised goods or services in a contract with a customer in an amount that reflects the consideration </w:t>
      </w:r>
      <w:r>
        <w:rPr>
          <w:rFonts w:ascii="Times New Roman" w:eastAsia="宋体" w:hAnsi="Times New Roman"/>
          <w:color w:val="000000"/>
          <w:sz w:val="20"/>
          <w:szCs w:val="20"/>
        </w:rPr>
        <w:t xml:space="preserve">we expect to receive in exchange for those products or services. Transfer of control occurs once the customer has the contractual right to use the product, generally upon shipment or once title and risk of loss has transferred to the customer. Transfer of </w:t>
      </w:r>
      <w:r>
        <w:rPr>
          <w:rFonts w:ascii="Times New Roman" w:eastAsia="宋体" w:hAnsi="Times New Roman"/>
          <w:color w:val="000000"/>
          <w:sz w:val="20"/>
          <w:szCs w:val="20"/>
        </w:rPr>
        <w:t>control can also occur over time for software maintenance and services as the customer receives the benefit over the contract term. Our hardware and perpetual software licenses are distinct performance obligations where revenue is recognized upfront upon t</w:t>
      </w:r>
      <w:r>
        <w:rPr>
          <w:rFonts w:ascii="Times New Roman" w:eastAsia="宋体" w:hAnsi="Times New Roman"/>
          <w:color w:val="000000"/>
          <w:sz w:val="20"/>
          <w:szCs w:val="20"/>
        </w:rPr>
        <w:t>ransfer of control. Term software licenses include multiple performance obligations where the term licenses are recognized upfront upon transfer of control, with the associated software maintenance revenue recognized ratably over the contract term as servi</w:t>
      </w:r>
      <w:r>
        <w:rPr>
          <w:rFonts w:ascii="Times New Roman" w:eastAsia="宋体" w:hAnsi="Times New Roman"/>
          <w:color w:val="000000"/>
          <w:sz w:val="20"/>
          <w:szCs w:val="20"/>
        </w:rPr>
        <w:t>ces and software updates are provided. SaaS arrangements do not include the right for the customer to take possession of the software during the term, and therefore have one distinct performance obligation which is satisfied over time with revenue recogniz</w:t>
      </w:r>
      <w:r>
        <w:rPr>
          <w:rFonts w:ascii="Times New Roman" w:eastAsia="宋体" w:hAnsi="Times New Roman"/>
          <w:color w:val="000000"/>
          <w:sz w:val="20"/>
          <w:szCs w:val="20"/>
        </w:rPr>
        <w:t>ed ratably over the contract term as the customer consumes the services. On our product sales, we record consideration from shipping and handling on a gross basis within net product sales. We record our revenue net of any associated sales taxes.</w:t>
      </w:r>
    </w:p>
    <w:p w14:paraId="7B6708A8" w14:textId="77777777" w:rsidR="0040300B" w:rsidRDefault="00BB2D44">
      <w:pPr>
        <w:spacing w:before="120"/>
        <w:jc w:val="both"/>
      </w:pPr>
      <w:r>
        <w:rPr>
          <w:rFonts w:ascii="Times New Roman" w:eastAsia="宋体" w:hAnsi="Times New Roman"/>
          <w:color w:val="000000"/>
          <w:sz w:val="20"/>
          <w:szCs w:val="20"/>
        </w:rPr>
        <w:t>Revenue is</w:t>
      </w:r>
      <w:r>
        <w:rPr>
          <w:rFonts w:ascii="Times New Roman" w:eastAsia="宋体" w:hAnsi="Times New Roman"/>
          <w:color w:val="000000"/>
          <w:sz w:val="20"/>
          <w:szCs w:val="20"/>
        </w:rPr>
        <w:t xml:space="preserve"> allocated among these performance obligations in a manner that reflects the consideration that we expect to be entitled to for the promised goods or services based on standalone selling prices (SSP). SSP is estimated for each distinct performance obligati</w:t>
      </w:r>
      <w:r>
        <w:rPr>
          <w:rFonts w:ascii="Times New Roman" w:eastAsia="宋体" w:hAnsi="Times New Roman"/>
          <w:color w:val="000000"/>
          <w:sz w:val="20"/>
          <w:szCs w:val="20"/>
        </w:rPr>
        <w:t>on and judgment may be required in their determination. The best evidence of SSP is the observable price of a product or service when we sell the goods separately in similar circumstances and to similar customers. In instances where SSP is not directly obs</w:t>
      </w:r>
      <w:r>
        <w:rPr>
          <w:rFonts w:ascii="Times New Roman" w:eastAsia="宋体" w:hAnsi="Times New Roman"/>
          <w:color w:val="000000"/>
          <w:sz w:val="20"/>
          <w:szCs w:val="20"/>
        </w:rPr>
        <w:t xml:space="preserve">ervable, we determine SSP using information that may include market conditions and other observable inputs. </w:t>
      </w:r>
    </w:p>
    <w:p w14:paraId="7B6708A9" w14:textId="77777777" w:rsidR="0040300B" w:rsidRDefault="00BB2D44">
      <w:pPr>
        <w:spacing w:before="120"/>
        <w:jc w:val="both"/>
      </w:pPr>
      <w:r>
        <w:rPr>
          <w:rFonts w:ascii="Times New Roman" w:eastAsia="宋体" w:hAnsi="Times New Roman"/>
          <w:color w:val="000000"/>
          <w:sz w:val="20"/>
          <w:szCs w:val="20"/>
        </w:rPr>
        <w:t>We apply judgment in determining the transaction price as we may be required to estimate variable consideration when determining the amount of reve</w:t>
      </w:r>
      <w:r>
        <w:rPr>
          <w:rFonts w:ascii="Times New Roman" w:eastAsia="宋体" w:hAnsi="Times New Roman"/>
          <w:color w:val="000000"/>
          <w:sz w:val="20"/>
          <w:szCs w:val="20"/>
        </w:rPr>
        <w:t>nue to recognize. Variable consideration includes potential contractual penalties and various rebate, cooperative marketing and other incentive programs that we offer to our distributors, channel partners and customers. When determining the amount of reven</w:t>
      </w:r>
      <w:r>
        <w:rPr>
          <w:rFonts w:ascii="Times New Roman" w:eastAsia="宋体" w:hAnsi="Times New Roman"/>
          <w:color w:val="000000"/>
          <w:sz w:val="20"/>
          <w:szCs w:val="20"/>
        </w:rPr>
        <w:t>ue to recognize, we estimate the expected usage of these programs, applying the expected value or most likely estimate and update the estimate at each reporting period as actual utilization becomes available. We also consider the customers' right of return</w:t>
      </w:r>
      <w:r>
        <w:rPr>
          <w:rFonts w:ascii="Times New Roman" w:eastAsia="宋体" w:hAnsi="Times New Roman"/>
          <w:color w:val="000000"/>
          <w:sz w:val="20"/>
          <w:szCs w:val="20"/>
        </w:rPr>
        <w:t xml:space="preserve"> in determining the transaction price, where applicable. If actual credits received by distributors under these programs were to deviate significantly from our estimates, which are based on historical experience, our revenue could be adversely affected.</w:t>
      </w:r>
    </w:p>
    <w:p w14:paraId="7B6708AA" w14:textId="77777777" w:rsidR="0040300B" w:rsidRDefault="00BB2D44">
      <w:pPr>
        <w:spacing w:before="120"/>
        <w:jc w:val="both"/>
      </w:pPr>
      <w:r>
        <w:rPr>
          <w:rFonts w:ascii="Times New Roman" w:eastAsia="宋体" w:hAnsi="Times New Roman"/>
          <w:color w:val="000000"/>
          <w:sz w:val="20"/>
          <w:szCs w:val="20"/>
        </w:rPr>
        <w:t>Se</w:t>
      </w:r>
      <w:r>
        <w:rPr>
          <w:rFonts w:ascii="Times New Roman" w:eastAsia="宋体" w:hAnsi="Times New Roman"/>
          <w:color w:val="000000"/>
          <w:sz w:val="20"/>
          <w:szCs w:val="20"/>
        </w:rPr>
        <w:t>e Note 3 to the Consolidated Financial Statements for more details.</w:t>
      </w:r>
    </w:p>
    <w:p w14:paraId="7B6708AB" w14:textId="77777777" w:rsidR="0040300B" w:rsidRDefault="00BB2D44">
      <w:pPr>
        <w:jc w:val="center"/>
      </w:pPr>
      <w:r>
        <w:rPr>
          <w:rFonts w:ascii="Times New Roman" w:eastAsia="宋体" w:hAnsi="Times New Roman"/>
          <w:color w:val="000000"/>
          <w:sz w:val="20"/>
          <w:szCs w:val="20"/>
        </w:rPr>
        <w:t>47</w:t>
      </w:r>
    </w:p>
    <w:p w14:paraId="7B6708AC" w14:textId="77777777" w:rsidR="0040300B" w:rsidRDefault="00BB2D44">
      <w:r>
        <w:pict w14:anchorId="7B671C3F">
          <v:rect id="_x0000_i1071" style="width:415.3pt;height:1.5pt" o:hralign="center" o:hrstd="t" o:hr="t" fillcolor="#a0a0a0" stroked="f"/>
        </w:pict>
      </w:r>
    </w:p>
    <w:p w14:paraId="7B6708AD" w14:textId="77777777" w:rsidR="0040300B" w:rsidRDefault="00BB2D44">
      <w:hyperlink r:id="rId93"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AE" w14:textId="77777777" w:rsidR="0040300B" w:rsidRDefault="00BB2D44">
      <w:pPr>
        <w:jc w:val="center"/>
      </w:pPr>
      <w:r>
        <w:rPr>
          <w:rFonts w:ascii="Times New Roman" w:eastAsia="宋体" w:hAnsi="Times New Roman"/>
          <w:b/>
          <w:bCs/>
          <w:color w:val="000000"/>
          <w:sz w:val="18"/>
          <w:szCs w:val="18"/>
        </w:rPr>
        <w:t>CISCO SYSTEMS, INC.</w:t>
      </w:r>
    </w:p>
    <w:p w14:paraId="7B6708AF"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7B6708B0" w14:textId="77777777" w:rsidR="0040300B" w:rsidRDefault="0040300B">
      <w:pPr>
        <w:jc w:val="center"/>
      </w:pPr>
    </w:p>
    <w:p w14:paraId="7B6708B1" w14:textId="77777777" w:rsidR="0040300B" w:rsidRDefault="00BB2D44">
      <w:pPr>
        <w:spacing w:before="120"/>
        <w:jc w:val="both"/>
      </w:pPr>
      <w:r>
        <w:rPr>
          <w:rFonts w:ascii="Times New Roman" w:eastAsia="宋体" w:hAnsi="Times New Roman"/>
          <w:b/>
          <w:bCs/>
          <w:color w:val="000000"/>
          <w:sz w:val="20"/>
          <w:szCs w:val="20"/>
        </w:rPr>
        <w:t>Loss Contingencies</w:t>
      </w:r>
    </w:p>
    <w:p w14:paraId="7B6708B2" w14:textId="77777777" w:rsidR="0040300B" w:rsidRDefault="00BB2D44">
      <w:pPr>
        <w:spacing w:before="120"/>
        <w:jc w:val="both"/>
      </w:pPr>
      <w:r>
        <w:rPr>
          <w:rFonts w:ascii="Times New Roman" w:eastAsia="宋体" w:hAnsi="Times New Roman"/>
          <w:color w:val="000000"/>
          <w:sz w:val="20"/>
          <w:szCs w:val="20"/>
        </w:rPr>
        <w:t xml:space="preserve">We are subject to the possibility of various losses arising in the ordinary course of business. We consider the likelihood of impairment of an asset or the incurrence of a liability, as well as our ability </w:t>
      </w:r>
      <w:r>
        <w:rPr>
          <w:rFonts w:ascii="Times New Roman" w:eastAsia="宋体" w:hAnsi="Times New Roman"/>
          <w:color w:val="000000"/>
          <w:sz w:val="20"/>
          <w:szCs w:val="20"/>
        </w:rPr>
        <w:t xml:space="preserve">to reasonably estimate the amount of loss, in determining loss contingencies. An estimated loss contingency is accrued when it is probable that an asset has been impaired or a liability has been incurred and the amount of loss can be reasonably estimated. </w:t>
      </w:r>
      <w:r>
        <w:rPr>
          <w:rFonts w:ascii="Times New Roman" w:eastAsia="宋体" w:hAnsi="Times New Roman"/>
          <w:color w:val="000000"/>
          <w:sz w:val="20"/>
          <w:szCs w:val="20"/>
        </w:rPr>
        <w:t xml:space="preserve">We regularly evaluate information available to us to determine whether such accruals should be made or adjusted and whether new accruals are required. </w:t>
      </w:r>
    </w:p>
    <w:p w14:paraId="7B6708B3" w14:textId="77777777" w:rsidR="0040300B" w:rsidRDefault="00BB2D44">
      <w:pPr>
        <w:spacing w:before="120"/>
        <w:jc w:val="both"/>
      </w:pPr>
      <w:r>
        <w:rPr>
          <w:rFonts w:ascii="Times New Roman" w:eastAsia="宋体" w:hAnsi="Times New Roman"/>
          <w:color w:val="000000"/>
          <w:sz w:val="20"/>
          <w:szCs w:val="20"/>
        </w:rPr>
        <w:t>Third parties, including customers, have in the past and may in the future assert claims or initiate lit</w:t>
      </w:r>
      <w:r>
        <w:rPr>
          <w:rFonts w:ascii="Times New Roman" w:eastAsia="宋体" w:hAnsi="Times New Roman"/>
          <w:color w:val="000000"/>
          <w:sz w:val="20"/>
          <w:szCs w:val="20"/>
        </w:rPr>
        <w:t>igation related to exclusive patent, copyright, trademark, and other intellectual property rights to technologies and related standards that are relevant to us. These assertions have increased over time as a result of our growth and the general increase in</w:t>
      </w:r>
      <w:r>
        <w:rPr>
          <w:rFonts w:ascii="Times New Roman" w:eastAsia="宋体" w:hAnsi="Times New Roman"/>
          <w:color w:val="000000"/>
          <w:sz w:val="20"/>
          <w:szCs w:val="20"/>
        </w:rPr>
        <w:t xml:space="preserve"> the pace of patent claims assertions, particularly in the United States. If any infringement or other intellectual property claim made against us by any third party is successful, or if we fail to develop non-infringing technology or license the proprieta</w:t>
      </w:r>
      <w:r>
        <w:rPr>
          <w:rFonts w:ascii="Times New Roman" w:eastAsia="宋体" w:hAnsi="Times New Roman"/>
          <w:color w:val="000000"/>
          <w:sz w:val="20"/>
          <w:szCs w:val="20"/>
        </w:rPr>
        <w:t>ry rights on commercially reasonable terms and conditions, our business, operating results, and financial condition could be materially and adversely affected.</w:t>
      </w:r>
    </w:p>
    <w:p w14:paraId="7B6708B4" w14:textId="77777777" w:rsidR="0040300B" w:rsidRDefault="00BB2D44">
      <w:pPr>
        <w:spacing w:before="120"/>
        <w:jc w:val="both"/>
      </w:pPr>
      <w:r>
        <w:rPr>
          <w:rFonts w:ascii="Times New Roman" w:eastAsia="宋体" w:hAnsi="Times New Roman"/>
          <w:b/>
          <w:bCs/>
          <w:color w:val="000000"/>
          <w:sz w:val="20"/>
          <w:szCs w:val="20"/>
        </w:rPr>
        <w:t>Goodwill and Purchased Intangible Asset Impairments</w:t>
      </w:r>
    </w:p>
    <w:p w14:paraId="7B6708B5" w14:textId="77777777" w:rsidR="0040300B" w:rsidRDefault="00BB2D44">
      <w:pPr>
        <w:spacing w:before="120"/>
        <w:jc w:val="both"/>
      </w:pPr>
      <w:r>
        <w:rPr>
          <w:rFonts w:ascii="Times New Roman" w:eastAsia="宋体" w:hAnsi="Times New Roman"/>
          <w:color w:val="000000"/>
          <w:sz w:val="20"/>
          <w:szCs w:val="20"/>
        </w:rPr>
        <w:t xml:space="preserve">Our methodology for allocating the purchase </w:t>
      </w:r>
      <w:r>
        <w:rPr>
          <w:rFonts w:ascii="Times New Roman" w:eastAsia="宋体" w:hAnsi="Times New Roman"/>
          <w:color w:val="000000"/>
          <w:sz w:val="20"/>
          <w:szCs w:val="20"/>
        </w:rPr>
        <w:t>price relating to purchase acquisitions is determined through established valuation techniques. Goodwill represents a residual value as of the acquisition date, which in most cases results in measuring goodwill as an excess of the purchase consideration tr</w:t>
      </w:r>
      <w:r>
        <w:rPr>
          <w:rFonts w:ascii="Times New Roman" w:eastAsia="宋体" w:hAnsi="Times New Roman"/>
          <w:color w:val="000000"/>
          <w:sz w:val="20"/>
          <w:szCs w:val="20"/>
        </w:rPr>
        <w:t>ansferred plus the fair value of any noncontrolling interest in the acquired company over the fair value of net assets acquired, including contingent consideration. We perform goodwill impairment tests on an annual basis in the fourth fiscal quarter and be</w:t>
      </w:r>
      <w:r>
        <w:rPr>
          <w:rFonts w:ascii="Times New Roman" w:eastAsia="宋体" w:hAnsi="Times New Roman"/>
          <w:color w:val="000000"/>
          <w:sz w:val="20"/>
          <w:szCs w:val="20"/>
        </w:rPr>
        <w:t>tween annual tests in certain circumstances for each reporting unit. The assessment of fair value for goodwill and purchased intangible assets is based on factors that market participants would use in an orderly transaction in accordance with the new accou</w:t>
      </w:r>
      <w:r>
        <w:rPr>
          <w:rFonts w:ascii="Times New Roman" w:eastAsia="宋体" w:hAnsi="Times New Roman"/>
          <w:color w:val="000000"/>
          <w:sz w:val="20"/>
          <w:szCs w:val="20"/>
        </w:rPr>
        <w:t>nting guidance for the fair value measurement of nonfinancial assets.</w:t>
      </w:r>
    </w:p>
    <w:p w14:paraId="7B6708B6" w14:textId="77777777" w:rsidR="0040300B" w:rsidRDefault="00BB2D44">
      <w:pPr>
        <w:spacing w:before="120"/>
        <w:jc w:val="both"/>
      </w:pPr>
      <w:r>
        <w:rPr>
          <w:rFonts w:ascii="Times New Roman" w:eastAsia="宋体" w:hAnsi="Times New Roman"/>
          <w:color w:val="000000"/>
          <w:sz w:val="20"/>
          <w:szCs w:val="20"/>
        </w:rPr>
        <w:t>In response to changes in industry and market conditions, we could be required to strategically realign our resources and consider restructuring, disposing of, or otherwise exiting busin</w:t>
      </w:r>
      <w:r>
        <w:rPr>
          <w:rFonts w:ascii="Times New Roman" w:eastAsia="宋体" w:hAnsi="Times New Roman"/>
          <w:color w:val="000000"/>
          <w:sz w:val="20"/>
          <w:szCs w:val="20"/>
        </w:rPr>
        <w:t xml:space="preserve">esses, which could result in an impairment of goodwill. There was no impairment of goodwill in each of the first nine months of fiscal 2021 and 2020. </w:t>
      </w:r>
    </w:p>
    <w:p w14:paraId="7B6708B7" w14:textId="77777777" w:rsidR="0040300B" w:rsidRDefault="00BB2D44">
      <w:pPr>
        <w:spacing w:before="120"/>
        <w:jc w:val="both"/>
      </w:pPr>
      <w:r>
        <w:rPr>
          <w:rFonts w:ascii="Times New Roman" w:eastAsia="宋体" w:hAnsi="Times New Roman"/>
          <w:color w:val="000000"/>
          <w:sz w:val="20"/>
          <w:szCs w:val="20"/>
        </w:rPr>
        <w:t>The fair value of acquired technology and patents, as well as acquired technology under development, is d</w:t>
      </w:r>
      <w:r>
        <w:rPr>
          <w:rFonts w:ascii="Times New Roman" w:eastAsia="宋体" w:hAnsi="Times New Roman"/>
          <w:color w:val="000000"/>
          <w:sz w:val="20"/>
          <w:szCs w:val="20"/>
        </w:rPr>
        <w:t>etermined at acquisition date primarily using the income approach, which discounts expected future cash flows to present value. The discount rates used in the present value calculations are typically derived from a weighted-average cost of capital analysis</w:t>
      </w:r>
      <w:r>
        <w:rPr>
          <w:rFonts w:ascii="Times New Roman" w:eastAsia="宋体" w:hAnsi="Times New Roman"/>
          <w:color w:val="000000"/>
          <w:sz w:val="20"/>
          <w:szCs w:val="20"/>
        </w:rPr>
        <w:t xml:space="preserve"> and then adjusted to reflect risks inherent in the development lifecycle as appropriate. We consider the pricing model for products related to these acquisitions to be standard within the high-technology communications industry, and the applicable discoun</w:t>
      </w:r>
      <w:r>
        <w:rPr>
          <w:rFonts w:ascii="Times New Roman" w:eastAsia="宋体" w:hAnsi="Times New Roman"/>
          <w:color w:val="000000"/>
          <w:sz w:val="20"/>
          <w:szCs w:val="20"/>
        </w:rPr>
        <w:t>t rates represent the rates that market participants would use for valuation of such intangible assets.</w:t>
      </w:r>
    </w:p>
    <w:p w14:paraId="7B6708B8" w14:textId="77777777" w:rsidR="0040300B" w:rsidRDefault="00BB2D44">
      <w:pPr>
        <w:spacing w:before="120"/>
        <w:jc w:val="both"/>
      </w:pPr>
      <w:r>
        <w:rPr>
          <w:rFonts w:ascii="Times New Roman" w:eastAsia="宋体" w:hAnsi="Times New Roman"/>
          <w:color w:val="000000"/>
          <w:sz w:val="20"/>
          <w:szCs w:val="20"/>
        </w:rPr>
        <w:t>We make judgments about the recoverability of purchased intangible assets with finite lives whenever events or changes in circumstances indicate that an</w:t>
      </w:r>
      <w:r>
        <w:rPr>
          <w:rFonts w:ascii="Times New Roman" w:eastAsia="宋体" w:hAnsi="Times New Roman"/>
          <w:color w:val="000000"/>
          <w:sz w:val="20"/>
          <w:szCs w:val="20"/>
        </w:rPr>
        <w:t xml:space="preserve"> impairment may exist. Recoverability of purchased intangible assets with finite lives is measured by comparing the carrying amount of the asset to the future undiscounted cash flows the asset is expected to generate. We review indefinite-lived intangible </w:t>
      </w:r>
      <w:r>
        <w:rPr>
          <w:rFonts w:ascii="Times New Roman" w:eastAsia="宋体" w:hAnsi="Times New Roman"/>
          <w:color w:val="000000"/>
          <w:sz w:val="20"/>
          <w:szCs w:val="20"/>
        </w:rPr>
        <w:t>assets for impairment annually or whenever events or changes in circumstances indicate that the asset might be impaired. If the asset is considered to be impaired, the amount of any impairment is measured as the difference between the carrying value and th</w:t>
      </w:r>
      <w:r>
        <w:rPr>
          <w:rFonts w:ascii="Times New Roman" w:eastAsia="宋体" w:hAnsi="Times New Roman"/>
          <w:color w:val="000000"/>
          <w:sz w:val="20"/>
          <w:szCs w:val="20"/>
        </w:rPr>
        <w:t>e fair value of the impaired asset. Assumptions and estimates about future values and remaining useful lives of our purchased intangible assets are complex and subjective. They can be affected by a variety of factors, including external factors such as ind</w:t>
      </w:r>
      <w:r>
        <w:rPr>
          <w:rFonts w:ascii="Times New Roman" w:eastAsia="宋体" w:hAnsi="Times New Roman"/>
          <w:color w:val="000000"/>
          <w:sz w:val="20"/>
          <w:szCs w:val="20"/>
        </w:rPr>
        <w:t xml:space="preserve">ustry and economic trends, and internal factors such as changes in our business strategy and our internal forecasts. </w:t>
      </w:r>
    </w:p>
    <w:p w14:paraId="7B6708B9" w14:textId="77777777" w:rsidR="0040300B" w:rsidRDefault="00BB2D44">
      <w:pPr>
        <w:spacing w:before="120"/>
        <w:jc w:val="both"/>
      </w:pPr>
      <w:r>
        <w:rPr>
          <w:rFonts w:ascii="Times New Roman" w:eastAsia="宋体" w:hAnsi="Times New Roman"/>
          <w:color w:val="000000"/>
          <w:sz w:val="20"/>
          <w:szCs w:val="20"/>
        </w:rPr>
        <w:t xml:space="preserve">Our ongoing consideration of all the factors described previously could result in impairment charges in the future, which could adversely affect our net income. </w:t>
      </w:r>
    </w:p>
    <w:p w14:paraId="7B6708BA" w14:textId="77777777" w:rsidR="0040300B" w:rsidRDefault="00BB2D44">
      <w:pPr>
        <w:spacing w:before="120"/>
        <w:jc w:val="both"/>
      </w:pPr>
      <w:r>
        <w:rPr>
          <w:rFonts w:ascii="Times New Roman" w:eastAsia="宋体" w:hAnsi="Times New Roman"/>
          <w:b/>
          <w:bCs/>
          <w:color w:val="000000"/>
          <w:sz w:val="20"/>
          <w:szCs w:val="20"/>
        </w:rPr>
        <w:t>Income Taxes</w:t>
      </w:r>
    </w:p>
    <w:p w14:paraId="7B6708BB" w14:textId="77777777" w:rsidR="0040300B" w:rsidRDefault="00BB2D44">
      <w:pPr>
        <w:spacing w:before="120"/>
        <w:jc w:val="both"/>
      </w:pPr>
      <w:r>
        <w:rPr>
          <w:rFonts w:ascii="Times New Roman" w:eastAsia="宋体" w:hAnsi="Times New Roman"/>
          <w:color w:val="000000"/>
          <w:sz w:val="20"/>
          <w:szCs w:val="20"/>
        </w:rPr>
        <w:t>We are subject to income taxes in the United States and numerous foreign jurisdic</w:t>
      </w:r>
      <w:r>
        <w:rPr>
          <w:rFonts w:ascii="Times New Roman" w:eastAsia="宋体" w:hAnsi="Times New Roman"/>
          <w:color w:val="000000"/>
          <w:sz w:val="20"/>
          <w:szCs w:val="20"/>
        </w:rPr>
        <w:t>tions. Our effective tax rates differ from the statutory rate, primarily due to the tax impact of state taxes, foreign operations, R&amp;D tax credits, foreign-derived intangible income deductions, global intangible low-taxed income, tax audit settlements, non</w:t>
      </w:r>
      <w:r>
        <w:rPr>
          <w:rFonts w:ascii="Times New Roman" w:eastAsia="宋体" w:hAnsi="Times New Roman"/>
          <w:color w:val="000000"/>
          <w:sz w:val="20"/>
          <w:szCs w:val="20"/>
        </w:rPr>
        <w:t>deductible compensation, international realignments, and transfer pricing adjustments. Our effective tax rate was 20.3% and 19.4% in the third quarter of fiscal 2021 and 2020, respectively, and 20.4% and 19.6% in the first nine months of fiscal 2021 and 20</w:t>
      </w:r>
      <w:r>
        <w:rPr>
          <w:rFonts w:ascii="Times New Roman" w:eastAsia="宋体" w:hAnsi="Times New Roman"/>
          <w:color w:val="000000"/>
          <w:sz w:val="20"/>
          <w:szCs w:val="20"/>
        </w:rPr>
        <w:t>20, respectively.</w:t>
      </w:r>
    </w:p>
    <w:p w14:paraId="7B6708BC" w14:textId="77777777" w:rsidR="0040300B" w:rsidRDefault="00BB2D44">
      <w:pPr>
        <w:spacing w:before="120"/>
        <w:jc w:val="both"/>
      </w:pPr>
      <w:r>
        <w:rPr>
          <w:rFonts w:ascii="Times New Roman" w:eastAsia="宋体" w:hAnsi="Times New Roman"/>
          <w:color w:val="000000"/>
          <w:sz w:val="20"/>
          <w:szCs w:val="20"/>
        </w:rPr>
        <w:t>Significant judgment is required in evaluating our uncertain tax positions and determining our provision for income taxes. Although we believe our reserves are reasonable, no assurance can be given that the final tax outcome of these matt</w:t>
      </w:r>
      <w:r>
        <w:rPr>
          <w:rFonts w:ascii="Times New Roman" w:eastAsia="宋体" w:hAnsi="Times New Roman"/>
          <w:color w:val="000000"/>
          <w:sz w:val="20"/>
          <w:szCs w:val="20"/>
        </w:rPr>
        <w:t xml:space="preserve">ers will not be different from that which is reflected in our historical income tax provisions and accruals. We adjust these reserves in light of changing facts and circumstances, such as the closing of a tax audit or the refinement of an estimate. To the </w:t>
      </w:r>
      <w:r>
        <w:rPr>
          <w:rFonts w:ascii="Times New Roman" w:eastAsia="宋体" w:hAnsi="Times New Roman"/>
          <w:color w:val="000000"/>
          <w:sz w:val="20"/>
          <w:szCs w:val="20"/>
        </w:rPr>
        <w:t xml:space="preserve">extent that the </w:t>
      </w:r>
    </w:p>
    <w:p w14:paraId="7B6708BD" w14:textId="77777777" w:rsidR="0040300B" w:rsidRDefault="00BB2D44">
      <w:pPr>
        <w:jc w:val="center"/>
      </w:pPr>
      <w:r>
        <w:rPr>
          <w:rFonts w:ascii="Times New Roman" w:eastAsia="宋体" w:hAnsi="Times New Roman"/>
          <w:color w:val="000000"/>
          <w:sz w:val="20"/>
          <w:szCs w:val="20"/>
        </w:rPr>
        <w:t>48</w:t>
      </w:r>
    </w:p>
    <w:p w14:paraId="7B6708BE" w14:textId="77777777" w:rsidR="0040300B" w:rsidRDefault="00BB2D44">
      <w:r>
        <w:pict w14:anchorId="7B671C40">
          <v:rect id="_x0000_i1072" style="width:415.3pt;height:1.5pt" o:hralign="center" o:hrstd="t" o:hr="t" fillcolor="#a0a0a0" stroked="f"/>
        </w:pict>
      </w:r>
    </w:p>
    <w:p w14:paraId="7B6708BF" w14:textId="77777777" w:rsidR="0040300B" w:rsidRDefault="00BB2D44">
      <w:hyperlink r:id="rId94"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C0" w14:textId="77777777" w:rsidR="0040300B" w:rsidRDefault="00BB2D44">
      <w:pPr>
        <w:jc w:val="center"/>
      </w:pPr>
      <w:r>
        <w:rPr>
          <w:rFonts w:ascii="Times New Roman" w:eastAsia="宋体" w:hAnsi="Times New Roman"/>
          <w:b/>
          <w:bCs/>
          <w:color w:val="000000"/>
          <w:sz w:val="18"/>
          <w:szCs w:val="18"/>
        </w:rPr>
        <w:t>CISCO SYSTEMS, INC.</w:t>
      </w:r>
    </w:p>
    <w:p w14:paraId="7B6708C1"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7B6708C2" w14:textId="77777777" w:rsidR="0040300B" w:rsidRDefault="0040300B">
      <w:pPr>
        <w:jc w:val="center"/>
      </w:pPr>
    </w:p>
    <w:p w14:paraId="7B6708C3" w14:textId="77777777" w:rsidR="0040300B" w:rsidRDefault="00BB2D44">
      <w:pPr>
        <w:spacing w:before="120"/>
        <w:jc w:val="both"/>
      </w:pPr>
      <w:r>
        <w:rPr>
          <w:rFonts w:ascii="Times New Roman" w:eastAsia="宋体" w:hAnsi="Times New Roman"/>
          <w:color w:val="000000"/>
          <w:sz w:val="20"/>
          <w:szCs w:val="20"/>
        </w:rPr>
        <w:t>final tax outcome of these matters is different than the amounts recorded, such differences will impact the provision for income taxes in the period in which such determination is made. The provision for income taxes includes</w:t>
      </w:r>
      <w:r>
        <w:rPr>
          <w:rFonts w:ascii="Times New Roman" w:eastAsia="宋体" w:hAnsi="Times New Roman"/>
          <w:color w:val="000000"/>
          <w:sz w:val="20"/>
          <w:szCs w:val="20"/>
        </w:rPr>
        <w:t xml:space="preserve"> the impact of reserve provisions and changes to reserves that are considered appropriate, as well as the related net interest and penalties.</w:t>
      </w:r>
    </w:p>
    <w:p w14:paraId="7B6708C4" w14:textId="77777777" w:rsidR="0040300B" w:rsidRDefault="00BB2D44">
      <w:pPr>
        <w:spacing w:before="120"/>
        <w:jc w:val="both"/>
      </w:pPr>
      <w:r>
        <w:rPr>
          <w:rFonts w:ascii="Times New Roman" w:eastAsia="宋体" w:hAnsi="Times New Roman"/>
          <w:color w:val="000000"/>
          <w:sz w:val="20"/>
          <w:szCs w:val="20"/>
        </w:rPr>
        <w:t>Significant judgment is also required in determining any valuation allowance recorded against deferred tax assets.</w:t>
      </w:r>
      <w:r>
        <w:rPr>
          <w:rFonts w:ascii="Times New Roman" w:eastAsia="宋体" w:hAnsi="Times New Roman"/>
          <w:color w:val="000000"/>
          <w:sz w:val="20"/>
          <w:szCs w:val="20"/>
        </w:rPr>
        <w:t xml:space="preserve"> In assessing the need for a valuation allowance, we consider all available evidence, including past operating results, estimates of future taxable income, and the feasibility of tax planning strategies. In the event that we change our determination as to </w:t>
      </w:r>
      <w:r>
        <w:rPr>
          <w:rFonts w:ascii="Times New Roman" w:eastAsia="宋体" w:hAnsi="Times New Roman"/>
          <w:color w:val="000000"/>
          <w:sz w:val="20"/>
          <w:szCs w:val="20"/>
        </w:rPr>
        <w:t>the amount of deferred tax assets that can be realized, we will adjust our valuation allowance with a corresponding impact to the provision for income taxes in the period in which such determination is made.</w:t>
      </w:r>
    </w:p>
    <w:p w14:paraId="7B6708C5" w14:textId="77777777" w:rsidR="0040300B" w:rsidRDefault="00BB2D44">
      <w:pPr>
        <w:spacing w:before="120"/>
        <w:jc w:val="both"/>
      </w:pPr>
      <w:r>
        <w:rPr>
          <w:rFonts w:ascii="Times New Roman" w:eastAsia="宋体" w:hAnsi="Times New Roman"/>
          <w:color w:val="000000"/>
          <w:sz w:val="20"/>
          <w:szCs w:val="20"/>
        </w:rPr>
        <w:t>Our provision for income taxes is subject to vol</w:t>
      </w:r>
      <w:r>
        <w:rPr>
          <w:rFonts w:ascii="Times New Roman" w:eastAsia="宋体" w:hAnsi="Times New Roman"/>
          <w:color w:val="000000"/>
          <w:sz w:val="20"/>
          <w:szCs w:val="20"/>
        </w:rPr>
        <w:t>atility and could be adversely impacted by earnings being lower than anticipated in countries that have lower tax rates and higher than anticipated in countries that have higher tax rates; by changes in the valuation of our deferred tax assets and liabilit</w:t>
      </w:r>
      <w:r>
        <w:rPr>
          <w:rFonts w:ascii="Times New Roman" w:eastAsia="宋体" w:hAnsi="Times New Roman"/>
          <w:color w:val="000000"/>
          <w:sz w:val="20"/>
          <w:szCs w:val="20"/>
        </w:rPr>
        <w:t>ies; by changes to foreign-derived intangible income deduction, global intangible low-tax income and base erosion and anti-abuse tax laws, regulations, or interpretations thereof; by expiration of or lapses in tax incentives; by transfer pricing adjustment</w:t>
      </w:r>
      <w:r>
        <w:rPr>
          <w:rFonts w:ascii="Times New Roman" w:eastAsia="宋体" w:hAnsi="Times New Roman"/>
          <w:color w:val="000000"/>
          <w:sz w:val="20"/>
          <w:szCs w:val="20"/>
        </w:rPr>
        <w:t>s, including the effect of acquisitions on our legal structure; by tax effects of nondeductible compensation; by tax costs related to intercompany realignments; by changes in accounting principles; or by changes in tax laws and regulations, treaties, or in</w:t>
      </w:r>
      <w:r>
        <w:rPr>
          <w:rFonts w:ascii="Times New Roman" w:eastAsia="宋体" w:hAnsi="Times New Roman"/>
          <w:color w:val="000000"/>
          <w:sz w:val="20"/>
          <w:szCs w:val="20"/>
        </w:rPr>
        <w:t xml:space="preserve">terpretations thereof, including changes to the taxation of earnings of our foreign subsidiaries, the deductibility of expenses attributable to foreign income, and the foreign tax credit rules. Significant judgment is required to determine the recognition </w:t>
      </w:r>
      <w:r>
        <w:rPr>
          <w:rFonts w:ascii="Times New Roman" w:eastAsia="宋体" w:hAnsi="Times New Roman"/>
          <w:color w:val="000000"/>
          <w:sz w:val="20"/>
          <w:szCs w:val="20"/>
        </w:rPr>
        <w:t>and measurement attributes prescribed in the accounting guidance for uncertainty in income taxes. The Organisation for Economic Co-operation and Development (OECD), an international association comprised of 37 countries, including the United States, has ma</w:t>
      </w:r>
      <w:r>
        <w:rPr>
          <w:rFonts w:ascii="Times New Roman" w:eastAsia="宋体" w:hAnsi="Times New Roman"/>
          <w:color w:val="000000"/>
          <w:sz w:val="20"/>
          <w:szCs w:val="20"/>
        </w:rPr>
        <w:t>de changes to numerous long-standing tax principles. There can be no assurance that these changes, once adopted by countries, will not have an adverse impact on our provision for income taxes. Further, as a result of certain of our ongoing employment and c</w:t>
      </w:r>
      <w:r>
        <w:rPr>
          <w:rFonts w:ascii="Times New Roman" w:eastAsia="宋体" w:hAnsi="Times New Roman"/>
          <w:color w:val="000000"/>
          <w:sz w:val="20"/>
          <w:szCs w:val="20"/>
        </w:rPr>
        <w:t>apital investment actions and commitments, our income in certain countries was subject to reduced tax rates. Our failure to meet these commitments could adversely impact our provision for income taxes. In addition, we are subject to the continuous examinat</w:t>
      </w:r>
      <w:r>
        <w:rPr>
          <w:rFonts w:ascii="Times New Roman" w:eastAsia="宋体" w:hAnsi="Times New Roman"/>
          <w:color w:val="000000"/>
          <w:sz w:val="20"/>
          <w:szCs w:val="20"/>
        </w:rPr>
        <w:t>ion of our income tax returns by the Internal Revenue Service (IRS) and other tax authorities. We regularly assess the likelihood of adverse outcomes resulting from these examinations to determine the adequacy of our provision for income taxes. There can b</w:t>
      </w:r>
      <w:r>
        <w:rPr>
          <w:rFonts w:ascii="Times New Roman" w:eastAsia="宋体" w:hAnsi="Times New Roman"/>
          <w:color w:val="000000"/>
          <w:sz w:val="20"/>
          <w:szCs w:val="20"/>
        </w:rPr>
        <w:t xml:space="preserve">e no assurance that the outcomes from these continuous examinations will not have an adverse impact on our operating results and financial condition. </w:t>
      </w:r>
    </w:p>
    <w:p w14:paraId="7B6708C6" w14:textId="77777777" w:rsidR="0040300B" w:rsidRDefault="00BB2D44">
      <w:pPr>
        <w:jc w:val="center"/>
      </w:pPr>
      <w:r>
        <w:rPr>
          <w:rFonts w:ascii="Times New Roman" w:eastAsia="宋体" w:hAnsi="Times New Roman"/>
          <w:color w:val="000000"/>
          <w:sz w:val="20"/>
          <w:szCs w:val="20"/>
        </w:rPr>
        <w:t>49</w:t>
      </w:r>
    </w:p>
    <w:p w14:paraId="7B6708C7" w14:textId="77777777" w:rsidR="0040300B" w:rsidRDefault="00BB2D44">
      <w:r>
        <w:pict w14:anchorId="7B671C41">
          <v:rect id="_x0000_i1073" style="width:415.3pt;height:1.5pt" o:hralign="center" o:hrstd="t" o:hr="t" fillcolor="#a0a0a0" stroked="f"/>
        </w:pict>
      </w:r>
    </w:p>
    <w:p w14:paraId="7B6708C8" w14:textId="77777777" w:rsidR="0040300B" w:rsidRDefault="00BB2D44">
      <w:hyperlink r:id="rId95"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8C9" w14:textId="77777777" w:rsidR="0040300B" w:rsidRDefault="00BB2D44">
      <w:pPr>
        <w:jc w:val="center"/>
      </w:pPr>
      <w:r>
        <w:rPr>
          <w:rFonts w:ascii="Times New Roman" w:eastAsia="宋体" w:hAnsi="Times New Roman"/>
          <w:b/>
          <w:bCs/>
          <w:color w:val="000000"/>
          <w:sz w:val="18"/>
          <w:szCs w:val="18"/>
        </w:rPr>
        <w:t>CISCO SYSTEMS, INC.</w:t>
      </w:r>
    </w:p>
    <w:p w14:paraId="7B6708CA"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08CB" w14:textId="77777777" w:rsidR="0040300B" w:rsidRDefault="0040300B">
      <w:pPr>
        <w:jc w:val="center"/>
      </w:pPr>
    </w:p>
    <w:p w14:paraId="7B6708CC" w14:textId="77777777" w:rsidR="0040300B" w:rsidRDefault="00BB2D44">
      <w:pPr>
        <w:jc w:val="both"/>
      </w:pPr>
      <w:r>
        <w:rPr>
          <w:rFonts w:ascii="Times New Roman" w:eastAsia="宋体" w:hAnsi="Times New Roman"/>
          <w:b/>
          <w:bCs/>
          <w:color w:val="000000"/>
          <w:sz w:val="22"/>
          <w:szCs w:val="22"/>
        </w:rPr>
        <w:t>RESULTS OF OPERATIONS</w:t>
      </w:r>
    </w:p>
    <w:p w14:paraId="7B6708CD" w14:textId="77777777" w:rsidR="0040300B" w:rsidRDefault="00BB2D44">
      <w:pPr>
        <w:spacing w:before="120"/>
        <w:jc w:val="both"/>
      </w:pPr>
      <w:r>
        <w:rPr>
          <w:rFonts w:ascii="Times New Roman" w:eastAsia="宋体" w:hAnsi="Times New Roman"/>
          <w:b/>
          <w:bCs/>
          <w:color w:val="000000"/>
          <w:sz w:val="20"/>
          <w:szCs w:val="20"/>
        </w:rPr>
        <w:t>Revenue</w:t>
      </w:r>
    </w:p>
    <w:p w14:paraId="7B6708CE" w14:textId="77777777" w:rsidR="0040300B" w:rsidRDefault="00BB2D44">
      <w:pPr>
        <w:spacing w:before="120"/>
        <w:jc w:val="both"/>
      </w:pPr>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breakdown of revenue between product and service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91"/>
        <w:gridCol w:w="948"/>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40300B" w14:paraId="7B670902" w14:textId="77777777">
        <w:tc>
          <w:tcPr>
            <w:tcW w:w="50" w:type="pct"/>
            <w:shd w:val="clear" w:color="auto" w:fill="auto"/>
          </w:tcPr>
          <w:p w14:paraId="7B6708CF" w14:textId="77777777" w:rsidR="0040300B" w:rsidRDefault="0040300B">
            <w:pPr>
              <w:rPr>
                <w:rFonts w:ascii="宋体"/>
              </w:rPr>
            </w:pPr>
          </w:p>
        </w:tc>
        <w:tc>
          <w:tcPr>
            <w:tcW w:w="997" w:type="pct"/>
            <w:shd w:val="clear" w:color="auto" w:fill="auto"/>
          </w:tcPr>
          <w:p w14:paraId="7B6708D0" w14:textId="77777777" w:rsidR="0040300B" w:rsidRDefault="0040300B">
            <w:pPr>
              <w:rPr>
                <w:rFonts w:ascii="宋体"/>
              </w:rPr>
            </w:pPr>
          </w:p>
        </w:tc>
        <w:tc>
          <w:tcPr>
            <w:tcW w:w="5" w:type="pct"/>
            <w:shd w:val="clear" w:color="auto" w:fill="auto"/>
          </w:tcPr>
          <w:p w14:paraId="7B6708D1" w14:textId="77777777" w:rsidR="0040300B" w:rsidRDefault="0040300B">
            <w:pPr>
              <w:rPr>
                <w:rFonts w:ascii="宋体"/>
              </w:rPr>
            </w:pPr>
          </w:p>
        </w:tc>
        <w:tc>
          <w:tcPr>
            <w:tcW w:w="5" w:type="pct"/>
            <w:shd w:val="clear" w:color="auto" w:fill="auto"/>
          </w:tcPr>
          <w:p w14:paraId="7B6708D2" w14:textId="77777777" w:rsidR="0040300B" w:rsidRDefault="0040300B">
            <w:pPr>
              <w:rPr>
                <w:rFonts w:ascii="宋体"/>
              </w:rPr>
            </w:pPr>
          </w:p>
        </w:tc>
        <w:tc>
          <w:tcPr>
            <w:tcW w:w="26" w:type="pct"/>
            <w:shd w:val="clear" w:color="auto" w:fill="auto"/>
          </w:tcPr>
          <w:p w14:paraId="7B6708D3" w14:textId="77777777" w:rsidR="0040300B" w:rsidRDefault="0040300B">
            <w:pPr>
              <w:rPr>
                <w:rFonts w:ascii="宋体"/>
              </w:rPr>
            </w:pPr>
          </w:p>
        </w:tc>
        <w:tc>
          <w:tcPr>
            <w:tcW w:w="5" w:type="pct"/>
            <w:shd w:val="clear" w:color="auto" w:fill="auto"/>
          </w:tcPr>
          <w:p w14:paraId="7B6708D4" w14:textId="77777777" w:rsidR="0040300B" w:rsidRDefault="0040300B">
            <w:pPr>
              <w:rPr>
                <w:rFonts w:ascii="宋体"/>
              </w:rPr>
            </w:pPr>
          </w:p>
        </w:tc>
        <w:tc>
          <w:tcPr>
            <w:tcW w:w="50" w:type="pct"/>
            <w:shd w:val="clear" w:color="auto" w:fill="auto"/>
          </w:tcPr>
          <w:p w14:paraId="7B6708D5" w14:textId="77777777" w:rsidR="0040300B" w:rsidRDefault="0040300B">
            <w:pPr>
              <w:rPr>
                <w:rFonts w:ascii="宋体"/>
              </w:rPr>
            </w:pPr>
          </w:p>
        </w:tc>
        <w:tc>
          <w:tcPr>
            <w:tcW w:w="420" w:type="pct"/>
            <w:shd w:val="clear" w:color="auto" w:fill="auto"/>
          </w:tcPr>
          <w:p w14:paraId="7B6708D6" w14:textId="77777777" w:rsidR="0040300B" w:rsidRDefault="0040300B">
            <w:pPr>
              <w:rPr>
                <w:rFonts w:ascii="宋体"/>
              </w:rPr>
            </w:pPr>
          </w:p>
        </w:tc>
        <w:tc>
          <w:tcPr>
            <w:tcW w:w="5" w:type="pct"/>
            <w:shd w:val="clear" w:color="auto" w:fill="auto"/>
          </w:tcPr>
          <w:p w14:paraId="7B6708D7" w14:textId="77777777" w:rsidR="0040300B" w:rsidRDefault="0040300B">
            <w:pPr>
              <w:rPr>
                <w:rFonts w:ascii="宋体"/>
              </w:rPr>
            </w:pPr>
          </w:p>
        </w:tc>
        <w:tc>
          <w:tcPr>
            <w:tcW w:w="5" w:type="pct"/>
            <w:shd w:val="clear" w:color="auto" w:fill="auto"/>
          </w:tcPr>
          <w:p w14:paraId="7B6708D8" w14:textId="77777777" w:rsidR="0040300B" w:rsidRDefault="0040300B">
            <w:pPr>
              <w:rPr>
                <w:rFonts w:ascii="宋体"/>
              </w:rPr>
            </w:pPr>
          </w:p>
        </w:tc>
        <w:tc>
          <w:tcPr>
            <w:tcW w:w="26" w:type="pct"/>
            <w:shd w:val="clear" w:color="auto" w:fill="auto"/>
          </w:tcPr>
          <w:p w14:paraId="7B6708D9" w14:textId="77777777" w:rsidR="0040300B" w:rsidRDefault="0040300B">
            <w:pPr>
              <w:rPr>
                <w:rFonts w:ascii="宋体"/>
              </w:rPr>
            </w:pPr>
          </w:p>
        </w:tc>
        <w:tc>
          <w:tcPr>
            <w:tcW w:w="5" w:type="pct"/>
            <w:shd w:val="clear" w:color="auto" w:fill="auto"/>
          </w:tcPr>
          <w:p w14:paraId="7B6708DA" w14:textId="77777777" w:rsidR="0040300B" w:rsidRDefault="0040300B">
            <w:pPr>
              <w:rPr>
                <w:rFonts w:ascii="宋体"/>
              </w:rPr>
            </w:pPr>
          </w:p>
        </w:tc>
        <w:tc>
          <w:tcPr>
            <w:tcW w:w="50" w:type="pct"/>
            <w:shd w:val="clear" w:color="auto" w:fill="auto"/>
          </w:tcPr>
          <w:p w14:paraId="7B6708DB" w14:textId="77777777" w:rsidR="0040300B" w:rsidRDefault="0040300B">
            <w:pPr>
              <w:rPr>
                <w:rFonts w:ascii="宋体"/>
              </w:rPr>
            </w:pPr>
          </w:p>
        </w:tc>
        <w:tc>
          <w:tcPr>
            <w:tcW w:w="420" w:type="pct"/>
            <w:shd w:val="clear" w:color="auto" w:fill="auto"/>
          </w:tcPr>
          <w:p w14:paraId="7B6708DC" w14:textId="77777777" w:rsidR="0040300B" w:rsidRDefault="0040300B">
            <w:pPr>
              <w:rPr>
                <w:rFonts w:ascii="宋体"/>
              </w:rPr>
            </w:pPr>
          </w:p>
        </w:tc>
        <w:tc>
          <w:tcPr>
            <w:tcW w:w="5" w:type="pct"/>
            <w:shd w:val="clear" w:color="auto" w:fill="auto"/>
          </w:tcPr>
          <w:p w14:paraId="7B6708DD" w14:textId="77777777" w:rsidR="0040300B" w:rsidRDefault="0040300B">
            <w:pPr>
              <w:rPr>
                <w:rFonts w:ascii="宋体"/>
              </w:rPr>
            </w:pPr>
          </w:p>
        </w:tc>
        <w:tc>
          <w:tcPr>
            <w:tcW w:w="5" w:type="pct"/>
            <w:shd w:val="clear" w:color="auto" w:fill="auto"/>
          </w:tcPr>
          <w:p w14:paraId="7B6708DE" w14:textId="77777777" w:rsidR="0040300B" w:rsidRDefault="0040300B">
            <w:pPr>
              <w:rPr>
                <w:rFonts w:ascii="宋体"/>
              </w:rPr>
            </w:pPr>
          </w:p>
        </w:tc>
        <w:tc>
          <w:tcPr>
            <w:tcW w:w="26" w:type="pct"/>
            <w:shd w:val="clear" w:color="auto" w:fill="auto"/>
          </w:tcPr>
          <w:p w14:paraId="7B6708DF" w14:textId="77777777" w:rsidR="0040300B" w:rsidRDefault="0040300B">
            <w:pPr>
              <w:rPr>
                <w:rFonts w:ascii="宋体"/>
              </w:rPr>
            </w:pPr>
          </w:p>
        </w:tc>
        <w:tc>
          <w:tcPr>
            <w:tcW w:w="5" w:type="pct"/>
            <w:shd w:val="clear" w:color="auto" w:fill="auto"/>
          </w:tcPr>
          <w:p w14:paraId="7B6708E0" w14:textId="77777777" w:rsidR="0040300B" w:rsidRDefault="0040300B">
            <w:pPr>
              <w:rPr>
                <w:rFonts w:ascii="宋体"/>
              </w:rPr>
            </w:pPr>
          </w:p>
        </w:tc>
        <w:tc>
          <w:tcPr>
            <w:tcW w:w="50" w:type="pct"/>
            <w:shd w:val="clear" w:color="auto" w:fill="auto"/>
          </w:tcPr>
          <w:p w14:paraId="7B6708E1" w14:textId="77777777" w:rsidR="0040300B" w:rsidRDefault="0040300B">
            <w:pPr>
              <w:rPr>
                <w:rFonts w:ascii="宋体"/>
              </w:rPr>
            </w:pPr>
          </w:p>
        </w:tc>
        <w:tc>
          <w:tcPr>
            <w:tcW w:w="383" w:type="pct"/>
            <w:shd w:val="clear" w:color="auto" w:fill="auto"/>
          </w:tcPr>
          <w:p w14:paraId="7B6708E2" w14:textId="77777777" w:rsidR="0040300B" w:rsidRDefault="0040300B">
            <w:pPr>
              <w:rPr>
                <w:rFonts w:ascii="宋体"/>
              </w:rPr>
            </w:pPr>
          </w:p>
        </w:tc>
        <w:tc>
          <w:tcPr>
            <w:tcW w:w="5" w:type="pct"/>
            <w:shd w:val="clear" w:color="auto" w:fill="auto"/>
          </w:tcPr>
          <w:p w14:paraId="7B6708E3" w14:textId="77777777" w:rsidR="0040300B" w:rsidRDefault="0040300B">
            <w:pPr>
              <w:rPr>
                <w:rFonts w:ascii="宋体"/>
              </w:rPr>
            </w:pPr>
          </w:p>
        </w:tc>
        <w:tc>
          <w:tcPr>
            <w:tcW w:w="5" w:type="pct"/>
            <w:shd w:val="clear" w:color="auto" w:fill="auto"/>
          </w:tcPr>
          <w:p w14:paraId="7B6708E4" w14:textId="77777777" w:rsidR="0040300B" w:rsidRDefault="0040300B">
            <w:pPr>
              <w:rPr>
                <w:rFonts w:ascii="宋体"/>
              </w:rPr>
            </w:pPr>
          </w:p>
        </w:tc>
        <w:tc>
          <w:tcPr>
            <w:tcW w:w="26" w:type="pct"/>
            <w:shd w:val="clear" w:color="auto" w:fill="auto"/>
          </w:tcPr>
          <w:p w14:paraId="7B6708E5" w14:textId="77777777" w:rsidR="0040300B" w:rsidRDefault="0040300B">
            <w:pPr>
              <w:rPr>
                <w:rFonts w:ascii="宋体"/>
              </w:rPr>
            </w:pPr>
          </w:p>
        </w:tc>
        <w:tc>
          <w:tcPr>
            <w:tcW w:w="5" w:type="pct"/>
            <w:shd w:val="clear" w:color="auto" w:fill="auto"/>
          </w:tcPr>
          <w:p w14:paraId="7B6708E6" w14:textId="77777777" w:rsidR="0040300B" w:rsidRDefault="0040300B">
            <w:pPr>
              <w:rPr>
                <w:rFonts w:ascii="宋体"/>
              </w:rPr>
            </w:pPr>
          </w:p>
        </w:tc>
        <w:tc>
          <w:tcPr>
            <w:tcW w:w="50" w:type="pct"/>
            <w:shd w:val="clear" w:color="auto" w:fill="auto"/>
          </w:tcPr>
          <w:p w14:paraId="7B6708E7" w14:textId="77777777" w:rsidR="0040300B" w:rsidRDefault="0040300B">
            <w:pPr>
              <w:rPr>
                <w:rFonts w:ascii="宋体"/>
              </w:rPr>
            </w:pPr>
          </w:p>
        </w:tc>
        <w:tc>
          <w:tcPr>
            <w:tcW w:w="383" w:type="pct"/>
            <w:shd w:val="clear" w:color="auto" w:fill="auto"/>
          </w:tcPr>
          <w:p w14:paraId="7B6708E8" w14:textId="77777777" w:rsidR="0040300B" w:rsidRDefault="0040300B">
            <w:pPr>
              <w:rPr>
                <w:rFonts w:ascii="宋体"/>
              </w:rPr>
            </w:pPr>
          </w:p>
        </w:tc>
        <w:tc>
          <w:tcPr>
            <w:tcW w:w="5" w:type="pct"/>
            <w:shd w:val="clear" w:color="auto" w:fill="auto"/>
          </w:tcPr>
          <w:p w14:paraId="7B6708E9" w14:textId="77777777" w:rsidR="0040300B" w:rsidRDefault="0040300B">
            <w:pPr>
              <w:rPr>
                <w:rFonts w:ascii="宋体"/>
              </w:rPr>
            </w:pPr>
          </w:p>
        </w:tc>
        <w:tc>
          <w:tcPr>
            <w:tcW w:w="5" w:type="pct"/>
            <w:shd w:val="clear" w:color="auto" w:fill="auto"/>
          </w:tcPr>
          <w:p w14:paraId="7B6708EA" w14:textId="77777777" w:rsidR="0040300B" w:rsidRDefault="0040300B">
            <w:pPr>
              <w:rPr>
                <w:rFonts w:ascii="宋体"/>
              </w:rPr>
            </w:pPr>
          </w:p>
        </w:tc>
        <w:tc>
          <w:tcPr>
            <w:tcW w:w="26" w:type="pct"/>
            <w:shd w:val="clear" w:color="auto" w:fill="auto"/>
          </w:tcPr>
          <w:p w14:paraId="7B6708EB" w14:textId="77777777" w:rsidR="0040300B" w:rsidRDefault="0040300B">
            <w:pPr>
              <w:rPr>
                <w:rFonts w:ascii="宋体"/>
              </w:rPr>
            </w:pPr>
          </w:p>
        </w:tc>
        <w:tc>
          <w:tcPr>
            <w:tcW w:w="5" w:type="pct"/>
            <w:shd w:val="clear" w:color="auto" w:fill="auto"/>
          </w:tcPr>
          <w:p w14:paraId="7B6708EC" w14:textId="77777777" w:rsidR="0040300B" w:rsidRDefault="0040300B">
            <w:pPr>
              <w:rPr>
                <w:rFonts w:ascii="宋体"/>
              </w:rPr>
            </w:pPr>
          </w:p>
        </w:tc>
        <w:tc>
          <w:tcPr>
            <w:tcW w:w="50" w:type="pct"/>
            <w:shd w:val="clear" w:color="auto" w:fill="auto"/>
          </w:tcPr>
          <w:p w14:paraId="7B6708ED" w14:textId="77777777" w:rsidR="0040300B" w:rsidRDefault="0040300B">
            <w:pPr>
              <w:rPr>
                <w:rFonts w:ascii="宋体"/>
              </w:rPr>
            </w:pPr>
          </w:p>
        </w:tc>
        <w:tc>
          <w:tcPr>
            <w:tcW w:w="420" w:type="pct"/>
            <w:shd w:val="clear" w:color="auto" w:fill="auto"/>
          </w:tcPr>
          <w:p w14:paraId="7B6708EE" w14:textId="77777777" w:rsidR="0040300B" w:rsidRDefault="0040300B">
            <w:pPr>
              <w:rPr>
                <w:rFonts w:ascii="宋体"/>
              </w:rPr>
            </w:pPr>
          </w:p>
        </w:tc>
        <w:tc>
          <w:tcPr>
            <w:tcW w:w="5" w:type="pct"/>
            <w:shd w:val="clear" w:color="auto" w:fill="auto"/>
          </w:tcPr>
          <w:p w14:paraId="7B6708EF" w14:textId="77777777" w:rsidR="0040300B" w:rsidRDefault="0040300B">
            <w:pPr>
              <w:rPr>
                <w:rFonts w:ascii="宋体"/>
              </w:rPr>
            </w:pPr>
          </w:p>
        </w:tc>
        <w:tc>
          <w:tcPr>
            <w:tcW w:w="5" w:type="pct"/>
            <w:shd w:val="clear" w:color="auto" w:fill="auto"/>
          </w:tcPr>
          <w:p w14:paraId="7B6708F0" w14:textId="77777777" w:rsidR="0040300B" w:rsidRDefault="0040300B">
            <w:pPr>
              <w:rPr>
                <w:rFonts w:ascii="宋体"/>
              </w:rPr>
            </w:pPr>
          </w:p>
        </w:tc>
        <w:tc>
          <w:tcPr>
            <w:tcW w:w="26" w:type="pct"/>
            <w:shd w:val="clear" w:color="auto" w:fill="auto"/>
          </w:tcPr>
          <w:p w14:paraId="7B6708F1" w14:textId="77777777" w:rsidR="0040300B" w:rsidRDefault="0040300B">
            <w:pPr>
              <w:rPr>
                <w:rFonts w:ascii="宋体"/>
              </w:rPr>
            </w:pPr>
          </w:p>
        </w:tc>
        <w:tc>
          <w:tcPr>
            <w:tcW w:w="5" w:type="pct"/>
            <w:shd w:val="clear" w:color="auto" w:fill="auto"/>
          </w:tcPr>
          <w:p w14:paraId="7B6708F2" w14:textId="77777777" w:rsidR="0040300B" w:rsidRDefault="0040300B">
            <w:pPr>
              <w:rPr>
                <w:rFonts w:ascii="宋体"/>
              </w:rPr>
            </w:pPr>
          </w:p>
        </w:tc>
        <w:tc>
          <w:tcPr>
            <w:tcW w:w="50" w:type="pct"/>
            <w:shd w:val="clear" w:color="auto" w:fill="auto"/>
          </w:tcPr>
          <w:p w14:paraId="7B6708F3" w14:textId="77777777" w:rsidR="0040300B" w:rsidRDefault="0040300B">
            <w:pPr>
              <w:rPr>
                <w:rFonts w:ascii="宋体"/>
              </w:rPr>
            </w:pPr>
          </w:p>
        </w:tc>
        <w:tc>
          <w:tcPr>
            <w:tcW w:w="420" w:type="pct"/>
            <w:shd w:val="clear" w:color="auto" w:fill="auto"/>
          </w:tcPr>
          <w:p w14:paraId="7B6708F4" w14:textId="77777777" w:rsidR="0040300B" w:rsidRDefault="0040300B">
            <w:pPr>
              <w:rPr>
                <w:rFonts w:ascii="宋体"/>
              </w:rPr>
            </w:pPr>
          </w:p>
        </w:tc>
        <w:tc>
          <w:tcPr>
            <w:tcW w:w="5" w:type="pct"/>
            <w:shd w:val="clear" w:color="auto" w:fill="auto"/>
          </w:tcPr>
          <w:p w14:paraId="7B6708F5" w14:textId="77777777" w:rsidR="0040300B" w:rsidRDefault="0040300B">
            <w:pPr>
              <w:rPr>
                <w:rFonts w:ascii="宋体"/>
              </w:rPr>
            </w:pPr>
          </w:p>
        </w:tc>
        <w:tc>
          <w:tcPr>
            <w:tcW w:w="5" w:type="pct"/>
            <w:shd w:val="clear" w:color="auto" w:fill="auto"/>
          </w:tcPr>
          <w:p w14:paraId="7B6708F6" w14:textId="77777777" w:rsidR="0040300B" w:rsidRDefault="0040300B">
            <w:pPr>
              <w:rPr>
                <w:rFonts w:ascii="宋体"/>
              </w:rPr>
            </w:pPr>
          </w:p>
        </w:tc>
        <w:tc>
          <w:tcPr>
            <w:tcW w:w="26" w:type="pct"/>
            <w:shd w:val="clear" w:color="auto" w:fill="auto"/>
          </w:tcPr>
          <w:p w14:paraId="7B6708F7" w14:textId="77777777" w:rsidR="0040300B" w:rsidRDefault="0040300B">
            <w:pPr>
              <w:rPr>
                <w:rFonts w:ascii="宋体"/>
              </w:rPr>
            </w:pPr>
          </w:p>
        </w:tc>
        <w:tc>
          <w:tcPr>
            <w:tcW w:w="5" w:type="pct"/>
            <w:shd w:val="clear" w:color="auto" w:fill="auto"/>
          </w:tcPr>
          <w:p w14:paraId="7B6708F8" w14:textId="77777777" w:rsidR="0040300B" w:rsidRDefault="0040300B">
            <w:pPr>
              <w:rPr>
                <w:rFonts w:ascii="宋体"/>
              </w:rPr>
            </w:pPr>
          </w:p>
        </w:tc>
        <w:tc>
          <w:tcPr>
            <w:tcW w:w="50" w:type="pct"/>
            <w:shd w:val="clear" w:color="auto" w:fill="auto"/>
          </w:tcPr>
          <w:p w14:paraId="7B6708F9" w14:textId="77777777" w:rsidR="0040300B" w:rsidRDefault="0040300B">
            <w:pPr>
              <w:rPr>
                <w:rFonts w:ascii="宋体"/>
              </w:rPr>
            </w:pPr>
          </w:p>
        </w:tc>
        <w:tc>
          <w:tcPr>
            <w:tcW w:w="383" w:type="pct"/>
            <w:shd w:val="clear" w:color="auto" w:fill="auto"/>
          </w:tcPr>
          <w:p w14:paraId="7B6708FA" w14:textId="77777777" w:rsidR="0040300B" w:rsidRDefault="0040300B">
            <w:pPr>
              <w:rPr>
                <w:rFonts w:ascii="宋体"/>
              </w:rPr>
            </w:pPr>
          </w:p>
        </w:tc>
        <w:tc>
          <w:tcPr>
            <w:tcW w:w="5" w:type="pct"/>
            <w:shd w:val="clear" w:color="auto" w:fill="auto"/>
          </w:tcPr>
          <w:p w14:paraId="7B6708FB" w14:textId="77777777" w:rsidR="0040300B" w:rsidRDefault="0040300B">
            <w:pPr>
              <w:rPr>
                <w:rFonts w:ascii="宋体"/>
              </w:rPr>
            </w:pPr>
          </w:p>
        </w:tc>
        <w:tc>
          <w:tcPr>
            <w:tcW w:w="5" w:type="pct"/>
            <w:shd w:val="clear" w:color="auto" w:fill="auto"/>
          </w:tcPr>
          <w:p w14:paraId="7B6708FC" w14:textId="77777777" w:rsidR="0040300B" w:rsidRDefault="0040300B">
            <w:pPr>
              <w:rPr>
                <w:rFonts w:ascii="宋体"/>
              </w:rPr>
            </w:pPr>
          </w:p>
        </w:tc>
        <w:tc>
          <w:tcPr>
            <w:tcW w:w="26" w:type="pct"/>
            <w:shd w:val="clear" w:color="auto" w:fill="auto"/>
          </w:tcPr>
          <w:p w14:paraId="7B6708FD" w14:textId="77777777" w:rsidR="0040300B" w:rsidRDefault="0040300B">
            <w:pPr>
              <w:rPr>
                <w:rFonts w:ascii="宋体"/>
              </w:rPr>
            </w:pPr>
          </w:p>
        </w:tc>
        <w:tc>
          <w:tcPr>
            <w:tcW w:w="5" w:type="pct"/>
            <w:shd w:val="clear" w:color="auto" w:fill="auto"/>
          </w:tcPr>
          <w:p w14:paraId="7B6708FE" w14:textId="77777777" w:rsidR="0040300B" w:rsidRDefault="0040300B">
            <w:pPr>
              <w:rPr>
                <w:rFonts w:ascii="宋体"/>
              </w:rPr>
            </w:pPr>
          </w:p>
        </w:tc>
        <w:tc>
          <w:tcPr>
            <w:tcW w:w="50" w:type="pct"/>
            <w:shd w:val="clear" w:color="auto" w:fill="auto"/>
          </w:tcPr>
          <w:p w14:paraId="7B6708FF" w14:textId="77777777" w:rsidR="0040300B" w:rsidRDefault="0040300B">
            <w:pPr>
              <w:rPr>
                <w:rFonts w:ascii="宋体"/>
              </w:rPr>
            </w:pPr>
          </w:p>
        </w:tc>
        <w:tc>
          <w:tcPr>
            <w:tcW w:w="384" w:type="pct"/>
            <w:shd w:val="clear" w:color="auto" w:fill="auto"/>
          </w:tcPr>
          <w:p w14:paraId="7B670900" w14:textId="77777777" w:rsidR="0040300B" w:rsidRDefault="0040300B">
            <w:pPr>
              <w:rPr>
                <w:rFonts w:ascii="宋体"/>
              </w:rPr>
            </w:pPr>
          </w:p>
        </w:tc>
        <w:tc>
          <w:tcPr>
            <w:tcW w:w="5" w:type="pct"/>
            <w:shd w:val="clear" w:color="auto" w:fill="auto"/>
          </w:tcPr>
          <w:p w14:paraId="7B670901" w14:textId="77777777" w:rsidR="0040300B" w:rsidRDefault="0040300B">
            <w:pPr>
              <w:rPr>
                <w:rFonts w:ascii="宋体"/>
              </w:rPr>
            </w:pPr>
          </w:p>
        </w:tc>
      </w:tr>
      <w:tr w:rsidR="0040300B" w14:paraId="7B670908" w14:textId="77777777">
        <w:tc>
          <w:tcPr>
            <w:tcW w:w="0" w:type="auto"/>
            <w:gridSpan w:val="3"/>
            <w:shd w:val="clear" w:color="auto" w:fill="auto"/>
            <w:tcMar>
              <w:top w:w="0" w:type="dxa"/>
              <w:left w:w="20" w:type="dxa"/>
              <w:bottom w:w="0" w:type="dxa"/>
              <w:right w:w="20" w:type="dxa"/>
            </w:tcMar>
          </w:tcPr>
          <w:p w14:paraId="7B67090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904"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905"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906"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907"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91A" w14:textId="77777777">
        <w:tc>
          <w:tcPr>
            <w:tcW w:w="0" w:type="auto"/>
            <w:gridSpan w:val="3"/>
            <w:shd w:val="clear" w:color="auto" w:fill="auto"/>
            <w:tcMar>
              <w:top w:w="0" w:type="dxa"/>
              <w:left w:w="20" w:type="dxa"/>
              <w:bottom w:w="0" w:type="dxa"/>
              <w:right w:w="20" w:type="dxa"/>
            </w:tcMar>
          </w:tcPr>
          <w:p w14:paraId="7B67090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90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0B"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90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0D"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90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0F"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91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11"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091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13"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91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15"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tcBorders>
              <w:top w:val="single" w:sz="8" w:space="0" w:color="000000"/>
            </w:tcBorders>
            <w:shd w:val="clear" w:color="auto" w:fill="auto"/>
            <w:tcMar>
              <w:top w:w="0" w:type="dxa"/>
              <w:left w:w="20" w:type="dxa"/>
              <w:bottom w:w="0" w:type="dxa"/>
              <w:right w:w="20" w:type="dxa"/>
            </w:tcMar>
          </w:tcPr>
          <w:p w14:paraId="7B67091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17"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91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19"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092C" w14:textId="77777777">
        <w:tc>
          <w:tcPr>
            <w:tcW w:w="0" w:type="auto"/>
            <w:gridSpan w:val="3"/>
            <w:shd w:val="clear" w:color="auto" w:fill="CCEEFF"/>
            <w:tcMar>
              <w:top w:w="40" w:type="dxa"/>
              <w:left w:w="20" w:type="dxa"/>
              <w:bottom w:w="40" w:type="dxa"/>
              <w:right w:w="20" w:type="dxa"/>
            </w:tcMar>
            <w:vAlign w:val="bottom"/>
          </w:tcPr>
          <w:p w14:paraId="7B67091B" w14:textId="77777777" w:rsidR="0040300B" w:rsidRDefault="00BB2D44">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tcPr>
          <w:p w14:paraId="7B67091C"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B67091D"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91E"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1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2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92B" w14:textId="77777777" w:rsidR="0040300B" w:rsidRDefault="0040300B">
            <w:pPr>
              <w:rPr>
                <w:rFonts w:ascii="宋体"/>
              </w:rPr>
            </w:pPr>
          </w:p>
        </w:tc>
      </w:tr>
      <w:tr w:rsidR="00BB2D44" w14:paraId="7B67094C" w14:textId="77777777">
        <w:tc>
          <w:tcPr>
            <w:tcW w:w="0" w:type="auto"/>
            <w:gridSpan w:val="3"/>
            <w:shd w:val="clear" w:color="auto" w:fill="FFFFFF"/>
            <w:tcMar>
              <w:top w:w="40" w:type="dxa"/>
              <w:left w:w="155" w:type="dxa"/>
              <w:bottom w:w="40" w:type="dxa"/>
              <w:right w:w="20" w:type="dxa"/>
            </w:tcMar>
            <w:vAlign w:val="bottom"/>
          </w:tcPr>
          <w:p w14:paraId="7B67092D" w14:textId="77777777" w:rsidR="0040300B" w:rsidRDefault="00BB2D44">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7B67092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2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30" w14:textId="77777777" w:rsidR="0040300B" w:rsidRDefault="00BB2D44">
            <w:pPr>
              <w:jc w:val="right"/>
              <w:textAlignment w:val="bottom"/>
            </w:pPr>
            <w:r>
              <w:rPr>
                <w:rFonts w:ascii="Times New Roman" w:eastAsia="宋体" w:hAnsi="Times New Roman"/>
                <w:color w:val="000000"/>
                <w:sz w:val="20"/>
                <w:szCs w:val="20"/>
              </w:rPr>
              <w:t>9,139 </w:t>
            </w:r>
          </w:p>
        </w:tc>
        <w:tc>
          <w:tcPr>
            <w:tcW w:w="0" w:type="auto"/>
            <w:shd w:val="clear" w:color="auto" w:fill="FFFFFF"/>
            <w:tcMar>
              <w:top w:w="40" w:type="dxa"/>
              <w:left w:w="0" w:type="dxa"/>
              <w:bottom w:w="40" w:type="dxa"/>
              <w:right w:w="20" w:type="dxa"/>
            </w:tcMar>
            <w:vAlign w:val="bottom"/>
          </w:tcPr>
          <w:p w14:paraId="7B67093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3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3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34" w14:textId="77777777" w:rsidR="0040300B" w:rsidRDefault="00BB2D44">
            <w:pPr>
              <w:jc w:val="right"/>
              <w:textAlignment w:val="bottom"/>
            </w:pPr>
            <w:r>
              <w:rPr>
                <w:rFonts w:ascii="Times New Roman" w:eastAsia="宋体" w:hAnsi="Times New Roman"/>
                <w:color w:val="000000"/>
                <w:sz w:val="20"/>
                <w:szCs w:val="20"/>
              </w:rPr>
              <w:t>8,597 </w:t>
            </w:r>
          </w:p>
        </w:tc>
        <w:tc>
          <w:tcPr>
            <w:tcW w:w="0" w:type="auto"/>
            <w:shd w:val="clear" w:color="auto" w:fill="FFFFFF"/>
            <w:tcMar>
              <w:top w:w="40" w:type="dxa"/>
              <w:left w:w="0" w:type="dxa"/>
              <w:bottom w:w="40" w:type="dxa"/>
              <w:right w:w="20" w:type="dxa"/>
            </w:tcMar>
            <w:vAlign w:val="bottom"/>
          </w:tcPr>
          <w:p w14:paraId="7B67093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3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3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38" w14:textId="77777777" w:rsidR="0040300B" w:rsidRDefault="00BB2D44">
            <w:pPr>
              <w:jc w:val="right"/>
              <w:textAlignment w:val="bottom"/>
            </w:pPr>
            <w:r>
              <w:rPr>
                <w:rFonts w:ascii="Times New Roman" w:eastAsia="宋体" w:hAnsi="Times New Roman"/>
                <w:color w:val="000000"/>
                <w:sz w:val="20"/>
                <w:szCs w:val="20"/>
              </w:rPr>
              <w:t>542 </w:t>
            </w:r>
          </w:p>
        </w:tc>
        <w:tc>
          <w:tcPr>
            <w:tcW w:w="0" w:type="auto"/>
            <w:shd w:val="clear" w:color="auto" w:fill="FFFFFF"/>
            <w:tcMar>
              <w:top w:w="40" w:type="dxa"/>
              <w:left w:w="0" w:type="dxa"/>
              <w:bottom w:w="40" w:type="dxa"/>
              <w:right w:w="20" w:type="dxa"/>
            </w:tcMar>
            <w:vAlign w:val="bottom"/>
          </w:tcPr>
          <w:p w14:paraId="7B67093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3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3B"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B67093C"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93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3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3F"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shd w:val="clear" w:color="auto" w:fill="FFFFFF"/>
            <w:tcMar>
              <w:top w:w="40" w:type="dxa"/>
              <w:left w:w="0" w:type="dxa"/>
              <w:bottom w:w="40" w:type="dxa"/>
              <w:right w:w="20" w:type="dxa"/>
            </w:tcMar>
            <w:vAlign w:val="bottom"/>
          </w:tcPr>
          <w:p w14:paraId="7B67094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4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4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43"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shd w:val="clear" w:color="auto" w:fill="FFFFFF"/>
            <w:tcMar>
              <w:top w:w="40" w:type="dxa"/>
              <w:left w:w="0" w:type="dxa"/>
              <w:bottom w:w="40" w:type="dxa"/>
              <w:right w:w="20" w:type="dxa"/>
            </w:tcMar>
            <w:vAlign w:val="bottom"/>
          </w:tcPr>
          <w:p w14:paraId="7B67094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4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94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947" w14:textId="77777777" w:rsidR="0040300B" w:rsidRDefault="00BB2D44">
            <w:pPr>
              <w:jc w:val="right"/>
              <w:textAlignment w:val="bottom"/>
            </w:pPr>
            <w:r>
              <w:rPr>
                <w:rFonts w:ascii="Times New Roman" w:eastAsia="宋体" w:hAnsi="Times New Roman"/>
                <w:color w:val="000000"/>
                <w:sz w:val="20"/>
                <w:szCs w:val="20"/>
              </w:rPr>
              <w:t>(848)</w:t>
            </w:r>
          </w:p>
        </w:tc>
        <w:tc>
          <w:tcPr>
            <w:tcW w:w="0" w:type="auto"/>
            <w:shd w:val="clear" w:color="auto" w:fill="FFFFFF"/>
            <w:tcMar>
              <w:top w:w="40" w:type="dxa"/>
              <w:left w:w="0" w:type="dxa"/>
              <w:bottom w:w="40" w:type="dxa"/>
              <w:right w:w="20" w:type="dxa"/>
            </w:tcMar>
            <w:vAlign w:val="bottom"/>
          </w:tcPr>
          <w:p w14:paraId="7B67094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4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4A" w14:textId="77777777" w:rsidR="0040300B" w:rsidRDefault="00BB2D4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B67094B"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962" w14:textId="77777777">
        <w:tc>
          <w:tcPr>
            <w:tcW w:w="0" w:type="auto"/>
            <w:gridSpan w:val="3"/>
            <w:shd w:val="clear" w:color="auto" w:fill="CCEEFF"/>
            <w:tcMar>
              <w:top w:w="40" w:type="dxa"/>
              <w:left w:w="155" w:type="dxa"/>
              <w:bottom w:w="40" w:type="dxa"/>
              <w:right w:w="20" w:type="dxa"/>
            </w:tcMar>
            <w:vAlign w:val="bottom"/>
          </w:tcPr>
          <w:p w14:paraId="7B67094D" w14:textId="77777777" w:rsidR="0040300B" w:rsidRDefault="00BB2D4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7B67094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4F" w14:textId="77777777" w:rsidR="0040300B" w:rsidRDefault="00BB2D44">
            <w:pPr>
              <w:jc w:val="right"/>
              <w:textAlignment w:val="bottom"/>
            </w:pPr>
            <w:r>
              <w:rPr>
                <w:rFonts w:ascii="Times New Roman" w:eastAsia="宋体" w:hAnsi="Times New Roman"/>
                <w:i/>
                <w:iCs/>
                <w:color w:val="000000"/>
                <w:sz w:val="20"/>
                <w:szCs w:val="20"/>
              </w:rPr>
              <w:t>71.4 </w:t>
            </w:r>
          </w:p>
        </w:tc>
        <w:tc>
          <w:tcPr>
            <w:tcW w:w="0" w:type="auto"/>
            <w:shd w:val="clear" w:color="auto" w:fill="CCEEFF"/>
            <w:tcMar>
              <w:top w:w="40" w:type="dxa"/>
              <w:left w:w="0" w:type="dxa"/>
              <w:bottom w:w="40" w:type="dxa"/>
              <w:right w:w="20" w:type="dxa"/>
            </w:tcMar>
            <w:vAlign w:val="bottom"/>
          </w:tcPr>
          <w:p w14:paraId="7B670950"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52" w14:textId="77777777" w:rsidR="0040300B" w:rsidRDefault="00BB2D44">
            <w:pPr>
              <w:jc w:val="right"/>
              <w:textAlignment w:val="bottom"/>
            </w:pPr>
            <w:r>
              <w:rPr>
                <w:rFonts w:ascii="Times New Roman" w:eastAsia="宋体" w:hAnsi="Times New Roman"/>
                <w:i/>
                <w:iCs/>
                <w:color w:val="000000"/>
                <w:sz w:val="20"/>
                <w:szCs w:val="20"/>
              </w:rPr>
              <w:t>71.7 </w:t>
            </w:r>
          </w:p>
        </w:tc>
        <w:tc>
          <w:tcPr>
            <w:tcW w:w="0" w:type="auto"/>
            <w:shd w:val="clear" w:color="auto" w:fill="CCEEFF"/>
            <w:tcMar>
              <w:top w:w="40" w:type="dxa"/>
              <w:left w:w="0" w:type="dxa"/>
              <w:bottom w:w="40" w:type="dxa"/>
              <w:right w:w="20" w:type="dxa"/>
            </w:tcMar>
            <w:vAlign w:val="bottom"/>
          </w:tcPr>
          <w:p w14:paraId="7B670953"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54"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955" w14:textId="77777777" w:rsidR="0040300B" w:rsidRDefault="00BB2D4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956"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957" w14:textId="77777777" w:rsidR="0040300B" w:rsidRDefault="00BB2D4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95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59" w14:textId="77777777" w:rsidR="0040300B" w:rsidRDefault="00BB2D44">
            <w:pPr>
              <w:jc w:val="right"/>
              <w:textAlignment w:val="bottom"/>
            </w:pPr>
            <w:r>
              <w:rPr>
                <w:rFonts w:ascii="Times New Roman" w:eastAsia="宋体" w:hAnsi="Times New Roman"/>
                <w:i/>
                <w:iCs/>
                <w:color w:val="000000"/>
                <w:sz w:val="20"/>
                <w:szCs w:val="20"/>
              </w:rPr>
              <w:t>71.7 </w:t>
            </w:r>
          </w:p>
        </w:tc>
        <w:tc>
          <w:tcPr>
            <w:tcW w:w="0" w:type="auto"/>
            <w:shd w:val="clear" w:color="auto" w:fill="CCEEFF"/>
            <w:tcMar>
              <w:top w:w="40" w:type="dxa"/>
              <w:left w:w="0" w:type="dxa"/>
              <w:bottom w:w="40" w:type="dxa"/>
              <w:right w:w="20" w:type="dxa"/>
            </w:tcMar>
            <w:vAlign w:val="bottom"/>
          </w:tcPr>
          <w:p w14:paraId="7B67095A"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5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5C" w14:textId="77777777" w:rsidR="0040300B" w:rsidRDefault="00BB2D44">
            <w:pPr>
              <w:jc w:val="right"/>
              <w:textAlignment w:val="bottom"/>
            </w:pPr>
            <w:r>
              <w:rPr>
                <w:rFonts w:ascii="Times New Roman" w:eastAsia="宋体" w:hAnsi="Times New Roman"/>
                <w:i/>
                <w:iCs/>
                <w:color w:val="000000"/>
                <w:sz w:val="20"/>
                <w:szCs w:val="20"/>
              </w:rPr>
              <w:t>73.1 </w:t>
            </w:r>
          </w:p>
        </w:tc>
        <w:tc>
          <w:tcPr>
            <w:tcW w:w="0" w:type="auto"/>
            <w:shd w:val="clear" w:color="auto" w:fill="CCEEFF"/>
            <w:tcMar>
              <w:top w:w="40" w:type="dxa"/>
              <w:left w:w="0" w:type="dxa"/>
              <w:bottom w:w="40" w:type="dxa"/>
              <w:right w:w="20" w:type="dxa"/>
            </w:tcMar>
            <w:vAlign w:val="bottom"/>
          </w:tcPr>
          <w:p w14:paraId="7B67095D"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5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5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6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61" w14:textId="77777777" w:rsidR="0040300B" w:rsidRDefault="0040300B">
            <w:pPr>
              <w:rPr>
                <w:rFonts w:ascii="宋体"/>
              </w:rPr>
            </w:pPr>
          </w:p>
        </w:tc>
      </w:tr>
      <w:tr w:rsidR="0040300B" w14:paraId="7B67097C" w14:textId="77777777">
        <w:tc>
          <w:tcPr>
            <w:tcW w:w="0" w:type="auto"/>
            <w:gridSpan w:val="3"/>
            <w:shd w:val="clear" w:color="auto" w:fill="FFFFFF"/>
            <w:tcMar>
              <w:top w:w="40" w:type="dxa"/>
              <w:left w:w="155" w:type="dxa"/>
              <w:bottom w:w="40" w:type="dxa"/>
              <w:right w:w="20" w:type="dxa"/>
            </w:tcMar>
            <w:vAlign w:val="bottom"/>
          </w:tcPr>
          <w:p w14:paraId="7B670963"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tcPr>
          <w:p w14:paraId="7B67096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65" w14:textId="77777777" w:rsidR="0040300B" w:rsidRDefault="00BB2D44">
            <w:pPr>
              <w:jc w:val="right"/>
              <w:textAlignment w:val="bottom"/>
            </w:pPr>
            <w:r>
              <w:rPr>
                <w:rFonts w:ascii="Times New Roman" w:eastAsia="宋体" w:hAnsi="Times New Roman"/>
                <w:color w:val="000000"/>
                <w:sz w:val="20"/>
                <w:szCs w:val="20"/>
              </w:rPr>
              <w:t>3,664 </w:t>
            </w:r>
          </w:p>
        </w:tc>
        <w:tc>
          <w:tcPr>
            <w:tcW w:w="0" w:type="auto"/>
            <w:shd w:val="clear" w:color="auto" w:fill="FFFFFF"/>
            <w:tcMar>
              <w:top w:w="40" w:type="dxa"/>
              <w:left w:w="0" w:type="dxa"/>
              <w:bottom w:w="40" w:type="dxa"/>
              <w:right w:w="20" w:type="dxa"/>
            </w:tcMar>
            <w:vAlign w:val="bottom"/>
          </w:tcPr>
          <w:p w14:paraId="7B67096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6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68" w14:textId="77777777" w:rsidR="0040300B" w:rsidRDefault="00BB2D44">
            <w:pPr>
              <w:jc w:val="right"/>
              <w:textAlignment w:val="bottom"/>
            </w:pPr>
            <w:r>
              <w:rPr>
                <w:rFonts w:ascii="Times New Roman" w:eastAsia="宋体" w:hAnsi="Times New Roman"/>
                <w:color w:val="000000"/>
                <w:sz w:val="20"/>
                <w:szCs w:val="20"/>
              </w:rPr>
              <w:t>3,386 </w:t>
            </w:r>
          </w:p>
        </w:tc>
        <w:tc>
          <w:tcPr>
            <w:tcW w:w="0" w:type="auto"/>
            <w:shd w:val="clear" w:color="auto" w:fill="FFFFFF"/>
            <w:tcMar>
              <w:top w:w="40" w:type="dxa"/>
              <w:left w:w="0" w:type="dxa"/>
              <w:bottom w:w="40" w:type="dxa"/>
              <w:right w:w="20" w:type="dxa"/>
            </w:tcMar>
            <w:vAlign w:val="bottom"/>
          </w:tcPr>
          <w:p w14:paraId="7B67096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6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6B" w14:textId="77777777" w:rsidR="0040300B" w:rsidRDefault="00BB2D44">
            <w:pPr>
              <w:jc w:val="right"/>
              <w:textAlignment w:val="bottom"/>
            </w:pPr>
            <w:r>
              <w:rPr>
                <w:rFonts w:ascii="Times New Roman" w:eastAsia="宋体" w:hAnsi="Times New Roman"/>
                <w:color w:val="000000"/>
                <w:sz w:val="20"/>
                <w:szCs w:val="20"/>
              </w:rPr>
              <w:t>278 </w:t>
            </w:r>
          </w:p>
        </w:tc>
        <w:tc>
          <w:tcPr>
            <w:tcW w:w="0" w:type="auto"/>
            <w:shd w:val="clear" w:color="auto" w:fill="FFFFFF"/>
            <w:tcMar>
              <w:top w:w="40" w:type="dxa"/>
              <w:left w:w="0" w:type="dxa"/>
              <w:bottom w:w="40" w:type="dxa"/>
              <w:right w:w="20" w:type="dxa"/>
            </w:tcMar>
            <w:vAlign w:val="bottom"/>
          </w:tcPr>
          <w:p w14:paraId="7B67096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6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6E"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B67096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97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71" w14:textId="77777777" w:rsidR="0040300B" w:rsidRDefault="00BB2D44">
            <w:pPr>
              <w:jc w:val="right"/>
              <w:textAlignment w:val="bottom"/>
            </w:pPr>
            <w:r>
              <w:rPr>
                <w:rFonts w:ascii="Times New Roman" w:eastAsia="宋体" w:hAnsi="Times New Roman"/>
                <w:color w:val="000000"/>
                <w:sz w:val="20"/>
                <w:szCs w:val="20"/>
              </w:rPr>
              <w:t>10,394 </w:t>
            </w:r>
          </w:p>
        </w:tc>
        <w:tc>
          <w:tcPr>
            <w:tcW w:w="0" w:type="auto"/>
            <w:shd w:val="clear" w:color="auto" w:fill="FFFFFF"/>
            <w:tcMar>
              <w:top w:w="40" w:type="dxa"/>
              <w:left w:w="0" w:type="dxa"/>
              <w:bottom w:w="40" w:type="dxa"/>
              <w:right w:w="20" w:type="dxa"/>
            </w:tcMar>
            <w:vAlign w:val="bottom"/>
          </w:tcPr>
          <w:p w14:paraId="7B67097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7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74" w14:textId="77777777" w:rsidR="0040300B" w:rsidRDefault="00BB2D44">
            <w:pPr>
              <w:jc w:val="right"/>
              <w:textAlignment w:val="bottom"/>
            </w:pPr>
            <w:r>
              <w:rPr>
                <w:rFonts w:ascii="Times New Roman" w:eastAsia="宋体" w:hAnsi="Times New Roman"/>
                <w:color w:val="000000"/>
                <w:sz w:val="20"/>
                <w:szCs w:val="20"/>
              </w:rPr>
              <w:t>10,001 </w:t>
            </w:r>
          </w:p>
        </w:tc>
        <w:tc>
          <w:tcPr>
            <w:tcW w:w="0" w:type="auto"/>
            <w:shd w:val="clear" w:color="auto" w:fill="FFFFFF"/>
            <w:tcMar>
              <w:top w:w="40" w:type="dxa"/>
              <w:left w:w="0" w:type="dxa"/>
              <w:bottom w:w="40" w:type="dxa"/>
              <w:right w:w="20" w:type="dxa"/>
            </w:tcMar>
            <w:vAlign w:val="bottom"/>
          </w:tcPr>
          <w:p w14:paraId="7B67097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7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77" w14:textId="77777777" w:rsidR="0040300B" w:rsidRDefault="00BB2D44">
            <w:pPr>
              <w:jc w:val="right"/>
              <w:textAlignment w:val="bottom"/>
            </w:pPr>
            <w:r>
              <w:rPr>
                <w:rFonts w:ascii="Times New Roman" w:eastAsia="宋体" w:hAnsi="Times New Roman"/>
                <w:color w:val="000000"/>
                <w:sz w:val="20"/>
                <w:szCs w:val="20"/>
              </w:rPr>
              <w:t>393 </w:t>
            </w:r>
          </w:p>
        </w:tc>
        <w:tc>
          <w:tcPr>
            <w:tcW w:w="0" w:type="auto"/>
            <w:shd w:val="clear" w:color="auto" w:fill="FFFFFF"/>
            <w:tcMar>
              <w:top w:w="40" w:type="dxa"/>
              <w:left w:w="0" w:type="dxa"/>
              <w:bottom w:w="40" w:type="dxa"/>
              <w:right w:w="20" w:type="dxa"/>
            </w:tcMar>
            <w:vAlign w:val="bottom"/>
          </w:tcPr>
          <w:p w14:paraId="7B67097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7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7A"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B67097B"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992" w14:textId="77777777">
        <w:tc>
          <w:tcPr>
            <w:tcW w:w="0" w:type="auto"/>
            <w:gridSpan w:val="3"/>
            <w:shd w:val="clear" w:color="auto" w:fill="CCEEFF"/>
            <w:tcMar>
              <w:top w:w="40" w:type="dxa"/>
              <w:left w:w="155" w:type="dxa"/>
              <w:bottom w:w="40" w:type="dxa"/>
              <w:right w:w="20" w:type="dxa"/>
            </w:tcMar>
            <w:vAlign w:val="bottom"/>
          </w:tcPr>
          <w:p w14:paraId="7B67097D" w14:textId="77777777" w:rsidR="0040300B" w:rsidRDefault="00BB2D4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7B67097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7F" w14:textId="77777777" w:rsidR="0040300B" w:rsidRDefault="00BB2D44">
            <w:pPr>
              <w:jc w:val="right"/>
              <w:textAlignment w:val="bottom"/>
            </w:pPr>
            <w:r>
              <w:rPr>
                <w:rFonts w:ascii="Times New Roman" w:eastAsia="宋体" w:hAnsi="Times New Roman"/>
                <w:i/>
                <w:iCs/>
                <w:color w:val="000000"/>
                <w:sz w:val="20"/>
                <w:szCs w:val="20"/>
              </w:rPr>
              <w:t>28.6 </w:t>
            </w:r>
          </w:p>
        </w:tc>
        <w:tc>
          <w:tcPr>
            <w:tcW w:w="0" w:type="auto"/>
            <w:shd w:val="clear" w:color="auto" w:fill="CCEEFF"/>
            <w:tcMar>
              <w:top w:w="40" w:type="dxa"/>
              <w:left w:w="0" w:type="dxa"/>
              <w:bottom w:w="40" w:type="dxa"/>
              <w:right w:w="20" w:type="dxa"/>
            </w:tcMar>
            <w:vAlign w:val="bottom"/>
          </w:tcPr>
          <w:p w14:paraId="7B670980"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8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82" w14:textId="77777777" w:rsidR="0040300B" w:rsidRDefault="00BB2D44">
            <w:pPr>
              <w:jc w:val="right"/>
              <w:textAlignment w:val="bottom"/>
            </w:pPr>
            <w:r>
              <w:rPr>
                <w:rFonts w:ascii="Times New Roman" w:eastAsia="宋体" w:hAnsi="Times New Roman"/>
                <w:i/>
                <w:iCs/>
                <w:color w:val="000000"/>
                <w:sz w:val="20"/>
                <w:szCs w:val="20"/>
              </w:rPr>
              <w:t>28.3 </w:t>
            </w:r>
          </w:p>
        </w:tc>
        <w:tc>
          <w:tcPr>
            <w:tcW w:w="0" w:type="auto"/>
            <w:shd w:val="clear" w:color="auto" w:fill="CCEEFF"/>
            <w:tcMar>
              <w:top w:w="40" w:type="dxa"/>
              <w:left w:w="0" w:type="dxa"/>
              <w:bottom w:w="40" w:type="dxa"/>
              <w:right w:w="20" w:type="dxa"/>
            </w:tcMar>
            <w:vAlign w:val="bottom"/>
          </w:tcPr>
          <w:p w14:paraId="7B670983"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84"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985" w14:textId="77777777" w:rsidR="0040300B" w:rsidRDefault="00BB2D4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986"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987" w14:textId="77777777" w:rsidR="0040300B" w:rsidRDefault="00BB2D4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98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89" w14:textId="77777777" w:rsidR="0040300B" w:rsidRDefault="00BB2D44">
            <w:pPr>
              <w:jc w:val="right"/>
              <w:textAlignment w:val="bottom"/>
            </w:pPr>
            <w:r>
              <w:rPr>
                <w:rFonts w:ascii="Times New Roman" w:eastAsia="宋体" w:hAnsi="Times New Roman"/>
                <w:i/>
                <w:iCs/>
                <w:color w:val="000000"/>
                <w:sz w:val="20"/>
                <w:szCs w:val="20"/>
              </w:rPr>
              <w:t>28.3 </w:t>
            </w:r>
          </w:p>
        </w:tc>
        <w:tc>
          <w:tcPr>
            <w:tcW w:w="0" w:type="auto"/>
            <w:shd w:val="clear" w:color="auto" w:fill="CCEEFF"/>
            <w:tcMar>
              <w:top w:w="40" w:type="dxa"/>
              <w:left w:w="0" w:type="dxa"/>
              <w:bottom w:w="40" w:type="dxa"/>
              <w:right w:w="20" w:type="dxa"/>
            </w:tcMar>
            <w:vAlign w:val="bottom"/>
          </w:tcPr>
          <w:p w14:paraId="7B67098A"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8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98C" w14:textId="77777777" w:rsidR="0040300B" w:rsidRDefault="00BB2D44">
            <w:pPr>
              <w:jc w:val="right"/>
              <w:textAlignment w:val="bottom"/>
            </w:pPr>
            <w:r>
              <w:rPr>
                <w:rFonts w:ascii="Times New Roman" w:eastAsia="宋体" w:hAnsi="Times New Roman"/>
                <w:i/>
                <w:iCs/>
                <w:color w:val="000000"/>
                <w:sz w:val="20"/>
                <w:szCs w:val="20"/>
              </w:rPr>
              <w:t>26.9 </w:t>
            </w:r>
          </w:p>
        </w:tc>
        <w:tc>
          <w:tcPr>
            <w:tcW w:w="0" w:type="auto"/>
            <w:shd w:val="clear" w:color="auto" w:fill="CCEEFF"/>
            <w:tcMar>
              <w:top w:w="40" w:type="dxa"/>
              <w:left w:w="0" w:type="dxa"/>
              <w:bottom w:w="40" w:type="dxa"/>
              <w:right w:w="20" w:type="dxa"/>
            </w:tcMar>
            <w:vAlign w:val="bottom"/>
          </w:tcPr>
          <w:p w14:paraId="7B67098D"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98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8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9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991" w14:textId="77777777" w:rsidR="0040300B" w:rsidRDefault="0040300B">
            <w:pPr>
              <w:rPr>
                <w:rFonts w:ascii="宋体"/>
              </w:rPr>
            </w:pPr>
          </w:p>
        </w:tc>
      </w:tr>
      <w:tr w:rsidR="00BB2D44" w14:paraId="7B6709B2" w14:textId="77777777">
        <w:tc>
          <w:tcPr>
            <w:tcW w:w="0" w:type="auto"/>
            <w:gridSpan w:val="3"/>
            <w:shd w:val="clear" w:color="auto" w:fill="FFFFFF"/>
            <w:tcMar>
              <w:top w:w="40" w:type="dxa"/>
              <w:left w:w="515" w:type="dxa"/>
              <w:bottom w:w="40" w:type="dxa"/>
              <w:right w:w="20" w:type="dxa"/>
            </w:tcMar>
            <w:vAlign w:val="bottom"/>
          </w:tcPr>
          <w:p w14:paraId="7B670993"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099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9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96"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9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9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9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9A"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9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9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9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9E" w14:textId="77777777" w:rsidR="0040300B" w:rsidRDefault="00BB2D44">
            <w:pPr>
              <w:jc w:val="right"/>
              <w:textAlignment w:val="bottom"/>
            </w:pPr>
            <w:r>
              <w:rPr>
                <w:rFonts w:ascii="Times New Roman" w:eastAsia="宋体" w:hAnsi="Times New Roman"/>
                <w:color w:val="000000"/>
                <w:sz w:val="20"/>
                <w:szCs w:val="20"/>
              </w:rPr>
              <w:t>820 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9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A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A1"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B6709A2"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9A3"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A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A5"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A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A7"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A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A9"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A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A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9A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9AD" w14:textId="77777777" w:rsidR="0040300B" w:rsidRDefault="00BB2D44">
            <w:pPr>
              <w:jc w:val="right"/>
              <w:textAlignment w:val="bottom"/>
            </w:pPr>
            <w:r>
              <w:rPr>
                <w:rFonts w:ascii="Times New Roman" w:eastAsia="宋体" w:hAnsi="Times New Roman"/>
                <w:color w:val="000000"/>
                <w:sz w:val="20"/>
                <w:szCs w:val="20"/>
              </w:rPr>
              <w:t>(455)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9A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9A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9B0"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709B1" w14:textId="77777777" w:rsidR="0040300B" w:rsidRDefault="00BB2D44">
            <w:pPr>
              <w:jc w:val="right"/>
              <w:textAlignment w:val="bottom"/>
            </w:pPr>
            <w:r>
              <w:rPr>
                <w:rFonts w:ascii="Times New Roman" w:eastAsia="宋体" w:hAnsi="Times New Roman"/>
                <w:color w:val="000000"/>
                <w:sz w:val="20"/>
                <w:szCs w:val="20"/>
              </w:rPr>
              <w:t>%</w:t>
            </w:r>
          </w:p>
        </w:tc>
      </w:tr>
    </w:tbl>
    <w:p w14:paraId="7B6709B3" w14:textId="77777777" w:rsidR="0040300B" w:rsidRDefault="00BB2D44">
      <w:pPr>
        <w:spacing w:before="120"/>
        <w:jc w:val="both"/>
      </w:pPr>
      <w:r>
        <w:rPr>
          <w:rFonts w:ascii="Times New Roman" w:eastAsia="宋体" w:hAnsi="Times New Roman"/>
          <w:color w:val="000000"/>
          <w:sz w:val="20"/>
          <w:szCs w:val="20"/>
        </w:rPr>
        <w:t>We manage our bus</w:t>
      </w:r>
      <w:r>
        <w:rPr>
          <w:rFonts w:ascii="Times New Roman" w:eastAsia="宋体" w:hAnsi="Times New Roman"/>
          <w:color w:val="000000"/>
          <w:sz w:val="20"/>
          <w:szCs w:val="20"/>
        </w:rPr>
        <w:t>iness primarily on a geographic basis, organized into three geographic segments. Our revenue, which includes product and 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91"/>
        <w:gridCol w:w="948"/>
        <w:gridCol w:w="35"/>
        <w:gridCol w:w="36"/>
        <w:gridCol w:w="35"/>
        <w:gridCol w:w="35"/>
        <w:gridCol w:w="113"/>
        <w:gridCol w:w="553"/>
        <w:gridCol w:w="174"/>
        <w:gridCol w:w="36"/>
        <w:gridCol w:w="36"/>
        <w:gridCol w:w="36"/>
        <w:gridCol w:w="114"/>
        <w:gridCol w:w="554"/>
        <w:gridCol w:w="174"/>
        <w:gridCol w:w="36"/>
        <w:gridCol w:w="36"/>
        <w:gridCol w:w="36"/>
        <w:gridCol w:w="115"/>
        <w:gridCol w:w="558"/>
        <w:gridCol w:w="36"/>
        <w:gridCol w:w="36"/>
        <w:gridCol w:w="36"/>
        <w:gridCol w:w="36"/>
        <w:gridCol w:w="76"/>
        <w:gridCol w:w="558"/>
        <w:gridCol w:w="174"/>
        <w:gridCol w:w="36"/>
        <w:gridCol w:w="36"/>
        <w:gridCol w:w="36"/>
        <w:gridCol w:w="114"/>
        <w:gridCol w:w="554"/>
        <w:gridCol w:w="174"/>
        <w:gridCol w:w="36"/>
        <w:gridCol w:w="36"/>
        <w:gridCol w:w="36"/>
        <w:gridCol w:w="114"/>
        <w:gridCol w:w="554"/>
        <w:gridCol w:w="174"/>
        <w:gridCol w:w="36"/>
        <w:gridCol w:w="36"/>
        <w:gridCol w:w="36"/>
        <w:gridCol w:w="115"/>
        <w:gridCol w:w="558"/>
        <w:gridCol w:w="36"/>
        <w:gridCol w:w="36"/>
        <w:gridCol w:w="36"/>
        <w:gridCol w:w="36"/>
        <w:gridCol w:w="76"/>
        <w:gridCol w:w="558"/>
        <w:gridCol w:w="174"/>
      </w:tblGrid>
      <w:tr w:rsidR="0040300B" w14:paraId="7B6709E7" w14:textId="77777777">
        <w:trPr>
          <w:jc w:val="center"/>
        </w:trPr>
        <w:tc>
          <w:tcPr>
            <w:tcW w:w="50" w:type="pct"/>
            <w:shd w:val="clear" w:color="auto" w:fill="auto"/>
          </w:tcPr>
          <w:p w14:paraId="7B6709B4" w14:textId="77777777" w:rsidR="0040300B" w:rsidRDefault="0040300B">
            <w:pPr>
              <w:rPr>
                <w:rFonts w:ascii="宋体"/>
              </w:rPr>
            </w:pPr>
          </w:p>
        </w:tc>
        <w:tc>
          <w:tcPr>
            <w:tcW w:w="997" w:type="pct"/>
            <w:shd w:val="clear" w:color="auto" w:fill="auto"/>
          </w:tcPr>
          <w:p w14:paraId="7B6709B5" w14:textId="77777777" w:rsidR="0040300B" w:rsidRDefault="0040300B">
            <w:pPr>
              <w:rPr>
                <w:rFonts w:ascii="宋体"/>
              </w:rPr>
            </w:pPr>
          </w:p>
        </w:tc>
        <w:tc>
          <w:tcPr>
            <w:tcW w:w="5" w:type="pct"/>
            <w:shd w:val="clear" w:color="auto" w:fill="auto"/>
          </w:tcPr>
          <w:p w14:paraId="7B6709B6" w14:textId="77777777" w:rsidR="0040300B" w:rsidRDefault="0040300B">
            <w:pPr>
              <w:rPr>
                <w:rFonts w:ascii="宋体"/>
              </w:rPr>
            </w:pPr>
          </w:p>
        </w:tc>
        <w:tc>
          <w:tcPr>
            <w:tcW w:w="5" w:type="pct"/>
            <w:shd w:val="clear" w:color="auto" w:fill="auto"/>
          </w:tcPr>
          <w:p w14:paraId="7B6709B7" w14:textId="77777777" w:rsidR="0040300B" w:rsidRDefault="0040300B">
            <w:pPr>
              <w:rPr>
                <w:rFonts w:ascii="宋体"/>
              </w:rPr>
            </w:pPr>
          </w:p>
        </w:tc>
        <w:tc>
          <w:tcPr>
            <w:tcW w:w="26" w:type="pct"/>
            <w:shd w:val="clear" w:color="auto" w:fill="auto"/>
          </w:tcPr>
          <w:p w14:paraId="7B6709B8" w14:textId="77777777" w:rsidR="0040300B" w:rsidRDefault="0040300B">
            <w:pPr>
              <w:rPr>
                <w:rFonts w:ascii="宋体"/>
              </w:rPr>
            </w:pPr>
          </w:p>
        </w:tc>
        <w:tc>
          <w:tcPr>
            <w:tcW w:w="5" w:type="pct"/>
            <w:shd w:val="clear" w:color="auto" w:fill="auto"/>
          </w:tcPr>
          <w:p w14:paraId="7B6709B9" w14:textId="77777777" w:rsidR="0040300B" w:rsidRDefault="0040300B">
            <w:pPr>
              <w:rPr>
                <w:rFonts w:ascii="宋体"/>
              </w:rPr>
            </w:pPr>
          </w:p>
        </w:tc>
        <w:tc>
          <w:tcPr>
            <w:tcW w:w="50" w:type="pct"/>
            <w:shd w:val="clear" w:color="auto" w:fill="auto"/>
          </w:tcPr>
          <w:p w14:paraId="7B6709BA" w14:textId="77777777" w:rsidR="0040300B" w:rsidRDefault="0040300B">
            <w:pPr>
              <w:rPr>
                <w:rFonts w:ascii="宋体"/>
              </w:rPr>
            </w:pPr>
          </w:p>
        </w:tc>
        <w:tc>
          <w:tcPr>
            <w:tcW w:w="420" w:type="pct"/>
            <w:shd w:val="clear" w:color="auto" w:fill="auto"/>
          </w:tcPr>
          <w:p w14:paraId="7B6709BB" w14:textId="77777777" w:rsidR="0040300B" w:rsidRDefault="0040300B">
            <w:pPr>
              <w:rPr>
                <w:rFonts w:ascii="宋体"/>
              </w:rPr>
            </w:pPr>
          </w:p>
        </w:tc>
        <w:tc>
          <w:tcPr>
            <w:tcW w:w="5" w:type="pct"/>
            <w:shd w:val="clear" w:color="auto" w:fill="auto"/>
          </w:tcPr>
          <w:p w14:paraId="7B6709BC" w14:textId="77777777" w:rsidR="0040300B" w:rsidRDefault="0040300B">
            <w:pPr>
              <w:rPr>
                <w:rFonts w:ascii="宋体"/>
              </w:rPr>
            </w:pPr>
          </w:p>
        </w:tc>
        <w:tc>
          <w:tcPr>
            <w:tcW w:w="5" w:type="pct"/>
            <w:shd w:val="clear" w:color="auto" w:fill="auto"/>
          </w:tcPr>
          <w:p w14:paraId="7B6709BD" w14:textId="77777777" w:rsidR="0040300B" w:rsidRDefault="0040300B">
            <w:pPr>
              <w:rPr>
                <w:rFonts w:ascii="宋体"/>
              </w:rPr>
            </w:pPr>
          </w:p>
        </w:tc>
        <w:tc>
          <w:tcPr>
            <w:tcW w:w="26" w:type="pct"/>
            <w:shd w:val="clear" w:color="auto" w:fill="auto"/>
          </w:tcPr>
          <w:p w14:paraId="7B6709BE" w14:textId="77777777" w:rsidR="0040300B" w:rsidRDefault="0040300B">
            <w:pPr>
              <w:rPr>
                <w:rFonts w:ascii="宋体"/>
              </w:rPr>
            </w:pPr>
          </w:p>
        </w:tc>
        <w:tc>
          <w:tcPr>
            <w:tcW w:w="5" w:type="pct"/>
            <w:shd w:val="clear" w:color="auto" w:fill="auto"/>
          </w:tcPr>
          <w:p w14:paraId="7B6709BF" w14:textId="77777777" w:rsidR="0040300B" w:rsidRDefault="0040300B">
            <w:pPr>
              <w:rPr>
                <w:rFonts w:ascii="宋体"/>
              </w:rPr>
            </w:pPr>
          </w:p>
        </w:tc>
        <w:tc>
          <w:tcPr>
            <w:tcW w:w="50" w:type="pct"/>
            <w:shd w:val="clear" w:color="auto" w:fill="auto"/>
          </w:tcPr>
          <w:p w14:paraId="7B6709C0" w14:textId="77777777" w:rsidR="0040300B" w:rsidRDefault="0040300B">
            <w:pPr>
              <w:rPr>
                <w:rFonts w:ascii="宋体"/>
              </w:rPr>
            </w:pPr>
          </w:p>
        </w:tc>
        <w:tc>
          <w:tcPr>
            <w:tcW w:w="420" w:type="pct"/>
            <w:shd w:val="clear" w:color="auto" w:fill="auto"/>
          </w:tcPr>
          <w:p w14:paraId="7B6709C1" w14:textId="77777777" w:rsidR="0040300B" w:rsidRDefault="0040300B">
            <w:pPr>
              <w:rPr>
                <w:rFonts w:ascii="宋体"/>
              </w:rPr>
            </w:pPr>
          </w:p>
        </w:tc>
        <w:tc>
          <w:tcPr>
            <w:tcW w:w="5" w:type="pct"/>
            <w:shd w:val="clear" w:color="auto" w:fill="auto"/>
          </w:tcPr>
          <w:p w14:paraId="7B6709C2" w14:textId="77777777" w:rsidR="0040300B" w:rsidRDefault="0040300B">
            <w:pPr>
              <w:rPr>
                <w:rFonts w:ascii="宋体"/>
              </w:rPr>
            </w:pPr>
          </w:p>
        </w:tc>
        <w:tc>
          <w:tcPr>
            <w:tcW w:w="5" w:type="pct"/>
            <w:shd w:val="clear" w:color="auto" w:fill="auto"/>
          </w:tcPr>
          <w:p w14:paraId="7B6709C3" w14:textId="77777777" w:rsidR="0040300B" w:rsidRDefault="0040300B">
            <w:pPr>
              <w:rPr>
                <w:rFonts w:ascii="宋体"/>
              </w:rPr>
            </w:pPr>
          </w:p>
        </w:tc>
        <w:tc>
          <w:tcPr>
            <w:tcW w:w="26" w:type="pct"/>
            <w:shd w:val="clear" w:color="auto" w:fill="auto"/>
          </w:tcPr>
          <w:p w14:paraId="7B6709C4" w14:textId="77777777" w:rsidR="0040300B" w:rsidRDefault="0040300B">
            <w:pPr>
              <w:rPr>
                <w:rFonts w:ascii="宋体"/>
              </w:rPr>
            </w:pPr>
          </w:p>
        </w:tc>
        <w:tc>
          <w:tcPr>
            <w:tcW w:w="5" w:type="pct"/>
            <w:shd w:val="clear" w:color="auto" w:fill="auto"/>
          </w:tcPr>
          <w:p w14:paraId="7B6709C5" w14:textId="77777777" w:rsidR="0040300B" w:rsidRDefault="0040300B">
            <w:pPr>
              <w:rPr>
                <w:rFonts w:ascii="宋体"/>
              </w:rPr>
            </w:pPr>
          </w:p>
        </w:tc>
        <w:tc>
          <w:tcPr>
            <w:tcW w:w="50" w:type="pct"/>
            <w:shd w:val="clear" w:color="auto" w:fill="auto"/>
          </w:tcPr>
          <w:p w14:paraId="7B6709C6" w14:textId="77777777" w:rsidR="0040300B" w:rsidRDefault="0040300B">
            <w:pPr>
              <w:rPr>
                <w:rFonts w:ascii="宋体"/>
              </w:rPr>
            </w:pPr>
          </w:p>
        </w:tc>
        <w:tc>
          <w:tcPr>
            <w:tcW w:w="383" w:type="pct"/>
            <w:shd w:val="clear" w:color="auto" w:fill="auto"/>
          </w:tcPr>
          <w:p w14:paraId="7B6709C7" w14:textId="77777777" w:rsidR="0040300B" w:rsidRDefault="0040300B">
            <w:pPr>
              <w:rPr>
                <w:rFonts w:ascii="宋体"/>
              </w:rPr>
            </w:pPr>
          </w:p>
        </w:tc>
        <w:tc>
          <w:tcPr>
            <w:tcW w:w="5" w:type="pct"/>
            <w:shd w:val="clear" w:color="auto" w:fill="auto"/>
          </w:tcPr>
          <w:p w14:paraId="7B6709C8" w14:textId="77777777" w:rsidR="0040300B" w:rsidRDefault="0040300B">
            <w:pPr>
              <w:rPr>
                <w:rFonts w:ascii="宋体"/>
              </w:rPr>
            </w:pPr>
          </w:p>
        </w:tc>
        <w:tc>
          <w:tcPr>
            <w:tcW w:w="5" w:type="pct"/>
            <w:shd w:val="clear" w:color="auto" w:fill="auto"/>
          </w:tcPr>
          <w:p w14:paraId="7B6709C9" w14:textId="77777777" w:rsidR="0040300B" w:rsidRDefault="0040300B">
            <w:pPr>
              <w:rPr>
                <w:rFonts w:ascii="宋体"/>
              </w:rPr>
            </w:pPr>
          </w:p>
        </w:tc>
        <w:tc>
          <w:tcPr>
            <w:tcW w:w="26" w:type="pct"/>
            <w:shd w:val="clear" w:color="auto" w:fill="auto"/>
          </w:tcPr>
          <w:p w14:paraId="7B6709CA" w14:textId="77777777" w:rsidR="0040300B" w:rsidRDefault="0040300B">
            <w:pPr>
              <w:rPr>
                <w:rFonts w:ascii="宋体"/>
              </w:rPr>
            </w:pPr>
          </w:p>
        </w:tc>
        <w:tc>
          <w:tcPr>
            <w:tcW w:w="5" w:type="pct"/>
            <w:shd w:val="clear" w:color="auto" w:fill="auto"/>
          </w:tcPr>
          <w:p w14:paraId="7B6709CB" w14:textId="77777777" w:rsidR="0040300B" w:rsidRDefault="0040300B">
            <w:pPr>
              <w:rPr>
                <w:rFonts w:ascii="宋体"/>
              </w:rPr>
            </w:pPr>
          </w:p>
        </w:tc>
        <w:tc>
          <w:tcPr>
            <w:tcW w:w="50" w:type="pct"/>
            <w:shd w:val="clear" w:color="auto" w:fill="auto"/>
          </w:tcPr>
          <w:p w14:paraId="7B6709CC" w14:textId="77777777" w:rsidR="0040300B" w:rsidRDefault="0040300B">
            <w:pPr>
              <w:rPr>
                <w:rFonts w:ascii="宋体"/>
              </w:rPr>
            </w:pPr>
          </w:p>
        </w:tc>
        <w:tc>
          <w:tcPr>
            <w:tcW w:w="383" w:type="pct"/>
            <w:shd w:val="clear" w:color="auto" w:fill="auto"/>
          </w:tcPr>
          <w:p w14:paraId="7B6709CD" w14:textId="77777777" w:rsidR="0040300B" w:rsidRDefault="0040300B">
            <w:pPr>
              <w:rPr>
                <w:rFonts w:ascii="宋体"/>
              </w:rPr>
            </w:pPr>
          </w:p>
        </w:tc>
        <w:tc>
          <w:tcPr>
            <w:tcW w:w="5" w:type="pct"/>
            <w:shd w:val="clear" w:color="auto" w:fill="auto"/>
          </w:tcPr>
          <w:p w14:paraId="7B6709CE" w14:textId="77777777" w:rsidR="0040300B" w:rsidRDefault="0040300B">
            <w:pPr>
              <w:rPr>
                <w:rFonts w:ascii="宋体"/>
              </w:rPr>
            </w:pPr>
          </w:p>
        </w:tc>
        <w:tc>
          <w:tcPr>
            <w:tcW w:w="5" w:type="pct"/>
            <w:shd w:val="clear" w:color="auto" w:fill="auto"/>
          </w:tcPr>
          <w:p w14:paraId="7B6709CF" w14:textId="77777777" w:rsidR="0040300B" w:rsidRDefault="0040300B">
            <w:pPr>
              <w:rPr>
                <w:rFonts w:ascii="宋体"/>
              </w:rPr>
            </w:pPr>
          </w:p>
        </w:tc>
        <w:tc>
          <w:tcPr>
            <w:tcW w:w="26" w:type="pct"/>
            <w:shd w:val="clear" w:color="auto" w:fill="auto"/>
          </w:tcPr>
          <w:p w14:paraId="7B6709D0" w14:textId="77777777" w:rsidR="0040300B" w:rsidRDefault="0040300B">
            <w:pPr>
              <w:rPr>
                <w:rFonts w:ascii="宋体"/>
              </w:rPr>
            </w:pPr>
          </w:p>
        </w:tc>
        <w:tc>
          <w:tcPr>
            <w:tcW w:w="5" w:type="pct"/>
            <w:shd w:val="clear" w:color="auto" w:fill="auto"/>
          </w:tcPr>
          <w:p w14:paraId="7B6709D1" w14:textId="77777777" w:rsidR="0040300B" w:rsidRDefault="0040300B">
            <w:pPr>
              <w:rPr>
                <w:rFonts w:ascii="宋体"/>
              </w:rPr>
            </w:pPr>
          </w:p>
        </w:tc>
        <w:tc>
          <w:tcPr>
            <w:tcW w:w="50" w:type="pct"/>
            <w:shd w:val="clear" w:color="auto" w:fill="auto"/>
          </w:tcPr>
          <w:p w14:paraId="7B6709D2" w14:textId="77777777" w:rsidR="0040300B" w:rsidRDefault="0040300B">
            <w:pPr>
              <w:rPr>
                <w:rFonts w:ascii="宋体"/>
              </w:rPr>
            </w:pPr>
          </w:p>
        </w:tc>
        <w:tc>
          <w:tcPr>
            <w:tcW w:w="420" w:type="pct"/>
            <w:shd w:val="clear" w:color="auto" w:fill="auto"/>
          </w:tcPr>
          <w:p w14:paraId="7B6709D3" w14:textId="77777777" w:rsidR="0040300B" w:rsidRDefault="0040300B">
            <w:pPr>
              <w:rPr>
                <w:rFonts w:ascii="宋体"/>
              </w:rPr>
            </w:pPr>
          </w:p>
        </w:tc>
        <w:tc>
          <w:tcPr>
            <w:tcW w:w="5" w:type="pct"/>
            <w:shd w:val="clear" w:color="auto" w:fill="auto"/>
          </w:tcPr>
          <w:p w14:paraId="7B6709D4" w14:textId="77777777" w:rsidR="0040300B" w:rsidRDefault="0040300B">
            <w:pPr>
              <w:rPr>
                <w:rFonts w:ascii="宋体"/>
              </w:rPr>
            </w:pPr>
          </w:p>
        </w:tc>
        <w:tc>
          <w:tcPr>
            <w:tcW w:w="5" w:type="pct"/>
            <w:shd w:val="clear" w:color="auto" w:fill="auto"/>
          </w:tcPr>
          <w:p w14:paraId="7B6709D5" w14:textId="77777777" w:rsidR="0040300B" w:rsidRDefault="0040300B">
            <w:pPr>
              <w:rPr>
                <w:rFonts w:ascii="宋体"/>
              </w:rPr>
            </w:pPr>
          </w:p>
        </w:tc>
        <w:tc>
          <w:tcPr>
            <w:tcW w:w="26" w:type="pct"/>
            <w:shd w:val="clear" w:color="auto" w:fill="auto"/>
          </w:tcPr>
          <w:p w14:paraId="7B6709D6" w14:textId="77777777" w:rsidR="0040300B" w:rsidRDefault="0040300B">
            <w:pPr>
              <w:rPr>
                <w:rFonts w:ascii="宋体"/>
              </w:rPr>
            </w:pPr>
          </w:p>
        </w:tc>
        <w:tc>
          <w:tcPr>
            <w:tcW w:w="5" w:type="pct"/>
            <w:shd w:val="clear" w:color="auto" w:fill="auto"/>
          </w:tcPr>
          <w:p w14:paraId="7B6709D7" w14:textId="77777777" w:rsidR="0040300B" w:rsidRDefault="0040300B">
            <w:pPr>
              <w:rPr>
                <w:rFonts w:ascii="宋体"/>
              </w:rPr>
            </w:pPr>
          </w:p>
        </w:tc>
        <w:tc>
          <w:tcPr>
            <w:tcW w:w="50" w:type="pct"/>
            <w:shd w:val="clear" w:color="auto" w:fill="auto"/>
          </w:tcPr>
          <w:p w14:paraId="7B6709D8" w14:textId="77777777" w:rsidR="0040300B" w:rsidRDefault="0040300B">
            <w:pPr>
              <w:rPr>
                <w:rFonts w:ascii="宋体"/>
              </w:rPr>
            </w:pPr>
          </w:p>
        </w:tc>
        <w:tc>
          <w:tcPr>
            <w:tcW w:w="420" w:type="pct"/>
            <w:shd w:val="clear" w:color="auto" w:fill="auto"/>
          </w:tcPr>
          <w:p w14:paraId="7B6709D9" w14:textId="77777777" w:rsidR="0040300B" w:rsidRDefault="0040300B">
            <w:pPr>
              <w:rPr>
                <w:rFonts w:ascii="宋体"/>
              </w:rPr>
            </w:pPr>
          </w:p>
        </w:tc>
        <w:tc>
          <w:tcPr>
            <w:tcW w:w="5" w:type="pct"/>
            <w:shd w:val="clear" w:color="auto" w:fill="auto"/>
          </w:tcPr>
          <w:p w14:paraId="7B6709DA" w14:textId="77777777" w:rsidR="0040300B" w:rsidRDefault="0040300B">
            <w:pPr>
              <w:rPr>
                <w:rFonts w:ascii="宋体"/>
              </w:rPr>
            </w:pPr>
          </w:p>
        </w:tc>
        <w:tc>
          <w:tcPr>
            <w:tcW w:w="5" w:type="pct"/>
            <w:shd w:val="clear" w:color="auto" w:fill="auto"/>
          </w:tcPr>
          <w:p w14:paraId="7B6709DB" w14:textId="77777777" w:rsidR="0040300B" w:rsidRDefault="0040300B">
            <w:pPr>
              <w:rPr>
                <w:rFonts w:ascii="宋体"/>
              </w:rPr>
            </w:pPr>
          </w:p>
        </w:tc>
        <w:tc>
          <w:tcPr>
            <w:tcW w:w="26" w:type="pct"/>
            <w:shd w:val="clear" w:color="auto" w:fill="auto"/>
          </w:tcPr>
          <w:p w14:paraId="7B6709DC" w14:textId="77777777" w:rsidR="0040300B" w:rsidRDefault="0040300B">
            <w:pPr>
              <w:rPr>
                <w:rFonts w:ascii="宋体"/>
              </w:rPr>
            </w:pPr>
          </w:p>
        </w:tc>
        <w:tc>
          <w:tcPr>
            <w:tcW w:w="5" w:type="pct"/>
            <w:shd w:val="clear" w:color="auto" w:fill="auto"/>
          </w:tcPr>
          <w:p w14:paraId="7B6709DD" w14:textId="77777777" w:rsidR="0040300B" w:rsidRDefault="0040300B">
            <w:pPr>
              <w:rPr>
                <w:rFonts w:ascii="宋体"/>
              </w:rPr>
            </w:pPr>
          </w:p>
        </w:tc>
        <w:tc>
          <w:tcPr>
            <w:tcW w:w="50" w:type="pct"/>
            <w:shd w:val="clear" w:color="auto" w:fill="auto"/>
          </w:tcPr>
          <w:p w14:paraId="7B6709DE" w14:textId="77777777" w:rsidR="0040300B" w:rsidRDefault="0040300B">
            <w:pPr>
              <w:rPr>
                <w:rFonts w:ascii="宋体"/>
              </w:rPr>
            </w:pPr>
          </w:p>
        </w:tc>
        <w:tc>
          <w:tcPr>
            <w:tcW w:w="383" w:type="pct"/>
            <w:shd w:val="clear" w:color="auto" w:fill="auto"/>
          </w:tcPr>
          <w:p w14:paraId="7B6709DF" w14:textId="77777777" w:rsidR="0040300B" w:rsidRDefault="0040300B">
            <w:pPr>
              <w:rPr>
                <w:rFonts w:ascii="宋体"/>
              </w:rPr>
            </w:pPr>
          </w:p>
        </w:tc>
        <w:tc>
          <w:tcPr>
            <w:tcW w:w="5" w:type="pct"/>
            <w:shd w:val="clear" w:color="auto" w:fill="auto"/>
          </w:tcPr>
          <w:p w14:paraId="7B6709E0" w14:textId="77777777" w:rsidR="0040300B" w:rsidRDefault="0040300B">
            <w:pPr>
              <w:rPr>
                <w:rFonts w:ascii="宋体"/>
              </w:rPr>
            </w:pPr>
          </w:p>
        </w:tc>
        <w:tc>
          <w:tcPr>
            <w:tcW w:w="5" w:type="pct"/>
            <w:shd w:val="clear" w:color="auto" w:fill="auto"/>
          </w:tcPr>
          <w:p w14:paraId="7B6709E1" w14:textId="77777777" w:rsidR="0040300B" w:rsidRDefault="0040300B">
            <w:pPr>
              <w:rPr>
                <w:rFonts w:ascii="宋体"/>
              </w:rPr>
            </w:pPr>
          </w:p>
        </w:tc>
        <w:tc>
          <w:tcPr>
            <w:tcW w:w="26" w:type="pct"/>
            <w:shd w:val="clear" w:color="auto" w:fill="auto"/>
          </w:tcPr>
          <w:p w14:paraId="7B6709E2" w14:textId="77777777" w:rsidR="0040300B" w:rsidRDefault="0040300B">
            <w:pPr>
              <w:rPr>
                <w:rFonts w:ascii="宋体"/>
              </w:rPr>
            </w:pPr>
          </w:p>
        </w:tc>
        <w:tc>
          <w:tcPr>
            <w:tcW w:w="5" w:type="pct"/>
            <w:shd w:val="clear" w:color="auto" w:fill="auto"/>
          </w:tcPr>
          <w:p w14:paraId="7B6709E3" w14:textId="77777777" w:rsidR="0040300B" w:rsidRDefault="0040300B">
            <w:pPr>
              <w:rPr>
                <w:rFonts w:ascii="宋体"/>
              </w:rPr>
            </w:pPr>
          </w:p>
        </w:tc>
        <w:tc>
          <w:tcPr>
            <w:tcW w:w="50" w:type="pct"/>
            <w:shd w:val="clear" w:color="auto" w:fill="auto"/>
          </w:tcPr>
          <w:p w14:paraId="7B6709E4" w14:textId="77777777" w:rsidR="0040300B" w:rsidRDefault="0040300B">
            <w:pPr>
              <w:rPr>
                <w:rFonts w:ascii="宋体"/>
              </w:rPr>
            </w:pPr>
          </w:p>
        </w:tc>
        <w:tc>
          <w:tcPr>
            <w:tcW w:w="384" w:type="pct"/>
            <w:shd w:val="clear" w:color="auto" w:fill="auto"/>
          </w:tcPr>
          <w:p w14:paraId="7B6709E5" w14:textId="77777777" w:rsidR="0040300B" w:rsidRDefault="0040300B">
            <w:pPr>
              <w:rPr>
                <w:rFonts w:ascii="宋体"/>
              </w:rPr>
            </w:pPr>
          </w:p>
        </w:tc>
        <w:tc>
          <w:tcPr>
            <w:tcW w:w="5" w:type="pct"/>
            <w:shd w:val="clear" w:color="auto" w:fill="auto"/>
          </w:tcPr>
          <w:p w14:paraId="7B6709E6" w14:textId="77777777" w:rsidR="0040300B" w:rsidRDefault="0040300B">
            <w:pPr>
              <w:rPr>
                <w:rFonts w:ascii="宋体"/>
              </w:rPr>
            </w:pPr>
          </w:p>
        </w:tc>
      </w:tr>
      <w:tr w:rsidR="0040300B" w14:paraId="7B6709ED" w14:textId="77777777">
        <w:trPr>
          <w:jc w:val="center"/>
        </w:trPr>
        <w:tc>
          <w:tcPr>
            <w:tcW w:w="0" w:type="auto"/>
            <w:gridSpan w:val="3"/>
            <w:shd w:val="clear" w:color="auto" w:fill="auto"/>
            <w:tcMar>
              <w:top w:w="0" w:type="dxa"/>
              <w:left w:w="20" w:type="dxa"/>
              <w:bottom w:w="0" w:type="dxa"/>
              <w:right w:w="20" w:type="dxa"/>
            </w:tcMar>
          </w:tcPr>
          <w:p w14:paraId="7B6709E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9E9"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9EA"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9EB"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9EC"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9FF" w14:textId="77777777">
        <w:trPr>
          <w:jc w:val="center"/>
        </w:trPr>
        <w:tc>
          <w:tcPr>
            <w:tcW w:w="0" w:type="auto"/>
            <w:gridSpan w:val="3"/>
            <w:shd w:val="clear" w:color="auto" w:fill="auto"/>
            <w:tcMar>
              <w:top w:w="0" w:type="dxa"/>
              <w:left w:w="20" w:type="dxa"/>
              <w:bottom w:w="0" w:type="dxa"/>
              <w:right w:w="20" w:type="dxa"/>
            </w:tcMar>
          </w:tcPr>
          <w:p w14:paraId="7B6709E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9E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9F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2"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9F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4"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9F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6"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09F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8"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tcBorders>
              <w:top w:val="single" w:sz="8" w:space="0" w:color="000000"/>
            </w:tcBorders>
            <w:shd w:val="clear" w:color="auto" w:fill="auto"/>
            <w:tcMar>
              <w:top w:w="0" w:type="dxa"/>
              <w:left w:w="20" w:type="dxa"/>
              <w:bottom w:w="0" w:type="dxa"/>
              <w:right w:w="20" w:type="dxa"/>
            </w:tcMar>
          </w:tcPr>
          <w:p w14:paraId="7B6709F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A" w14:textId="77777777" w:rsidR="0040300B" w:rsidRDefault="00BB2D44">
            <w:pPr>
              <w:jc w:val="center"/>
              <w:textAlignment w:val="bottom"/>
            </w:pPr>
            <w:r>
              <w:rPr>
                <w:rFonts w:ascii="Times New Roman" w:eastAsia="宋体" w:hAnsi="Times New Roman"/>
                <w:color w:val="000000"/>
                <w:sz w:val="18"/>
                <w:szCs w:val="18"/>
              </w:rPr>
              <w:t>April 25, 2020</w:t>
            </w:r>
          </w:p>
        </w:tc>
        <w:tc>
          <w:tcPr>
            <w:tcW w:w="0" w:type="auto"/>
            <w:gridSpan w:val="3"/>
            <w:tcBorders>
              <w:top w:val="single" w:sz="8" w:space="0" w:color="000000"/>
            </w:tcBorders>
            <w:shd w:val="clear" w:color="auto" w:fill="auto"/>
            <w:tcMar>
              <w:top w:w="0" w:type="dxa"/>
              <w:left w:w="20" w:type="dxa"/>
              <w:bottom w:w="0" w:type="dxa"/>
              <w:right w:w="20" w:type="dxa"/>
            </w:tcMar>
          </w:tcPr>
          <w:p w14:paraId="7B6709F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C"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9F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9FE"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0A11" w14:textId="77777777">
        <w:trPr>
          <w:jc w:val="center"/>
        </w:trPr>
        <w:tc>
          <w:tcPr>
            <w:tcW w:w="0" w:type="auto"/>
            <w:gridSpan w:val="3"/>
            <w:shd w:val="clear" w:color="auto" w:fill="CCEEFF"/>
            <w:tcMar>
              <w:top w:w="40" w:type="dxa"/>
              <w:left w:w="20" w:type="dxa"/>
              <w:bottom w:w="40" w:type="dxa"/>
              <w:right w:w="20" w:type="dxa"/>
            </w:tcMar>
            <w:vAlign w:val="bottom"/>
          </w:tcPr>
          <w:p w14:paraId="7B670A00" w14:textId="77777777" w:rsidR="0040300B" w:rsidRDefault="00BB2D44">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tcPr>
          <w:p w14:paraId="7B670A0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0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0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A10" w14:textId="77777777" w:rsidR="0040300B" w:rsidRDefault="0040300B">
            <w:pPr>
              <w:rPr>
                <w:rFonts w:ascii="宋体"/>
              </w:rPr>
            </w:pPr>
          </w:p>
        </w:tc>
      </w:tr>
      <w:tr w:rsidR="00BB2D44" w14:paraId="7B670A31" w14:textId="77777777">
        <w:trPr>
          <w:jc w:val="center"/>
        </w:trPr>
        <w:tc>
          <w:tcPr>
            <w:tcW w:w="0" w:type="auto"/>
            <w:gridSpan w:val="3"/>
            <w:shd w:val="clear" w:color="auto" w:fill="FFFFFF"/>
            <w:tcMar>
              <w:top w:w="40" w:type="dxa"/>
              <w:left w:w="155" w:type="dxa"/>
              <w:bottom w:w="40" w:type="dxa"/>
              <w:right w:w="20" w:type="dxa"/>
            </w:tcMar>
            <w:vAlign w:val="bottom"/>
          </w:tcPr>
          <w:p w14:paraId="7B670A12" w14:textId="77777777" w:rsidR="0040300B" w:rsidRDefault="00BB2D44">
            <w:pPr>
              <w:textAlignment w:val="bottom"/>
            </w:pPr>
            <w:r>
              <w:rPr>
                <w:rFonts w:ascii="Times New Roman" w:eastAsia="宋体" w:hAnsi="Times New Roman"/>
                <w:color w:val="000000"/>
                <w:sz w:val="20"/>
                <w:szCs w:val="20"/>
              </w:rPr>
              <w:t>America</w:t>
            </w:r>
            <w:r>
              <w:rPr>
                <w:rFonts w:ascii="Times New Roman" w:eastAsia="宋体" w:hAnsi="Times New Roman"/>
                <w:color w:val="000000"/>
                <w:sz w:val="20"/>
                <w:szCs w:val="20"/>
              </w:rPr>
              <w:t>s</w:t>
            </w:r>
          </w:p>
        </w:tc>
        <w:tc>
          <w:tcPr>
            <w:tcW w:w="0" w:type="auto"/>
            <w:gridSpan w:val="3"/>
            <w:shd w:val="clear" w:color="auto" w:fill="FFFFFF"/>
            <w:tcMar>
              <w:top w:w="0" w:type="dxa"/>
              <w:left w:w="20" w:type="dxa"/>
              <w:bottom w:w="0" w:type="dxa"/>
              <w:right w:w="20" w:type="dxa"/>
            </w:tcMar>
          </w:tcPr>
          <w:p w14:paraId="7B670A1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1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15" w14:textId="77777777" w:rsidR="0040300B" w:rsidRDefault="00BB2D44">
            <w:pPr>
              <w:jc w:val="right"/>
              <w:textAlignment w:val="bottom"/>
            </w:pPr>
            <w:r>
              <w:rPr>
                <w:rFonts w:ascii="Times New Roman" w:eastAsia="宋体" w:hAnsi="Times New Roman"/>
                <w:color w:val="000000"/>
                <w:sz w:val="20"/>
                <w:szCs w:val="20"/>
              </w:rPr>
              <w:t>7,262 </w:t>
            </w:r>
          </w:p>
        </w:tc>
        <w:tc>
          <w:tcPr>
            <w:tcW w:w="0" w:type="auto"/>
            <w:shd w:val="clear" w:color="auto" w:fill="FFFFFF"/>
            <w:tcMar>
              <w:top w:w="40" w:type="dxa"/>
              <w:left w:w="0" w:type="dxa"/>
              <w:bottom w:w="40" w:type="dxa"/>
              <w:right w:w="20" w:type="dxa"/>
            </w:tcMar>
            <w:vAlign w:val="bottom"/>
          </w:tcPr>
          <w:p w14:paraId="7B670A1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17"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1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19" w14:textId="77777777" w:rsidR="0040300B" w:rsidRDefault="00BB2D44">
            <w:pPr>
              <w:jc w:val="right"/>
              <w:textAlignment w:val="bottom"/>
            </w:pPr>
            <w:r>
              <w:rPr>
                <w:rFonts w:ascii="Times New Roman" w:eastAsia="宋体" w:hAnsi="Times New Roman"/>
                <w:color w:val="000000"/>
                <w:sz w:val="20"/>
                <w:szCs w:val="20"/>
              </w:rPr>
              <w:t>7,116 </w:t>
            </w:r>
          </w:p>
        </w:tc>
        <w:tc>
          <w:tcPr>
            <w:tcW w:w="0" w:type="auto"/>
            <w:shd w:val="clear" w:color="auto" w:fill="FFFFFF"/>
            <w:tcMar>
              <w:top w:w="40" w:type="dxa"/>
              <w:left w:w="0" w:type="dxa"/>
              <w:bottom w:w="40" w:type="dxa"/>
              <w:right w:w="20" w:type="dxa"/>
            </w:tcMar>
            <w:vAlign w:val="bottom"/>
          </w:tcPr>
          <w:p w14:paraId="7B670A1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1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1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1D" w14:textId="77777777" w:rsidR="0040300B" w:rsidRDefault="00BB2D44">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7B670A1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1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20"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B670A21"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A2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2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24" w14:textId="77777777" w:rsidR="0040300B" w:rsidRDefault="00BB2D44">
            <w:pPr>
              <w:jc w:val="right"/>
              <w:textAlignment w:val="bottom"/>
            </w:pPr>
            <w:r>
              <w:rPr>
                <w:rFonts w:ascii="Times New Roman" w:eastAsia="宋体" w:hAnsi="Times New Roman"/>
                <w:color w:val="000000"/>
                <w:sz w:val="20"/>
                <w:szCs w:val="20"/>
              </w:rPr>
              <w:t>21,430 </w:t>
            </w:r>
          </w:p>
        </w:tc>
        <w:tc>
          <w:tcPr>
            <w:tcW w:w="0" w:type="auto"/>
            <w:shd w:val="clear" w:color="auto" w:fill="FFFFFF"/>
            <w:tcMar>
              <w:top w:w="40" w:type="dxa"/>
              <w:left w:w="0" w:type="dxa"/>
              <w:bottom w:w="40" w:type="dxa"/>
              <w:right w:w="20" w:type="dxa"/>
            </w:tcMar>
            <w:vAlign w:val="bottom"/>
          </w:tcPr>
          <w:p w14:paraId="7B670A2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2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2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28" w14:textId="77777777" w:rsidR="0040300B" w:rsidRDefault="00BB2D44">
            <w:pPr>
              <w:jc w:val="right"/>
              <w:textAlignment w:val="bottom"/>
            </w:pPr>
            <w:r>
              <w:rPr>
                <w:rFonts w:ascii="Times New Roman" w:eastAsia="宋体" w:hAnsi="Times New Roman"/>
                <w:color w:val="000000"/>
                <w:sz w:val="20"/>
                <w:szCs w:val="20"/>
              </w:rPr>
              <w:t>22,106 </w:t>
            </w:r>
          </w:p>
        </w:tc>
        <w:tc>
          <w:tcPr>
            <w:tcW w:w="0" w:type="auto"/>
            <w:shd w:val="clear" w:color="auto" w:fill="FFFFFF"/>
            <w:tcMar>
              <w:top w:w="40" w:type="dxa"/>
              <w:left w:w="0" w:type="dxa"/>
              <w:bottom w:w="40" w:type="dxa"/>
              <w:right w:w="20" w:type="dxa"/>
            </w:tcMar>
            <w:vAlign w:val="bottom"/>
          </w:tcPr>
          <w:p w14:paraId="7B670A2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2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A2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A2C" w14:textId="77777777" w:rsidR="0040300B" w:rsidRDefault="00BB2D44">
            <w:pPr>
              <w:jc w:val="right"/>
              <w:textAlignment w:val="bottom"/>
            </w:pPr>
            <w:r>
              <w:rPr>
                <w:rFonts w:ascii="Times New Roman" w:eastAsia="宋体" w:hAnsi="Times New Roman"/>
                <w:color w:val="000000"/>
                <w:sz w:val="20"/>
                <w:szCs w:val="20"/>
              </w:rPr>
              <w:t>(676)</w:t>
            </w:r>
          </w:p>
        </w:tc>
        <w:tc>
          <w:tcPr>
            <w:tcW w:w="0" w:type="auto"/>
            <w:shd w:val="clear" w:color="auto" w:fill="FFFFFF"/>
            <w:tcMar>
              <w:top w:w="40" w:type="dxa"/>
              <w:left w:w="0" w:type="dxa"/>
              <w:bottom w:w="40" w:type="dxa"/>
              <w:right w:w="20" w:type="dxa"/>
            </w:tcMar>
            <w:vAlign w:val="bottom"/>
          </w:tcPr>
          <w:p w14:paraId="7B670A2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2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2F" w14:textId="77777777" w:rsidR="0040300B" w:rsidRDefault="00BB2D4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B670A30"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A47" w14:textId="77777777">
        <w:trPr>
          <w:jc w:val="center"/>
        </w:trPr>
        <w:tc>
          <w:tcPr>
            <w:tcW w:w="0" w:type="auto"/>
            <w:gridSpan w:val="3"/>
            <w:shd w:val="clear" w:color="auto" w:fill="CCEEFF"/>
            <w:tcMar>
              <w:top w:w="40" w:type="dxa"/>
              <w:left w:w="155" w:type="dxa"/>
              <w:bottom w:w="40" w:type="dxa"/>
              <w:right w:w="20" w:type="dxa"/>
            </w:tcMar>
            <w:vAlign w:val="bottom"/>
          </w:tcPr>
          <w:p w14:paraId="7B670A32" w14:textId="77777777" w:rsidR="0040300B" w:rsidRDefault="00BB2D4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7B670A3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34" w14:textId="77777777" w:rsidR="0040300B" w:rsidRDefault="00BB2D44">
            <w:pPr>
              <w:jc w:val="right"/>
              <w:textAlignment w:val="bottom"/>
            </w:pPr>
            <w:r>
              <w:rPr>
                <w:rFonts w:ascii="Times New Roman" w:eastAsia="宋体" w:hAnsi="Times New Roman"/>
                <w:i/>
                <w:iCs/>
                <w:color w:val="000000"/>
                <w:sz w:val="20"/>
                <w:szCs w:val="20"/>
              </w:rPr>
              <w:t>56.7 </w:t>
            </w:r>
          </w:p>
        </w:tc>
        <w:tc>
          <w:tcPr>
            <w:tcW w:w="0" w:type="auto"/>
            <w:shd w:val="clear" w:color="auto" w:fill="CCEEFF"/>
            <w:tcMar>
              <w:top w:w="40" w:type="dxa"/>
              <w:left w:w="0" w:type="dxa"/>
              <w:bottom w:w="40" w:type="dxa"/>
              <w:right w:w="20" w:type="dxa"/>
            </w:tcMar>
            <w:vAlign w:val="bottom"/>
          </w:tcPr>
          <w:p w14:paraId="7B670A3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3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37" w14:textId="77777777" w:rsidR="0040300B" w:rsidRDefault="00BB2D44">
            <w:pPr>
              <w:jc w:val="right"/>
              <w:textAlignment w:val="bottom"/>
            </w:pPr>
            <w:r>
              <w:rPr>
                <w:rFonts w:ascii="Times New Roman" w:eastAsia="宋体" w:hAnsi="Times New Roman"/>
                <w:i/>
                <w:iCs/>
                <w:color w:val="000000"/>
                <w:sz w:val="20"/>
                <w:szCs w:val="20"/>
              </w:rPr>
              <w:t>59.4 </w:t>
            </w:r>
          </w:p>
        </w:tc>
        <w:tc>
          <w:tcPr>
            <w:tcW w:w="0" w:type="auto"/>
            <w:shd w:val="clear" w:color="auto" w:fill="CCEEFF"/>
            <w:tcMar>
              <w:top w:w="40" w:type="dxa"/>
              <w:left w:w="0" w:type="dxa"/>
              <w:bottom w:w="40" w:type="dxa"/>
              <w:right w:w="20" w:type="dxa"/>
            </w:tcMar>
            <w:vAlign w:val="bottom"/>
          </w:tcPr>
          <w:p w14:paraId="7B670A3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3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3A"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3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3C"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3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3E" w14:textId="77777777" w:rsidR="0040300B" w:rsidRDefault="00BB2D44">
            <w:pPr>
              <w:jc w:val="right"/>
              <w:textAlignment w:val="bottom"/>
            </w:pPr>
            <w:r>
              <w:rPr>
                <w:rFonts w:ascii="Times New Roman" w:eastAsia="宋体" w:hAnsi="Times New Roman"/>
                <w:i/>
                <w:iCs/>
                <w:color w:val="000000"/>
                <w:sz w:val="20"/>
                <w:szCs w:val="20"/>
              </w:rPr>
              <w:t>58.4 </w:t>
            </w:r>
          </w:p>
        </w:tc>
        <w:tc>
          <w:tcPr>
            <w:tcW w:w="0" w:type="auto"/>
            <w:shd w:val="clear" w:color="auto" w:fill="CCEEFF"/>
            <w:tcMar>
              <w:top w:w="40" w:type="dxa"/>
              <w:left w:w="0" w:type="dxa"/>
              <w:bottom w:w="40" w:type="dxa"/>
              <w:right w:w="20" w:type="dxa"/>
            </w:tcMar>
            <w:vAlign w:val="bottom"/>
          </w:tcPr>
          <w:p w14:paraId="7B670A3F"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4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41" w14:textId="77777777" w:rsidR="0040300B" w:rsidRDefault="00BB2D44">
            <w:pPr>
              <w:jc w:val="right"/>
              <w:textAlignment w:val="bottom"/>
            </w:pPr>
            <w:r>
              <w:rPr>
                <w:rFonts w:ascii="Times New Roman" w:eastAsia="宋体" w:hAnsi="Times New Roman"/>
                <w:i/>
                <w:iCs/>
                <w:color w:val="000000"/>
                <w:sz w:val="20"/>
                <w:szCs w:val="20"/>
              </w:rPr>
              <w:t>59.5 </w:t>
            </w:r>
          </w:p>
        </w:tc>
        <w:tc>
          <w:tcPr>
            <w:tcW w:w="0" w:type="auto"/>
            <w:shd w:val="clear" w:color="auto" w:fill="CCEEFF"/>
            <w:tcMar>
              <w:top w:w="40" w:type="dxa"/>
              <w:left w:w="0" w:type="dxa"/>
              <w:bottom w:w="40" w:type="dxa"/>
              <w:right w:w="20" w:type="dxa"/>
            </w:tcMar>
            <w:vAlign w:val="bottom"/>
          </w:tcPr>
          <w:p w14:paraId="7B670A4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4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4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4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46" w14:textId="77777777" w:rsidR="0040300B" w:rsidRDefault="0040300B">
            <w:pPr>
              <w:rPr>
                <w:rFonts w:ascii="宋体"/>
              </w:rPr>
            </w:pPr>
          </w:p>
        </w:tc>
      </w:tr>
      <w:tr w:rsidR="0040300B" w14:paraId="7B670A61" w14:textId="77777777">
        <w:trPr>
          <w:jc w:val="center"/>
        </w:trPr>
        <w:tc>
          <w:tcPr>
            <w:tcW w:w="0" w:type="auto"/>
            <w:gridSpan w:val="3"/>
            <w:shd w:val="clear" w:color="auto" w:fill="FFFFFF"/>
            <w:tcMar>
              <w:top w:w="40" w:type="dxa"/>
              <w:left w:w="155" w:type="dxa"/>
              <w:bottom w:w="40" w:type="dxa"/>
              <w:right w:w="20" w:type="dxa"/>
            </w:tcMar>
            <w:vAlign w:val="bottom"/>
          </w:tcPr>
          <w:p w14:paraId="7B670A48" w14:textId="77777777" w:rsidR="0040300B" w:rsidRDefault="00BB2D4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7B670A4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4A" w14:textId="77777777" w:rsidR="0040300B" w:rsidRDefault="00BB2D44">
            <w:pPr>
              <w:jc w:val="right"/>
              <w:textAlignment w:val="bottom"/>
            </w:pPr>
            <w:r>
              <w:rPr>
                <w:rFonts w:ascii="Times New Roman" w:eastAsia="宋体" w:hAnsi="Times New Roman"/>
                <w:color w:val="000000"/>
                <w:sz w:val="20"/>
                <w:szCs w:val="20"/>
              </w:rPr>
              <w:t>3,483 </w:t>
            </w:r>
          </w:p>
        </w:tc>
        <w:tc>
          <w:tcPr>
            <w:tcW w:w="0" w:type="auto"/>
            <w:shd w:val="clear" w:color="auto" w:fill="FFFFFF"/>
            <w:tcMar>
              <w:top w:w="40" w:type="dxa"/>
              <w:left w:w="0" w:type="dxa"/>
              <w:bottom w:w="40" w:type="dxa"/>
              <w:right w:w="20" w:type="dxa"/>
            </w:tcMar>
            <w:vAlign w:val="bottom"/>
          </w:tcPr>
          <w:p w14:paraId="7B670A4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4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4D" w14:textId="77777777" w:rsidR="0040300B" w:rsidRDefault="00BB2D44">
            <w:pPr>
              <w:jc w:val="right"/>
              <w:textAlignment w:val="bottom"/>
            </w:pPr>
            <w:r>
              <w:rPr>
                <w:rFonts w:ascii="Times New Roman" w:eastAsia="宋体" w:hAnsi="Times New Roman"/>
                <w:color w:val="000000"/>
                <w:sz w:val="20"/>
                <w:szCs w:val="20"/>
              </w:rPr>
              <w:t>3,136 </w:t>
            </w:r>
          </w:p>
        </w:tc>
        <w:tc>
          <w:tcPr>
            <w:tcW w:w="0" w:type="auto"/>
            <w:shd w:val="clear" w:color="auto" w:fill="FFFFFF"/>
            <w:tcMar>
              <w:top w:w="40" w:type="dxa"/>
              <w:left w:w="0" w:type="dxa"/>
              <w:bottom w:w="40" w:type="dxa"/>
              <w:right w:w="20" w:type="dxa"/>
            </w:tcMar>
            <w:vAlign w:val="bottom"/>
          </w:tcPr>
          <w:p w14:paraId="7B670A4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4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0" w14:textId="77777777" w:rsidR="0040300B" w:rsidRDefault="00BB2D44">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7B670A5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5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3" w14:textId="77777777" w:rsidR="0040300B" w:rsidRDefault="00BB2D4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B670A5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A5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6" w14:textId="77777777" w:rsidR="0040300B" w:rsidRDefault="00BB2D44">
            <w:pPr>
              <w:jc w:val="right"/>
              <w:textAlignment w:val="bottom"/>
            </w:pPr>
            <w:r>
              <w:rPr>
                <w:rFonts w:ascii="Times New Roman" w:eastAsia="宋体" w:hAnsi="Times New Roman"/>
                <w:color w:val="000000"/>
                <w:sz w:val="20"/>
                <w:szCs w:val="20"/>
              </w:rPr>
              <w:t>9,654 </w:t>
            </w:r>
          </w:p>
        </w:tc>
        <w:tc>
          <w:tcPr>
            <w:tcW w:w="0" w:type="auto"/>
            <w:shd w:val="clear" w:color="auto" w:fill="FFFFFF"/>
            <w:tcMar>
              <w:top w:w="40" w:type="dxa"/>
              <w:left w:w="0" w:type="dxa"/>
              <w:bottom w:w="40" w:type="dxa"/>
              <w:right w:w="20" w:type="dxa"/>
            </w:tcMar>
            <w:vAlign w:val="bottom"/>
          </w:tcPr>
          <w:p w14:paraId="7B670A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5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9" w14:textId="77777777" w:rsidR="0040300B" w:rsidRDefault="00BB2D44">
            <w:pPr>
              <w:jc w:val="right"/>
              <w:textAlignment w:val="bottom"/>
            </w:pPr>
            <w:r>
              <w:rPr>
                <w:rFonts w:ascii="Times New Roman" w:eastAsia="宋体" w:hAnsi="Times New Roman"/>
                <w:color w:val="000000"/>
                <w:sz w:val="20"/>
                <w:szCs w:val="20"/>
              </w:rPr>
              <w:t>9,553 </w:t>
            </w:r>
          </w:p>
        </w:tc>
        <w:tc>
          <w:tcPr>
            <w:tcW w:w="0" w:type="auto"/>
            <w:shd w:val="clear" w:color="auto" w:fill="FFFFFF"/>
            <w:tcMar>
              <w:top w:w="40" w:type="dxa"/>
              <w:left w:w="0" w:type="dxa"/>
              <w:bottom w:w="40" w:type="dxa"/>
              <w:right w:w="20" w:type="dxa"/>
            </w:tcMar>
            <w:vAlign w:val="bottom"/>
          </w:tcPr>
          <w:p w14:paraId="7B670A5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5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C" w14:textId="77777777" w:rsidR="0040300B" w:rsidRDefault="00BB2D44">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7B670A5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5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5F"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70A60"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A77" w14:textId="77777777">
        <w:trPr>
          <w:jc w:val="center"/>
        </w:trPr>
        <w:tc>
          <w:tcPr>
            <w:tcW w:w="0" w:type="auto"/>
            <w:gridSpan w:val="3"/>
            <w:shd w:val="clear" w:color="auto" w:fill="CCEEFF"/>
            <w:tcMar>
              <w:top w:w="40" w:type="dxa"/>
              <w:left w:w="155" w:type="dxa"/>
              <w:bottom w:w="40" w:type="dxa"/>
              <w:right w:w="20" w:type="dxa"/>
            </w:tcMar>
            <w:vAlign w:val="bottom"/>
          </w:tcPr>
          <w:p w14:paraId="7B670A62" w14:textId="77777777" w:rsidR="0040300B" w:rsidRDefault="00BB2D4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7B670A6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64" w14:textId="77777777" w:rsidR="0040300B" w:rsidRDefault="00BB2D44">
            <w:pPr>
              <w:jc w:val="right"/>
              <w:textAlignment w:val="bottom"/>
            </w:pPr>
            <w:r>
              <w:rPr>
                <w:rFonts w:ascii="Times New Roman" w:eastAsia="宋体" w:hAnsi="Times New Roman"/>
                <w:i/>
                <w:iCs/>
                <w:color w:val="000000"/>
                <w:sz w:val="20"/>
                <w:szCs w:val="20"/>
              </w:rPr>
              <w:t>27.2 </w:t>
            </w:r>
          </w:p>
        </w:tc>
        <w:tc>
          <w:tcPr>
            <w:tcW w:w="0" w:type="auto"/>
            <w:shd w:val="clear" w:color="auto" w:fill="CCEEFF"/>
            <w:tcMar>
              <w:top w:w="40" w:type="dxa"/>
              <w:left w:w="0" w:type="dxa"/>
              <w:bottom w:w="40" w:type="dxa"/>
              <w:right w:w="20" w:type="dxa"/>
            </w:tcMar>
            <w:vAlign w:val="bottom"/>
          </w:tcPr>
          <w:p w14:paraId="7B670A6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6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67" w14:textId="77777777" w:rsidR="0040300B" w:rsidRDefault="00BB2D44">
            <w:pPr>
              <w:jc w:val="right"/>
              <w:textAlignment w:val="bottom"/>
            </w:pPr>
            <w:r>
              <w:rPr>
                <w:rFonts w:ascii="Times New Roman" w:eastAsia="宋体" w:hAnsi="Times New Roman"/>
                <w:i/>
                <w:iCs/>
                <w:color w:val="000000"/>
                <w:sz w:val="20"/>
                <w:szCs w:val="20"/>
              </w:rPr>
              <w:t>26.2 </w:t>
            </w:r>
          </w:p>
        </w:tc>
        <w:tc>
          <w:tcPr>
            <w:tcW w:w="0" w:type="auto"/>
            <w:shd w:val="clear" w:color="auto" w:fill="CCEEFF"/>
            <w:tcMar>
              <w:top w:w="40" w:type="dxa"/>
              <w:left w:w="0" w:type="dxa"/>
              <w:bottom w:w="40" w:type="dxa"/>
              <w:right w:w="20" w:type="dxa"/>
            </w:tcMar>
            <w:vAlign w:val="bottom"/>
          </w:tcPr>
          <w:p w14:paraId="7B670A6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6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6A"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6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6C"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6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6E" w14:textId="77777777" w:rsidR="0040300B" w:rsidRDefault="00BB2D44">
            <w:pPr>
              <w:jc w:val="right"/>
              <w:textAlignment w:val="bottom"/>
            </w:pPr>
            <w:r>
              <w:rPr>
                <w:rFonts w:ascii="Times New Roman" w:eastAsia="宋体" w:hAnsi="Times New Roman"/>
                <w:i/>
                <w:iCs/>
                <w:color w:val="000000"/>
                <w:sz w:val="20"/>
                <w:szCs w:val="20"/>
              </w:rPr>
              <w:t>26.3 </w:t>
            </w:r>
          </w:p>
        </w:tc>
        <w:tc>
          <w:tcPr>
            <w:tcW w:w="0" w:type="auto"/>
            <w:shd w:val="clear" w:color="auto" w:fill="CCEEFF"/>
            <w:tcMar>
              <w:top w:w="40" w:type="dxa"/>
              <w:left w:w="0" w:type="dxa"/>
              <w:bottom w:w="40" w:type="dxa"/>
              <w:right w:w="20" w:type="dxa"/>
            </w:tcMar>
            <w:vAlign w:val="bottom"/>
          </w:tcPr>
          <w:p w14:paraId="7B670A6F"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7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71" w14:textId="77777777" w:rsidR="0040300B" w:rsidRDefault="00BB2D44">
            <w:pPr>
              <w:jc w:val="right"/>
              <w:textAlignment w:val="bottom"/>
            </w:pPr>
            <w:r>
              <w:rPr>
                <w:rFonts w:ascii="Times New Roman" w:eastAsia="宋体" w:hAnsi="Times New Roman"/>
                <w:i/>
                <w:iCs/>
                <w:color w:val="000000"/>
                <w:sz w:val="20"/>
                <w:szCs w:val="20"/>
              </w:rPr>
              <w:t>25.7 </w:t>
            </w:r>
          </w:p>
        </w:tc>
        <w:tc>
          <w:tcPr>
            <w:tcW w:w="0" w:type="auto"/>
            <w:shd w:val="clear" w:color="auto" w:fill="CCEEFF"/>
            <w:tcMar>
              <w:top w:w="40" w:type="dxa"/>
              <w:left w:w="0" w:type="dxa"/>
              <w:bottom w:w="40" w:type="dxa"/>
              <w:right w:w="20" w:type="dxa"/>
            </w:tcMar>
            <w:vAlign w:val="bottom"/>
          </w:tcPr>
          <w:p w14:paraId="7B670A7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7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7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7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76" w14:textId="77777777" w:rsidR="0040300B" w:rsidRDefault="0040300B">
            <w:pPr>
              <w:rPr>
                <w:rFonts w:ascii="宋体"/>
              </w:rPr>
            </w:pPr>
          </w:p>
        </w:tc>
      </w:tr>
      <w:tr w:rsidR="0040300B" w14:paraId="7B670A91" w14:textId="77777777">
        <w:trPr>
          <w:jc w:val="center"/>
        </w:trPr>
        <w:tc>
          <w:tcPr>
            <w:tcW w:w="0" w:type="auto"/>
            <w:gridSpan w:val="3"/>
            <w:shd w:val="clear" w:color="auto" w:fill="FFFFFF"/>
            <w:tcMar>
              <w:top w:w="40" w:type="dxa"/>
              <w:left w:w="155" w:type="dxa"/>
              <w:bottom w:w="40" w:type="dxa"/>
              <w:right w:w="20" w:type="dxa"/>
            </w:tcMar>
            <w:vAlign w:val="bottom"/>
          </w:tcPr>
          <w:p w14:paraId="7B670A78" w14:textId="77777777" w:rsidR="0040300B" w:rsidRDefault="00BB2D4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7B670A7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7A" w14:textId="77777777" w:rsidR="0040300B" w:rsidRDefault="00BB2D44">
            <w:pPr>
              <w:jc w:val="right"/>
              <w:textAlignment w:val="bottom"/>
            </w:pPr>
            <w:r>
              <w:rPr>
                <w:rFonts w:ascii="Times New Roman" w:eastAsia="宋体" w:hAnsi="Times New Roman"/>
                <w:color w:val="000000"/>
                <w:sz w:val="20"/>
                <w:szCs w:val="20"/>
              </w:rPr>
              <w:t>2,057 </w:t>
            </w:r>
          </w:p>
        </w:tc>
        <w:tc>
          <w:tcPr>
            <w:tcW w:w="0" w:type="auto"/>
            <w:shd w:val="clear" w:color="auto" w:fill="FFFFFF"/>
            <w:tcMar>
              <w:top w:w="40" w:type="dxa"/>
              <w:left w:w="0" w:type="dxa"/>
              <w:bottom w:w="40" w:type="dxa"/>
              <w:right w:w="20" w:type="dxa"/>
            </w:tcMar>
            <w:vAlign w:val="bottom"/>
          </w:tcPr>
          <w:p w14:paraId="7B670A7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7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7D" w14:textId="77777777" w:rsidR="0040300B" w:rsidRDefault="00BB2D44">
            <w:pPr>
              <w:jc w:val="right"/>
              <w:textAlignment w:val="bottom"/>
            </w:pPr>
            <w:r>
              <w:rPr>
                <w:rFonts w:ascii="Times New Roman" w:eastAsia="宋体" w:hAnsi="Times New Roman"/>
                <w:color w:val="000000"/>
                <w:sz w:val="20"/>
                <w:szCs w:val="20"/>
              </w:rPr>
              <w:t>1,730 </w:t>
            </w:r>
          </w:p>
        </w:tc>
        <w:tc>
          <w:tcPr>
            <w:tcW w:w="0" w:type="auto"/>
            <w:shd w:val="clear" w:color="auto" w:fill="FFFFFF"/>
            <w:tcMar>
              <w:top w:w="40" w:type="dxa"/>
              <w:left w:w="0" w:type="dxa"/>
              <w:bottom w:w="40" w:type="dxa"/>
              <w:right w:w="20" w:type="dxa"/>
            </w:tcMar>
            <w:vAlign w:val="bottom"/>
          </w:tcPr>
          <w:p w14:paraId="7B670A7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7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0" w14:textId="77777777" w:rsidR="0040300B" w:rsidRDefault="00BB2D44">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7B670A8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8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3"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B670A8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A8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6" w14:textId="77777777" w:rsidR="0040300B" w:rsidRDefault="00BB2D44">
            <w:pPr>
              <w:jc w:val="right"/>
              <w:textAlignment w:val="bottom"/>
            </w:pPr>
            <w:r>
              <w:rPr>
                <w:rFonts w:ascii="Times New Roman" w:eastAsia="宋体" w:hAnsi="Times New Roman"/>
                <w:color w:val="000000"/>
                <w:sz w:val="20"/>
                <w:szCs w:val="20"/>
              </w:rPr>
              <w:t>5,608 </w:t>
            </w:r>
          </w:p>
        </w:tc>
        <w:tc>
          <w:tcPr>
            <w:tcW w:w="0" w:type="auto"/>
            <w:shd w:val="clear" w:color="auto" w:fill="FFFFFF"/>
            <w:tcMar>
              <w:top w:w="40" w:type="dxa"/>
              <w:left w:w="0" w:type="dxa"/>
              <w:bottom w:w="40" w:type="dxa"/>
              <w:right w:w="20" w:type="dxa"/>
            </w:tcMar>
            <w:vAlign w:val="bottom"/>
          </w:tcPr>
          <w:p w14:paraId="7B670A8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8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9" w14:textId="77777777" w:rsidR="0040300B" w:rsidRDefault="00BB2D44">
            <w:pPr>
              <w:jc w:val="right"/>
              <w:textAlignment w:val="bottom"/>
            </w:pPr>
            <w:r>
              <w:rPr>
                <w:rFonts w:ascii="Times New Roman" w:eastAsia="宋体" w:hAnsi="Times New Roman"/>
                <w:color w:val="000000"/>
                <w:sz w:val="20"/>
                <w:szCs w:val="20"/>
              </w:rPr>
              <w:t>5,489 </w:t>
            </w:r>
          </w:p>
        </w:tc>
        <w:tc>
          <w:tcPr>
            <w:tcW w:w="0" w:type="auto"/>
            <w:shd w:val="clear" w:color="auto" w:fill="FFFFFF"/>
            <w:tcMar>
              <w:top w:w="40" w:type="dxa"/>
              <w:left w:w="0" w:type="dxa"/>
              <w:bottom w:w="40" w:type="dxa"/>
              <w:right w:w="20" w:type="dxa"/>
            </w:tcMar>
            <w:vAlign w:val="bottom"/>
          </w:tcPr>
          <w:p w14:paraId="7B670A8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8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C" w14:textId="77777777" w:rsidR="0040300B" w:rsidRDefault="00BB2D44">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bottom"/>
          </w:tcPr>
          <w:p w14:paraId="7B670A8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8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8F"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B670A90"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AA7" w14:textId="77777777">
        <w:trPr>
          <w:jc w:val="center"/>
        </w:trPr>
        <w:tc>
          <w:tcPr>
            <w:tcW w:w="0" w:type="auto"/>
            <w:gridSpan w:val="3"/>
            <w:shd w:val="clear" w:color="auto" w:fill="CCEEFF"/>
            <w:tcMar>
              <w:top w:w="40" w:type="dxa"/>
              <w:left w:w="155" w:type="dxa"/>
              <w:bottom w:w="40" w:type="dxa"/>
              <w:right w:w="20" w:type="dxa"/>
            </w:tcMar>
            <w:vAlign w:val="bottom"/>
          </w:tcPr>
          <w:p w14:paraId="7B670A92" w14:textId="77777777" w:rsidR="0040300B" w:rsidRDefault="00BB2D4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tcPr>
          <w:p w14:paraId="7B670A9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94" w14:textId="77777777" w:rsidR="0040300B" w:rsidRDefault="00BB2D44">
            <w:pPr>
              <w:jc w:val="right"/>
              <w:textAlignment w:val="bottom"/>
            </w:pPr>
            <w:r>
              <w:rPr>
                <w:rFonts w:ascii="Times New Roman" w:eastAsia="宋体" w:hAnsi="Times New Roman"/>
                <w:i/>
                <w:iCs/>
                <w:color w:val="000000"/>
                <w:sz w:val="20"/>
                <w:szCs w:val="20"/>
              </w:rPr>
              <w:t>16.1 </w:t>
            </w:r>
          </w:p>
        </w:tc>
        <w:tc>
          <w:tcPr>
            <w:tcW w:w="0" w:type="auto"/>
            <w:shd w:val="clear" w:color="auto" w:fill="CCEEFF"/>
            <w:tcMar>
              <w:top w:w="40" w:type="dxa"/>
              <w:left w:w="0" w:type="dxa"/>
              <w:bottom w:w="40" w:type="dxa"/>
              <w:right w:w="20" w:type="dxa"/>
            </w:tcMar>
            <w:vAlign w:val="bottom"/>
          </w:tcPr>
          <w:p w14:paraId="7B670A9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9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97" w14:textId="77777777" w:rsidR="0040300B" w:rsidRDefault="00BB2D44">
            <w:pPr>
              <w:jc w:val="right"/>
              <w:textAlignment w:val="bottom"/>
            </w:pPr>
            <w:r>
              <w:rPr>
                <w:rFonts w:ascii="Times New Roman" w:eastAsia="宋体" w:hAnsi="Times New Roman"/>
                <w:i/>
                <w:iCs/>
                <w:color w:val="000000"/>
                <w:sz w:val="20"/>
                <w:szCs w:val="20"/>
              </w:rPr>
              <w:t>14.4 </w:t>
            </w:r>
          </w:p>
        </w:tc>
        <w:tc>
          <w:tcPr>
            <w:tcW w:w="0" w:type="auto"/>
            <w:shd w:val="clear" w:color="auto" w:fill="CCEEFF"/>
            <w:tcMar>
              <w:top w:w="40" w:type="dxa"/>
              <w:left w:w="0" w:type="dxa"/>
              <w:bottom w:w="40" w:type="dxa"/>
              <w:right w:w="20" w:type="dxa"/>
            </w:tcMar>
            <w:vAlign w:val="bottom"/>
          </w:tcPr>
          <w:p w14:paraId="7B670A9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9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9A"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9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A9C"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tcPr>
          <w:p w14:paraId="7B670A9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9E" w14:textId="77777777" w:rsidR="0040300B" w:rsidRDefault="00BB2D44">
            <w:pPr>
              <w:jc w:val="right"/>
              <w:textAlignment w:val="bottom"/>
            </w:pPr>
            <w:r>
              <w:rPr>
                <w:rFonts w:ascii="Times New Roman" w:eastAsia="宋体" w:hAnsi="Times New Roman"/>
                <w:i/>
                <w:iCs/>
                <w:color w:val="000000"/>
                <w:sz w:val="20"/>
                <w:szCs w:val="20"/>
              </w:rPr>
              <w:t>15.3 </w:t>
            </w:r>
          </w:p>
        </w:tc>
        <w:tc>
          <w:tcPr>
            <w:tcW w:w="0" w:type="auto"/>
            <w:shd w:val="clear" w:color="auto" w:fill="CCEEFF"/>
            <w:tcMar>
              <w:top w:w="40" w:type="dxa"/>
              <w:left w:w="0" w:type="dxa"/>
              <w:bottom w:w="40" w:type="dxa"/>
              <w:right w:w="20" w:type="dxa"/>
            </w:tcMar>
            <w:vAlign w:val="bottom"/>
          </w:tcPr>
          <w:p w14:paraId="7B670A9F"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A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AA1" w14:textId="77777777" w:rsidR="0040300B" w:rsidRDefault="00BB2D44">
            <w:pPr>
              <w:jc w:val="right"/>
              <w:textAlignment w:val="bottom"/>
            </w:pPr>
            <w:r>
              <w:rPr>
                <w:rFonts w:ascii="Times New Roman" w:eastAsia="宋体" w:hAnsi="Times New Roman"/>
                <w:i/>
                <w:iCs/>
                <w:color w:val="000000"/>
                <w:sz w:val="20"/>
                <w:szCs w:val="20"/>
              </w:rPr>
              <w:t>14.8 </w:t>
            </w:r>
          </w:p>
        </w:tc>
        <w:tc>
          <w:tcPr>
            <w:tcW w:w="0" w:type="auto"/>
            <w:shd w:val="clear" w:color="auto" w:fill="CCEEFF"/>
            <w:tcMar>
              <w:top w:w="40" w:type="dxa"/>
              <w:left w:w="0" w:type="dxa"/>
              <w:bottom w:w="40" w:type="dxa"/>
              <w:right w:w="20" w:type="dxa"/>
            </w:tcMar>
            <w:vAlign w:val="bottom"/>
          </w:tcPr>
          <w:p w14:paraId="7B670AA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AA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A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A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AA6" w14:textId="77777777" w:rsidR="0040300B" w:rsidRDefault="0040300B">
            <w:pPr>
              <w:rPr>
                <w:rFonts w:ascii="宋体"/>
              </w:rPr>
            </w:pPr>
          </w:p>
        </w:tc>
      </w:tr>
      <w:tr w:rsidR="00BB2D44" w14:paraId="7B670AC7" w14:textId="77777777">
        <w:trPr>
          <w:jc w:val="center"/>
        </w:trPr>
        <w:tc>
          <w:tcPr>
            <w:tcW w:w="0" w:type="auto"/>
            <w:gridSpan w:val="3"/>
            <w:shd w:val="clear" w:color="auto" w:fill="FFFFFF"/>
            <w:tcMar>
              <w:top w:w="40" w:type="dxa"/>
              <w:left w:w="515" w:type="dxa"/>
              <w:bottom w:w="40" w:type="dxa"/>
              <w:right w:w="20" w:type="dxa"/>
            </w:tcMar>
            <w:vAlign w:val="bottom"/>
          </w:tcPr>
          <w:p w14:paraId="7B670AA8"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0AA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A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AB" w14:textId="77777777" w:rsidR="0040300B" w:rsidRDefault="00BB2D44">
            <w:pPr>
              <w:jc w:val="right"/>
              <w:textAlignment w:val="bottom"/>
            </w:pPr>
            <w:r>
              <w:rPr>
                <w:rFonts w:ascii="Times New Roman" w:eastAsia="宋体" w:hAnsi="Times New Roman"/>
                <w:color w:val="000000"/>
                <w:sz w:val="20"/>
                <w:szCs w:val="20"/>
              </w:rPr>
              <w:t>12,803 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A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A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A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AF" w14:textId="77777777" w:rsidR="0040300B" w:rsidRDefault="00BB2D44">
            <w:pPr>
              <w:jc w:val="right"/>
              <w:textAlignment w:val="bottom"/>
            </w:pPr>
            <w:r>
              <w:rPr>
                <w:rFonts w:ascii="Times New Roman" w:eastAsia="宋体" w:hAnsi="Times New Roman"/>
                <w:color w:val="000000"/>
                <w:sz w:val="20"/>
                <w:szCs w:val="20"/>
              </w:rPr>
              <w:t>11,983 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B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B1"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B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B3" w14:textId="77777777" w:rsidR="0040300B" w:rsidRDefault="00BB2D44">
            <w:pPr>
              <w:jc w:val="right"/>
              <w:textAlignment w:val="bottom"/>
            </w:pPr>
            <w:r>
              <w:rPr>
                <w:rFonts w:ascii="Times New Roman" w:eastAsia="宋体" w:hAnsi="Times New Roman"/>
                <w:color w:val="000000"/>
                <w:sz w:val="20"/>
                <w:szCs w:val="20"/>
              </w:rPr>
              <w:t>820 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B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B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B6"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B670AB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AB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B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BA" w14:textId="77777777" w:rsidR="0040300B" w:rsidRDefault="00BB2D44">
            <w:pPr>
              <w:jc w:val="right"/>
              <w:textAlignment w:val="bottom"/>
            </w:pPr>
            <w:r>
              <w:rPr>
                <w:rFonts w:ascii="Times New Roman" w:eastAsia="宋体" w:hAnsi="Times New Roman"/>
                <w:color w:val="000000"/>
                <w:sz w:val="20"/>
                <w:szCs w:val="20"/>
              </w:rPr>
              <w:t>36,692 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B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B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B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BE" w14:textId="77777777" w:rsidR="0040300B" w:rsidRDefault="00BB2D44">
            <w:pPr>
              <w:jc w:val="right"/>
              <w:textAlignment w:val="bottom"/>
            </w:pPr>
            <w:r>
              <w:rPr>
                <w:rFonts w:ascii="Times New Roman" w:eastAsia="宋体" w:hAnsi="Times New Roman"/>
                <w:color w:val="000000"/>
                <w:sz w:val="20"/>
                <w:szCs w:val="20"/>
              </w:rPr>
              <w:t>37,147 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B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C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AC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AC2" w14:textId="77777777" w:rsidR="0040300B" w:rsidRDefault="00BB2D44">
            <w:pPr>
              <w:jc w:val="right"/>
              <w:textAlignment w:val="bottom"/>
            </w:pPr>
            <w:r>
              <w:rPr>
                <w:rFonts w:ascii="Times New Roman" w:eastAsia="宋体" w:hAnsi="Times New Roman"/>
                <w:color w:val="000000"/>
                <w:sz w:val="20"/>
                <w:szCs w:val="20"/>
              </w:rPr>
              <w:t>(455)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AC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AC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AC5"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70AC6" w14:textId="77777777" w:rsidR="0040300B" w:rsidRDefault="00BB2D44">
            <w:pPr>
              <w:jc w:val="right"/>
              <w:textAlignment w:val="bottom"/>
            </w:pPr>
            <w:r>
              <w:rPr>
                <w:rFonts w:ascii="Times New Roman" w:eastAsia="宋体" w:hAnsi="Times New Roman"/>
                <w:color w:val="000000"/>
                <w:sz w:val="20"/>
                <w:szCs w:val="20"/>
              </w:rPr>
              <w:t>%</w:t>
            </w:r>
          </w:p>
        </w:tc>
      </w:tr>
    </w:tbl>
    <w:p w14:paraId="7B670AC8" w14:textId="77777777" w:rsidR="0040300B" w:rsidRDefault="00BB2D44">
      <w:pPr>
        <w:spacing w:before="120"/>
        <w:jc w:val="both"/>
      </w:pPr>
      <w:r>
        <w:rPr>
          <w:rFonts w:ascii="Times New Roman" w:eastAsia="宋体" w:hAnsi="Times New Roman"/>
          <w:color w:val="000000"/>
          <w:sz w:val="20"/>
          <w:szCs w:val="20"/>
        </w:rPr>
        <w:t>Amounts ma</w:t>
      </w:r>
      <w:r>
        <w:rPr>
          <w:rFonts w:ascii="Times New Roman" w:eastAsia="宋体" w:hAnsi="Times New Roman"/>
          <w:color w:val="000000"/>
          <w:sz w:val="20"/>
          <w:szCs w:val="20"/>
        </w:rPr>
        <w:t xml:space="preserve">y not sum and percentages may not recalculate due to rounding. </w:t>
      </w:r>
    </w:p>
    <w:p w14:paraId="7B670AC9"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0ACA" w14:textId="77777777" w:rsidR="0040300B" w:rsidRDefault="00BB2D44">
      <w:pPr>
        <w:spacing w:before="120"/>
        <w:jc w:val="both"/>
      </w:pPr>
      <w:r>
        <w:rPr>
          <w:rFonts w:ascii="Times New Roman" w:eastAsia="宋体" w:hAnsi="Times New Roman"/>
          <w:color w:val="000000"/>
          <w:sz w:val="20"/>
          <w:szCs w:val="20"/>
        </w:rPr>
        <w:t>Total revenue increased by 7%. Product revenue increased by 6% and service revenue increased by 8%. The third qua</w:t>
      </w:r>
      <w:r>
        <w:rPr>
          <w:rFonts w:ascii="Times New Roman" w:eastAsia="宋体" w:hAnsi="Times New Roman"/>
          <w:color w:val="000000"/>
          <w:sz w:val="20"/>
          <w:szCs w:val="20"/>
        </w:rPr>
        <w:t xml:space="preserve">rter of fiscal 2021 had 14 weeks, compared with 13 weeks in the third quarter of fiscal 2020, thus our results for the third quarter of fiscal 2021 reflect an extra week compared with the third quarter of fiscal 2020. We estimate that the total additional </w:t>
      </w:r>
      <w:r>
        <w:rPr>
          <w:rFonts w:ascii="Times New Roman" w:eastAsia="宋体" w:hAnsi="Times New Roman"/>
          <w:color w:val="000000"/>
          <w:sz w:val="20"/>
          <w:szCs w:val="20"/>
        </w:rPr>
        <w:t>revenue associated with the extra week was approximately 3% of revenue growth. Our total revenue reflected growth across each of our geographic segments. Product revenue for the emerging countries of BRICM, in the aggregate, experienced product revenue gro</w:t>
      </w:r>
      <w:r>
        <w:rPr>
          <w:rFonts w:ascii="Times New Roman" w:eastAsia="宋体" w:hAnsi="Times New Roman"/>
          <w:color w:val="000000"/>
          <w:sz w:val="20"/>
          <w:szCs w:val="20"/>
        </w:rPr>
        <w:t>wth of 22%, with increases in each of these countries with the exception of Mexico.</w:t>
      </w:r>
    </w:p>
    <w:p w14:paraId="7B670ACB" w14:textId="77777777" w:rsidR="0040300B" w:rsidRDefault="00BB2D44">
      <w:pPr>
        <w:spacing w:before="120"/>
        <w:jc w:val="both"/>
      </w:pPr>
      <w:r>
        <w:rPr>
          <w:rFonts w:ascii="Times New Roman" w:eastAsia="宋体" w:hAnsi="Times New Roman"/>
          <w:color w:val="000000"/>
          <w:sz w:val="20"/>
          <w:szCs w:val="20"/>
        </w:rPr>
        <w:t>In addition to the impact of macroeconomic factors, including the IT spending environment and the level of spending by government entities, revenue by segment in a particul</w:t>
      </w:r>
      <w:r>
        <w:rPr>
          <w:rFonts w:ascii="Times New Roman" w:eastAsia="宋体" w:hAnsi="Times New Roman"/>
          <w:color w:val="000000"/>
          <w:sz w:val="20"/>
          <w:szCs w:val="20"/>
        </w:rPr>
        <w:t xml:space="preserve">ar period may be significantly impacted by several factors related to revenue recognition, including the complexity of transactions such as multiple performance obligations; the mix of financing arrangements provided to channel partners and customers; and </w:t>
      </w:r>
      <w:r>
        <w:rPr>
          <w:rFonts w:ascii="Times New Roman" w:eastAsia="宋体" w:hAnsi="Times New Roman"/>
          <w:color w:val="000000"/>
          <w:sz w:val="20"/>
          <w:szCs w:val="20"/>
        </w:rPr>
        <w:t>final acceptance of the product, system, or solution, among other factors. In addition, certain customers tend to make large and sporadic purchases, and the revenue related to these transactions may also be affected by the timing of revenue recognition, wh</w:t>
      </w:r>
      <w:r>
        <w:rPr>
          <w:rFonts w:ascii="Times New Roman" w:eastAsia="宋体" w:hAnsi="Times New Roman"/>
          <w:color w:val="000000"/>
          <w:sz w:val="20"/>
          <w:szCs w:val="20"/>
        </w:rPr>
        <w:t xml:space="preserve">ich in turn would impact the revenue of the relevant segment. </w:t>
      </w:r>
    </w:p>
    <w:p w14:paraId="7B670ACC"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ACD" w14:textId="77777777" w:rsidR="0040300B" w:rsidRDefault="00BB2D44">
      <w:pPr>
        <w:spacing w:before="120"/>
        <w:jc w:val="both"/>
      </w:pPr>
      <w:r>
        <w:rPr>
          <w:rFonts w:ascii="Times New Roman" w:eastAsia="宋体" w:hAnsi="Times New Roman"/>
          <w:color w:val="000000"/>
          <w:sz w:val="20"/>
          <w:szCs w:val="20"/>
        </w:rPr>
        <w:t>Total revenue decreased by 1%. Product revenue decreased by 3% and service revenue increased by 4%. Our total revenu</w:t>
      </w:r>
      <w:r>
        <w:rPr>
          <w:rFonts w:ascii="Times New Roman" w:eastAsia="宋体" w:hAnsi="Times New Roman"/>
          <w:color w:val="000000"/>
          <w:sz w:val="20"/>
          <w:szCs w:val="20"/>
        </w:rPr>
        <w:t>e reflected declines in Americas, partially offset by growth in EMEA and APJC. Product revenue for the emerging countries of BRICM, in the aggregate, experienced a 9% product revenue decline, with decreases in China, Brazil, Russia and Mexico, partially of</w:t>
      </w:r>
      <w:r>
        <w:rPr>
          <w:rFonts w:ascii="Times New Roman" w:eastAsia="宋体" w:hAnsi="Times New Roman"/>
          <w:color w:val="000000"/>
          <w:sz w:val="20"/>
          <w:szCs w:val="20"/>
        </w:rPr>
        <w:t>fset by an increase in India.</w:t>
      </w:r>
    </w:p>
    <w:p w14:paraId="7B670ACE" w14:textId="77777777" w:rsidR="0040300B" w:rsidRDefault="0040300B">
      <w:pPr>
        <w:spacing w:before="60"/>
        <w:jc w:val="both"/>
      </w:pPr>
    </w:p>
    <w:p w14:paraId="7B670ACF" w14:textId="77777777" w:rsidR="0040300B" w:rsidRDefault="00BB2D44">
      <w:pPr>
        <w:jc w:val="center"/>
      </w:pPr>
      <w:r>
        <w:rPr>
          <w:rFonts w:ascii="Times New Roman" w:eastAsia="宋体" w:hAnsi="Times New Roman"/>
          <w:color w:val="000000"/>
          <w:sz w:val="20"/>
          <w:szCs w:val="20"/>
        </w:rPr>
        <w:t>50</w:t>
      </w:r>
    </w:p>
    <w:p w14:paraId="7B670AD0" w14:textId="77777777" w:rsidR="0040300B" w:rsidRDefault="00BB2D44">
      <w:r>
        <w:pict w14:anchorId="7B671C42">
          <v:rect id="_x0000_i1074" style="width:415.3pt;height:1.5pt" o:hralign="center" o:hrstd="t" o:hr="t" fillcolor="#a0a0a0" stroked="f"/>
        </w:pict>
      </w:r>
    </w:p>
    <w:p w14:paraId="7B670AD1" w14:textId="77777777" w:rsidR="0040300B" w:rsidRDefault="00BB2D44">
      <w:hyperlink r:id="rId96"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AD2" w14:textId="77777777" w:rsidR="0040300B" w:rsidRDefault="00BB2D44">
      <w:pPr>
        <w:jc w:val="center"/>
      </w:pPr>
      <w:r>
        <w:rPr>
          <w:rFonts w:ascii="Times New Roman" w:eastAsia="宋体" w:hAnsi="Times New Roman"/>
          <w:b/>
          <w:bCs/>
          <w:color w:val="000000"/>
          <w:sz w:val="18"/>
          <w:szCs w:val="18"/>
        </w:rPr>
        <w:t>CISCO SYSTEMS, INC.</w:t>
      </w:r>
    </w:p>
    <w:p w14:paraId="7B670AD3" w14:textId="77777777" w:rsidR="0040300B" w:rsidRDefault="00BB2D44">
      <w:pPr>
        <w:jc w:val="center"/>
      </w:pPr>
      <w:r>
        <w:rPr>
          <w:rFonts w:ascii="Times New Roman" w:eastAsia="宋体" w:hAnsi="Times New Roman"/>
          <w:b/>
          <w:bCs/>
          <w:color w:val="000000"/>
          <w:sz w:val="18"/>
          <w:szCs w:val="18"/>
        </w:rPr>
        <w:t xml:space="preserve">MANAGEMENT’S </w:t>
      </w:r>
      <w:r>
        <w:rPr>
          <w:rFonts w:ascii="Times New Roman" w:eastAsia="宋体" w:hAnsi="Times New Roman"/>
          <w:b/>
          <w:bCs/>
          <w:color w:val="000000"/>
          <w:sz w:val="18"/>
          <w:szCs w:val="18"/>
        </w:rPr>
        <w:t>DISCUSSION AND ANALYSIS OF FINANCIAL CONDITION AND RESULTS OF OPERATIONS (Continued)</w:t>
      </w:r>
    </w:p>
    <w:p w14:paraId="7B670AD4" w14:textId="77777777" w:rsidR="0040300B" w:rsidRDefault="0040300B">
      <w:pPr>
        <w:jc w:val="center"/>
      </w:pPr>
    </w:p>
    <w:p w14:paraId="7B670AD5" w14:textId="77777777" w:rsidR="0040300B" w:rsidRDefault="00BB2D44">
      <w:pPr>
        <w:jc w:val="both"/>
      </w:pPr>
      <w:r>
        <w:rPr>
          <w:rFonts w:ascii="Times New Roman" w:eastAsia="宋体" w:hAnsi="Times New Roman"/>
          <w:b/>
          <w:bCs/>
          <w:color w:val="000000"/>
          <w:sz w:val="20"/>
          <w:szCs w:val="20"/>
        </w:rPr>
        <w:t>Product Revenue by Segment</w:t>
      </w:r>
    </w:p>
    <w:p w14:paraId="7B670AD6" w14:textId="77777777" w:rsidR="0040300B" w:rsidRDefault="00BB2D44">
      <w:pPr>
        <w:spacing w:before="120"/>
        <w:jc w:val="both"/>
      </w:pPr>
      <w:r>
        <w:rPr>
          <w:rFonts w:ascii="Times New Roman" w:eastAsia="宋体" w:hAnsi="Times New Roman"/>
          <w:color w:val="000000"/>
          <w:sz w:val="20"/>
          <w:szCs w:val="20"/>
        </w:rPr>
        <w:t>The following table presents the breakdown of product revenue by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70"/>
        <w:gridCol w:w="978"/>
        <w:gridCol w:w="37"/>
        <w:gridCol w:w="36"/>
        <w:gridCol w:w="35"/>
        <w:gridCol w:w="35"/>
        <w:gridCol w:w="115"/>
        <w:gridCol w:w="475"/>
        <w:gridCol w:w="178"/>
        <w:gridCol w:w="36"/>
        <w:gridCol w:w="36"/>
        <w:gridCol w:w="36"/>
        <w:gridCol w:w="116"/>
        <w:gridCol w:w="476"/>
        <w:gridCol w:w="179"/>
        <w:gridCol w:w="36"/>
        <w:gridCol w:w="36"/>
        <w:gridCol w:w="36"/>
        <w:gridCol w:w="117"/>
        <w:gridCol w:w="575"/>
        <w:gridCol w:w="36"/>
        <w:gridCol w:w="36"/>
        <w:gridCol w:w="36"/>
        <w:gridCol w:w="36"/>
        <w:gridCol w:w="77"/>
        <w:gridCol w:w="575"/>
        <w:gridCol w:w="179"/>
        <w:gridCol w:w="36"/>
        <w:gridCol w:w="36"/>
        <w:gridCol w:w="36"/>
        <w:gridCol w:w="116"/>
        <w:gridCol w:w="571"/>
        <w:gridCol w:w="179"/>
        <w:gridCol w:w="36"/>
        <w:gridCol w:w="36"/>
        <w:gridCol w:w="36"/>
        <w:gridCol w:w="116"/>
        <w:gridCol w:w="571"/>
        <w:gridCol w:w="179"/>
        <w:gridCol w:w="36"/>
        <w:gridCol w:w="36"/>
        <w:gridCol w:w="36"/>
        <w:gridCol w:w="117"/>
        <w:gridCol w:w="575"/>
        <w:gridCol w:w="36"/>
        <w:gridCol w:w="36"/>
        <w:gridCol w:w="36"/>
        <w:gridCol w:w="36"/>
        <w:gridCol w:w="77"/>
        <w:gridCol w:w="575"/>
        <w:gridCol w:w="179"/>
      </w:tblGrid>
      <w:tr w:rsidR="0040300B" w14:paraId="7B670B0A" w14:textId="77777777">
        <w:tc>
          <w:tcPr>
            <w:tcW w:w="50" w:type="pct"/>
            <w:shd w:val="clear" w:color="auto" w:fill="auto"/>
          </w:tcPr>
          <w:p w14:paraId="7B670AD7" w14:textId="77777777" w:rsidR="0040300B" w:rsidRDefault="0040300B">
            <w:pPr>
              <w:rPr>
                <w:rFonts w:ascii="宋体"/>
              </w:rPr>
            </w:pPr>
          </w:p>
        </w:tc>
        <w:tc>
          <w:tcPr>
            <w:tcW w:w="1004" w:type="pct"/>
            <w:shd w:val="clear" w:color="auto" w:fill="auto"/>
          </w:tcPr>
          <w:p w14:paraId="7B670AD8" w14:textId="77777777" w:rsidR="0040300B" w:rsidRDefault="0040300B">
            <w:pPr>
              <w:rPr>
                <w:rFonts w:ascii="宋体"/>
              </w:rPr>
            </w:pPr>
          </w:p>
        </w:tc>
        <w:tc>
          <w:tcPr>
            <w:tcW w:w="5" w:type="pct"/>
            <w:shd w:val="clear" w:color="auto" w:fill="auto"/>
          </w:tcPr>
          <w:p w14:paraId="7B670AD9" w14:textId="77777777" w:rsidR="0040300B" w:rsidRDefault="0040300B">
            <w:pPr>
              <w:rPr>
                <w:rFonts w:ascii="宋体"/>
              </w:rPr>
            </w:pPr>
          </w:p>
        </w:tc>
        <w:tc>
          <w:tcPr>
            <w:tcW w:w="5" w:type="pct"/>
            <w:shd w:val="clear" w:color="auto" w:fill="auto"/>
          </w:tcPr>
          <w:p w14:paraId="7B670ADA" w14:textId="77777777" w:rsidR="0040300B" w:rsidRDefault="0040300B">
            <w:pPr>
              <w:rPr>
                <w:rFonts w:ascii="宋体"/>
              </w:rPr>
            </w:pPr>
          </w:p>
        </w:tc>
        <w:tc>
          <w:tcPr>
            <w:tcW w:w="26" w:type="pct"/>
            <w:shd w:val="clear" w:color="auto" w:fill="auto"/>
          </w:tcPr>
          <w:p w14:paraId="7B670ADB" w14:textId="77777777" w:rsidR="0040300B" w:rsidRDefault="0040300B">
            <w:pPr>
              <w:rPr>
                <w:rFonts w:ascii="宋体"/>
              </w:rPr>
            </w:pPr>
          </w:p>
        </w:tc>
        <w:tc>
          <w:tcPr>
            <w:tcW w:w="5" w:type="pct"/>
            <w:shd w:val="clear" w:color="auto" w:fill="auto"/>
          </w:tcPr>
          <w:p w14:paraId="7B670ADC" w14:textId="77777777" w:rsidR="0040300B" w:rsidRDefault="0040300B">
            <w:pPr>
              <w:rPr>
                <w:rFonts w:ascii="宋体"/>
              </w:rPr>
            </w:pPr>
          </w:p>
        </w:tc>
        <w:tc>
          <w:tcPr>
            <w:tcW w:w="50" w:type="pct"/>
            <w:shd w:val="clear" w:color="auto" w:fill="auto"/>
          </w:tcPr>
          <w:p w14:paraId="7B670ADD" w14:textId="77777777" w:rsidR="0040300B" w:rsidRDefault="0040300B">
            <w:pPr>
              <w:rPr>
                <w:rFonts w:ascii="宋体"/>
              </w:rPr>
            </w:pPr>
          </w:p>
        </w:tc>
        <w:tc>
          <w:tcPr>
            <w:tcW w:w="420" w:type="pct"/>
            <w:shd w:val="clear" w:color="auto" w:fill="auto"/>
          </w:tcPr>
          <w:p w14:paraId="7B670ADE" w14:textId="77777777" w:rsidR="0040300B" w:rsidRDefault="0040300B">
            <w:pPr>
              <w:rPr>
                <w:rFonts w:ascii="宋体"/>
              </w:rPr>
            </w:pPr>
          </w:p>
        </w:tc>
        <w:tc>
          <w:tcPr>
            <w:tcW w:w="5" w:type="pct"/>
            <w:shd w:val="clear" w:color="auto" w:fill="auto"/>
          </w:tcPr>
          <w:p w14:paraId="7B670ADF" w14:textId="77777777" w:rsidR="0040300B" w:rsidRDefault="0040300B">
            <w:pPr>
              <w:rPr>
                <w:rFonts w:ascii="宋体"/>
              </w:rPr>
            </w:pPr>
          </w:p>
        </w:tc>
        <w:tc>
          <w:tcPr>
            <w:tcW w:w="5" w:type="pct"/>
            <w:shd w:val="clear" w:color="auto" w:fill="auto"/>
          </w:tcPr>
          <w:p w14:paraId="7B670AE0" w14:textId="77777777" w:rsidR="0040300B" w:rsidRDefault="0040300B">
            <w:pPr>
              <w:rPr>
                <w:rFonts w:ascii="宋体"/>
              </w:rPr>
            </w:pPr>
          </w:p>
        </w:tc>
        <w:tc>
          <w:tcPr>
            <w:tcW w:w="26" w:type="pct"/>
            <w:shd w:val="clear" w:color="auto" w:fill="auto"/>
          </w:tcPr>
          <w:p w14:paraId="7B670AE1" w14:textId="77777777" w:rsidR="0040300B" w:rsidRDefault="0040300B">
            <w:pPr>
              <w:rPr>
                <w:rFonts w:ascii="宋体"/>
              </w:rPr>
            </w:pPr>
          </w:p>
        </w:tc>
        <w:tc>
          <w:tcPr>
            <w:tcW w:w="5" w:type="pct"/>
            <w:shd w:val="clear" w:color="auto" w:fill="auto"/>
          </w:tcPr>
          <w:p w14:paraId="7B670AE2" w14:textId="77777777" w:rsidR="0040300B" w:rsidRDefault="0040300B">
            <w:pPr>
              <w:rPr>
                <w:rFonts w:ascii="宋体"/>
              </w:rPr>
            </w:pPr>
          </w:p>
        </w:tc>
        <w:tc>
          <w:tcPr>
            <w:tcW w:w="50" w:type="pct"/>
            <w:shd w:val="clear" w:color="auto" w:fill="auto"/>
          </w:tcPr>
          <w:p w14:paraId="7B670AE3" w14:textId="77777777" w:rsidR="0040300B" w:rsidRDefault="0040300B">
            <w:pPr>
              <w:rPr>
                <w:rFonts w:ascii="宋体"/>
              </w:rPr>
            </w:pPr>
          </w:p>
        </w:tc>
        <w:tc>
          <w:tcPr>
            <w:tcW w:w="420" w:type="pct"/>
            <w:shd w:val="clear" w:color="auto" w:fill="auto"/>
          </w:tcPr>
          <w:p w14:paraId="7B670AE4" w14:textId="77777777" w:rsidR="0040300B" w:rsidRDefault="0040300B">
            <w:pPr>
              <w:rPr>
                <w:rFonts w:ascii="宋体"/>
              </w:rPr>
            </w:pPr>
          </w:p>
        </w:tc>
        <w:tc>
          <w:tcPr>
            <w:tcW w:w="5" w:type="pct"/>
            <w:shd w:val="clear" w:color="auto" w:fill="auto"/>
          </w:tcPr>
          <w:p w14:paraId="7B670AE5" w14:textId="77777777" w:rsidR="0040300B" w:rsidRDefault="0040300B">
            <w:pPr>
              <w:rPr>
                <w:rFonts w:ascii="宋体"/>
              </w:rPr>
            </w:pPr>
          </w:p>
        </w:tc>
        <w:tc>
          <w:tcPr>
            <w:tcW w:w="5" w:type="pct"/>
            <w:shd w:val="clear" w:color="auto" w:fill="auto"/>
          </w:tcPr>
          <w:p w14:paraId="7B670AE6" w14:textId="77777777" w:rsidR="0040300B" w:rsidRDefault="0040300B">
            <w:pPr>
              <w:rPr>
                <w:rFonts w:ascii="宋体"/>
              </w:rPr>
            </w:pPr>
          </w:p>
        </w:tc>
        <w:tc>
          <w:tcPr>
            <w:tcW w:w="26" w:type="pct"/>
            <w:shd w:val="clear" w:color="auto" w:fill="auto"/>
          </w:tcPr>
          <w:p w14:paraId="7B670AE7" w14:textId="77777777" w:rsidR="0040300B" w:rsidRDefault="0040300B">
            <w:pPr>
              <w:rPr>
                <w:rFonts w:ascii="宋体"/>
              </w:rPr>
            </w:pPr>
          </w:p>
        </w:tc>
        <w:tc>
          <w:tcPr>
            <w:tcW w:w="5" w:type="pct"/>
            <w:shd w:val="clear" w:color="auto" w:fill="auto"/>
          </w:tcPr>
          <w:p w14:paraId="7B670AE8" w14:textId="77777777" w:rsidR="0040300B" w:rsidRDefault="0040300B">
            <w:pPr>
              <w:rPr>
                <w:rFonts w:ascii="宋体"/>
              </w:rPr>
            </w:pPr>
          </w:p>
        </w:tc>
        <w:tc>
          <w:tcPr>
            <w:tcW w:w="50" w:type="pct"/>
            <w:shd w:val="clear" w:color="auto" w:fill="auto"/>
          </w:tcPr>
          <w:p w14:paraId="7B670AE9" w14:textId="77777777" w:rsidR="0040300B" w:rsidRDefault="0040300B">
            <w:pPr>
              <w:rPr>
                <w:rFonts w:ascii="宋体"/>
              </w:rPr>
            </w:pPr>
          </w:p>
        </w:tc>
        <w:tc>
          <w:tcPr>
            <w:tcW w:w="383" w:type="pct"/>
            <w:shd w:val="clear" w:color="auto" w:fill="auto"/>
          </w:tcPr>
          <w:p w14:paraId="7B670AEA" w14:textId="77777777" w:rsidR="0040300B" w:rsidRDefault="0040300B">
            <w:pPr>
              <w:rPr>
                <w:rFonts w:ascii="宋体"/>
              </w:rPr>
            </w:pPr>
          </w:p>
        </w:tc>
        <w:tc>
          <w:tcPr>
            <w:tcW w:w="5" w:type="pct"/>
            <w:shd w:val="clear" w:color="auto" w:fill="auto"/>
          </w:tcPr>
          <w:p w14:paraId="7B670AEB" w14:textId="77777777" w:rsidR="0040300B" w:rsidRDefault="0040300B">
            <w:pPr>
              <w:rPr>
                <w:rFonts w:ascii="宋体"/>
              </w:rPr>
            </w:pPr>
          </w:p>
        </w:tc>
        <w:tc>
          <w:tcPr>
            <w:tcW w:w="5" w:type="pct"/>
            <w:shd w:val="clear" w:color="auto" w:fill="auto"/>
          </w:tcPr>
          <w:p w14:paraId="7B670AEC" w14:textId="77777777" w:rsidR="0040300B" w:rsidRDefault="0040300B">
            <w:pPr>
              <w:rPr>
                <w:rFonts w:ascii="宋体"/>
              </w:rPr>
            </w:pPr>
          </w:p>
        </w:tc>
        <w:tc>
          <w:tcPr>
            <w:tcW w:w="26" w:type="pct"/>
            <w:shd w:val="clear" w:color="auto" w:fill="auto"/>
          </w:tcPr>
          <w:p w14:paraId="7B670AED" w14:textId="77777777" w:rsidR="0040300B" w:rsidRDefault="0040300B">
            <w:pPr>
              <w:rPr>
                <w:rFonts w:ascii="宋体"/>
              </w:rPr>
            </w:pPr>
          </w:p>
        </w:tc>
        <w:tc>
          <w:tcPr>
            <w:tcW w:w="5" w:type="pct"/>
            <w:shd w:val="clear" w:color="auto" w:fill="auto"/>
          </w:tcPr>
          <w:p w14:paraId="7B670AEE" w14:textId="77777777" w:rsidR="0040300B" w:rsidRDefault="0040300B">
            <w:pPr>
              <w:rPr>
                <w:rFonts w:ascii="宋体"/>
              </w:rPr>
            </w:pPr>
          </w:p>
        </w:tc>
        <w:tc>
          <w:tcPr>
            <w:tcW w:w="50" w:type="pct"/>
            <w:shd w:val="clear" w:color="auto" w:fill="auto"/>
          </w:tcPr>
          <w:p w14:paraId="7B670AEF" w14:textId="77777777" w:rsidR="0040300B" w:rsidRDefault="0040300B">
            <w:pPr>
              <w:rPr>
                <w:rFonts w:ascii="宋体"/>
              </w:rPr>
            </w:pPr>
          </w:p>
        </w:tc>
        <w:tc>
          <w:tcPr>
            <w:tcW w:w="383" w:type="pct"/>
            <w:shd w:val="clear" w:color="auto" w:fill="auto"/>
          </w:tcPr>
          <w:p w14:paraId="7B670AF0" w14:textId="77777777" w:rsidR="0040300B" w:rsidRDefault="0040300B">
            <w:pPr>
              <w:rPr>
                <w:rFonts w:ascii="宋体"/>
              </w:rPr>
            </w:pPr>
          </w:p>
        </w:tc>
        <w:tc>
          <w:tcPr>
            <w:tcW w:w="5" w:type="pct"/>
            <w:shd w:val="clear" w:color="auto" w:fill="auto"/>
          </w:tcPr>
          <w:p w14:paraId="7B670AF1" w14:textId="77777777" w:rsidR="0040300B" w:rsidRDefault="0040300B">
            <w:pPr>
              <w:rPr>
                <w:rFonts w:ascii="宋体"/>
              </w:rPr>
            </w:pPr>
          </w:p>
        </w:tc>
        <w:tc>
          <w:tcPr>
            <w:tcW w:w="5" w:type="pct"/>
            <w:shd w:val="clear" w:color="auto" w:fill="auto"/>
          </w:tcPr>
          <w:p w14:paraId="7B670AF2" w14:textId="77777777" w:rsidR="0040300B" w:rsidRDefault="0040300B">
            <w:pPr>
              <w:rPr>
                <w:rFonts w:ascii="宋体"/>
              </w:rPr>
            </w:pPr>
          </w:p>
        </w:tc>
        <w:tc>
          <w:tcPr>
            <w:tcW w:w="26" w:type="pct"/>
            <w:shd w:val="clear" w:color="auto" w:fill="auto"/>
          </w:tcPr>
          <w:p w14:paraId="7B670AF3" w14:textId="77777777" w:rsidR="0040300B" w:rsidRDefault="0040300B">
            <w:pPr>
              <w:rPr>
                <w:rFonts w:ascii="宋体"/>
              </w:rPr>
            </w:pPr>
          </w:p>
        </w:tc>
        <w:tc>
          <w:tcPr>
            <w:tcW w:w="5" w:type="pct"/>
            <w:shd w:val="clear" w:color="auto" w:fill="auto"/>
          </w:tcPr>
          <w:p w14:paraId="7B670AF4" w14:textId="77777777" w:rsidR="0040300B" w:rsidRDefault="0040300B">
            <w:pPr>
              <w:rPr>
                <w:rFonts w:ascii="宋体"/>
              </w:rPr>
            </w:pPr>
          </w:p>
        </w:tc>
        <w:tc>
          <w:tcPr>
            <w:tcW w:w="50" w:type="pct"/>
            <w:shd w:val="clear" w:color="auto" w:fill="auto"/>
          </w:tcPr>
          <w:p w14:paraId="7B670AF5" w14:textId="77777777" w:rsidR="0040300B" w:rsidRDefault="0040300B">
            <w:pPr>
              <w:rPr>
                <w:rFonts w:ascii="宋体"/>
              </w:rPr>
            </w:pPr>
          </w:p>
        </w:tc>
        <w:tc>
          <w:tcPr>
            <w:tcW w:w="420" w:type="pct"/>
            <w:shd w:val="clear" w:color="auto" w:fill="auto"/>
          </w:tcPr>
          <w:p w14:paraId="7B670AF6" w14:textId="77777777" w:rsidR="0040300B" w:rsidRDefault="0040300B">
            <w:pPr>
              <w:rPr>
                <w:rFonts w:ascii="宋体"/>
              </w:rPr>
            </w:pPr>
          </w:p>
        </w:tc>
        <w:tc>
          <w:tcPr>
            <w:tcW w:w="5" w:type="pct"/>
            <w:shd w:val="clear" w:color="auto" w:fill="auto"/>
          </w:tcPr>
          <w:p w14:paraId="7B670AF7" w14:textId="77777777" w:rsidR="0040300B" w:rsidRDefault="0040300B">
            <w:pPr>
              <w:rPr>
                <w:rFonts w:ascii="宋体"/>
              </w:rPr>
            </w:pPr>
          </w:p>
        </w:tc>
        <w:tc>
          <w:tcPr>
            <w:tcW w:w="5" w:type="pct"/>
            <w:shd w:val="clear" w:color="auto" w:fill="auto"/>
          </w:tcPr>
          <w:p w14:paraId="7B670AF8" w14:textId="77777777" w:rsidR="0040300B" w:rsidRDefault="0040300B">
            <w:pPr>
              <w:rPr>
                <w:rFonts w:ascii="宋体"/>
              </w:rPr>
            </w:pPr>
          </w:p>
        </w:tc>
        <w:tc>
          <w:tcPr>
            <w:tcW w:w="26" w:type="pct"/>
            <w:shd w:val="clear" w:color="auto" w:fill="auto"/>
          </w:tcPr>
          <w:p w14:paraId="7B670AF9" w14:textId="77777777" w:rsidR="0040300B" w:rsidRDefault="0040300B">
            <w:pPr>
              <w:rPr>
                <w:rFonts w:ascii="宋体"/>
              </w:rPr>
            </w:pPr>
          </w:p>
        </w:tc>
        <w:tc>
          <w:tcPr>
            <w:tcW w:w="5" w:type="pct"/>
            <w:shd w:val="clear" w:color="auto" w:fill="auto"/>
          </w:tcPr>
          <w:p w14:paraId="7B670AFA" w14:textId="77777777" w:rsidR="0040300B" w:rsidRDefault="0040300B">
            <w:pPr>
              <w:rPr>
                <w:rFonts w:ascii="宋体"/>
              </w:rPr>
            </w:pPr>
          </w:p>
        </w:tc>
        <w:tc>
          <w:tcPr>
            <w:tcW w:w="50" w:type="pct"/>
            <w:shd w:val="clear" w:color="auto" w:fill="auto"/>
          </w:tcPr>
          <w:p w14:paraId="7B670AFB" w14:textId="77777777" w:rsidR="0040300B" w:rsidRDefault="0040300B">
            <w:pPr>
              <w:rPr>
                <w:rFonts w:ascii="宋体"/>
              </w:rPr>
            </w:pPr>
          </w:p>
        </w:tc>
        <w:tc>
          <w:tcPr>
            <w:tcW w:w="420" w:type="pct"/>
            <w:shd w:val="clear" w:color="auto" w:fill="auto"/>
          </w:tcPr>
          <w:p w14:paraId="7B670AFC" w14:textId="77777777" w:rsidR="0040300B" w:rsidRDefault="0040300B">
            <w:pPr>
              <w:rPr>
                <w:rFonts w:ascii="宋体"/>
              </w:rPr>
            </w:pPr>
          </w:p>
        </w:tc>
        <w:tc>
          <w:tcPr>
            <w:tcW w:w="5" w:type="pct"/>
            <w:shd w:val="clear" w:color="auto" w:fill="auto"/>
          </w:tcPr>
          <w:p w14:paraId="7B670AFD" w14:textId="77777777" w:rsidR="0040300B" w:rsidRDefault="0040300B">
            <w:pPr>
              <w:rPr>
                <w:rFonts w:ascii="宋体"/>
              </w:rPr>
            </w:pPr>
          </w:p>
        </w:tc>
        <w:tc>
          <w:tcPr>
            <w:tcW w:w="5" w:type="pct"/>
            <w:shd w:val="clear" w:color="auto" w:fill="auto"/>
          </w:tcPr>
          <w:p w14:paraId="7B670AFE" w14:textId="77777777" w:rsidR="0040300B" w:rsidRDefault="0040300B">
            <w:pPr>
              <w:rPr>
                <w:rFonts w:ascii="宋体"/>
              </w:rPr>
            </w:pPr>
          </w:p>
        </w:tc>
        <w:tc>
          <w:tcPr>
            <w:tcW w:w="26" w:type="pct"/>
            <w:shd w:val="clear" w:color="auto" w:fill="auto"/>
          </w:tcPr>
          <w:p w14:paraId="7B670AFF" w14:textId="77777777" w:rsidR="0040300B" w:rsidRDefault="0040300B">
            <w:pPr>
              <w:rPr>
                <w:rFonts w:ascii="宋体"/>
              </w:rPr>
            </w:pPr>
          </w:p>
        </w:tc>
        <w:tc>
          <w:tcPr>
            <w:tcW w:w="5" w:type="pct"/>
            <w:shd w:val="clear" w:color="auto" w:fill="auto"/>
          </w:tcPr>
          <w:p w14:paraId="7B670B00" w14:textId="77777777" w:rsidR="0040300B" w:rsidRDefault="0040300B">
            <w:pPr>
              <w:rPr>
                <w:rFonts w:ascii="宋体"/>
              </w:rPr>
            </w:pPr>
          </w:p>
        </w:tc>
        <w:tc>
          <w:tcPr>
            <w:tcW w:w="50" w:type="pct"/>
            <w:shd w:val="clear" w:color="auto" w:fill="auto"/>
          </w:tcPr>
          <w:p w14:paraId="7B670B01" w14:textId="77777777" w:rsidR="0040300B" w:rsidRDefault="0040300B">
            <w:pPr>
              <w:rPr>
                <w:rFonts w:ascii="宋体"/>
              </w:rPr>
            </w:pPr>
          </w:p>
        </w:tc>
        <w:tc>
          <w:tcPr>
            <w:tcW w:w="383" w:type="pct"/>
            <w:shd w:val="clear" w:color="auto" w:fill="auto"/>
          </w:tcPr>
          <w:p w14:paraId="7B670B02" w14:textId="77777777" w:rsidR="0040300B" w:rsidRDefault="0040300B">
            <w:pPr>
              <w:rPr>
                <w:rFonts w:ascii="宋体"/>
              </w:rPr>
            </w:pPr>
          </w:p>
        </w:tc>
        <w:tc>
          <w:tcPr>
            <w:tcW w:w="5" w:type="pct"/>
            <w:shd w:val="clear" w:color="auto" w:fill="auto"/>
          </w:tcPr>
          <w:p w14:paraId="7B670B03" w14:textId="77777777" w:rsidR="0040300B" w:rsidRDefault="0040300B">
            <w:pPr>
              <w:rPr>
                <w:rFonts w:ascii="宋体"/>
              </w:rPr>
            </w:pPr>
          </w:p>
        </w:tc>
        <w:tc>
          <w:tcPr>
            <w:tcW w:w="5" w:type="pct"/>
            <w:shd w:val="clear" w:color="auto" w:fill="auto"/>
          </w:tcPr>
          <w:p w14:paraId="7B670B04" w14:textId="77777777" w:rsidR="0040300B" w:rsidRDefault="0040300B">
            <w:pPr>
              <w:rPr>
                <w:rFonts w:ascii="宋体"/>
              </w:rPr>
            </w:pPr>
          </w:p>
        </w:tc>
        <w:tc>
          <w:tcPr>
            <w:tcW w:w="19" w:type="pct"/>
            <w:shd w:val="clear" w:color="auto" w:fill="auto"/>
          </w:tcPr>
          <w:p w14:paraId="7B670B05" w14:textId="77777777" w:rsidR="0040300B" w:rsidRDefault="0040300B">
            <w:pPr>
              <w:rPr>
                <w:rFonts w:ascii="宋体"/>
              </w:rPr>
            </w:pPr>
          </w:p>
        </w:tc>
        <w:tc>
          <w:tcPr>
            <w:tcW w:w="5" w:type="pct"/>
            <w:shd w:val="clear" w:color="auto" w:fill="auto"/>
          </w:tcPr>
          <w:p w14:paraId="7B670B06" w14:textId="77777777" w:rsidR="0040300B" w:rsidRDefault="0040300B">
            <w:pPr>
              <w:rPr>
                <w:rFonts w:ascii="宋体"/>
              </w:rPr>
            </w:pPr>
          </w:p>
        </w:tc>
        <w:tc>
          <w:tcPr>
            <w:tcW w:w="50" w:type="pct"/>
            <w:shd w:val="clear" w:color="auto" w:fill="auto"/>
          </w:tcPr>
          <w:p w14:paraId="7B670B07" w14:textId="77777777" w:rsidR="0040300B" w:rsidRDefault="0040300B">
            <w:pPr>
              <w:rPr>
                <w:rFonts w:ascii="宋体"/>
              </w:rPr>
            </w:pPr>
          </w:p>
        </w:tc>
        <w:tc>
          <w:tcPr>
            <w:tcW w:w="384" w:type="pct"/>
            <w:shd w:val="clear" w:color="auto" w:fill="auto"/>
          </w:tcPr>
          <w:p w14:paraId="7B670B08" w14:textId="77777777" w:rsidR="0040300B" w:rsidRDefault="0040300B">
            <w:pPr>
              <w:rPr>
                <w:rFonts w:ascii="宋体"/>
              </w:rPr>
            </w:pPr>
          </w:p>
        </w:tc>
        <w:tc>
          <w:tcPr>
            <w:tcW w:w="5" w:type="pct"/>
            <w:shd w:val="clear" w:color="auto" w:fill="auto"/>
          </w:tcPr>
          <w:p w14:paraId="7B670B09" w14:textId="77777777" w:rsidR="0040300B" w:rsidRDefault="0040300B">
            <w:pPr>
              <w:rPr>
                <w:rFonts w:ascii="宋体"/>
              </w:rPr>
            </w:pPr>
          </w:p>
        </w:tc>
      </w:tr>
      <w:tr w:rsidR="0040300B" w14:paraId="7B670B10" w14:textId="77777777">
        <w:tc>
          <w:tcPr>
            <w:tcW w:w="0" w:type="auto"/>
            <w:gridSpan w:val="3"/>
            <w:shd w:val="clear" w:color="auto" w:fill="auto"/>
            <w:tcMar>
              <w:top w:w="0" w:type="dxa"/>
              <w:left w:w="20" w:type="dxa"/>
              <w:bottom w:w="0" w:type="dxa"/>
              <w:right w:w="20" w:type="dxa"/>
            </w:tcMar>
          </w:tcPr>
          <w:p w14:paraId="7B670B0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B0C"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B0D"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B0E"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B0F"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B22" w14:textId="77777777">
        <w:tc>
          <w:tcPr>
            <w:tcW w:w="0" w:type="auto"/>
            <w:gridSpan w:val="3"/>
            <w:shd w:val="clear" w:color="auto" w:fill="auto"/>
            <w:tcMar>
              <w:top w:w="0" w:type="dxa"/>
              <w:left w:w="20" w:type="dxa"/>
              <w:bottom w:w="0" w:type="dxa"/>
              <w:right w:w="20" w:type="dxa"/>
            </w:tcMar>
          </w:tcPr>
          <w:p w14:paraId="7B670B1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B1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B1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5"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B1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7"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B1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9"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0B1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B"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B1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D"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B1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1F"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B2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B21"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0B34" w14:textId="77777777">
        <w:tc>
          <w:tcPr>
            <w:tcW w:w="0" w:type="auto"/>
            <w:gridSpan w:val="3"/>
            <w:shd w:val="clear" w:color="auto" w:fill="CCEEFF"/>
            <w:tcMar>
              <w:top w:w="40" w:type="dxa"/>
              <w:left w:w="20" w:type="dxa"/>
              <w:bottom w:w="40" w:type="dxa"/>
              <w:right w:w="20" w:type="dxa"/>
            </w:tcMar>
            <w:vAlign w:val="bottom"/>
          </w:tcPr>
          <w:p w14:paraId="7B670B23" w14:textId="77777777" w:rsidR="0040300B" w:rsidRDefault="00BB2D44">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tcPr>
          <w:p w14:paraId="7B670B2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2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2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2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2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2E"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2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3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3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3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B33" w14:textId="77777777" w:rsidR="0040300B" w:rsidRDefault="0040300B">
            <w:pPr>
              <w:rPr>
                <w:rFonts w:ascii="宋体"/>
              </w:rPr>
            </w:pPr>
          </w:p>
        </w:tc>
      </w:tr>
      <w:tr w:rsidR="0040300B" w14:paraId="7B670B54" w14:textId="77777777">
        <w:tc>
          <w:tcPr>
            <w:tcW w:w="0" w:type="auto"/>
            <w:gridSpan w:val="3"/>
            <w:shd w:val="clear" w:color="auto" w:fill="FFFFFF"/>
            <w:tcMar>
              <w:top w:w="40" w:type="dxa"/>
              <w:left w:w="155" w:type="dxa"/>
              <w:bottom w:w="40" w:type="dxa"/>
              <w:right w:w="20" w:type="dxa"/>
            </w:tcMar>
            <w:vAlign w:val="bottom"/>
          </w:tcPr>
          <w:p w14:paraId="7B670B35" w14:textId="77777777" w:rsidR="0040300B" w:rsidRDefault="00BB2D44">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7B670B3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3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38" w14:textId="77777777" w:rsidR="0040300B" w:rsidRDefault="00BB2D44">
            <w:pPr>
              <w:jc w:val="right"/>
              <w:textAlignment w:val="bottom"/>
            </w:pPr>
            <w:r>
              <w:rPr>
                <w:rFonts w:ascii="Times New Roman" w:eastAsia="宋体" w:hAnsi="Times New Roman"/>
                <w:color w:val="000000"/>
                <w:sz w:val="20"/>
                <w:szCs w:val="20"/>
              </w:rPr>
              <w:t>5,014 </w:t>
            </w:r>
          </w:p>
        </w:tc>
        <w:tc>
          <w:tcPr>
            <w:tcW w:w="0" w:type="auto"/>
            <w:shd w:val="clear" w:color="auto" w:fill="FFFFFF"/>
            <w:tcMar>
              <w:top w:w="40" w:type="dxa"/>
              <w:left w:w="0" w:type="dxa"/>
              <w:bottom w:w="40" w:type="dxa"/>
              <w:right w:w="20" w:type="dxa"/>
            </w:tcMar>
            <w:vAlign w:val="bottom"/>
          </w:tcPr>
          <w:p w14:paraId="7B670B3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3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3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3C" w14:textId="77777777" w:rsidR="0040300B" w:rsidRDefault="00BB2D44">
            <w:pPr>
              <w:jc w:val="right"/>
              <w:textAlignment w:val="bottom"/>
            </w:pPr>
            <w:r>
              <w:rPr>
                <w:rFonts w:ascii="Times New Roman" w:eastAsia="宋体" w:hAnsi="Times New Roman"/>
                <w:color w:val="000000"/>
                <w:sz w:val="20"/>
                <w:szCs w:val="20"/>
              </w:rPr>
              <w:t>5,029 </w:t>
            </w:r>
          </w:p>
        </w:tc>
        <w:tc>
          <w:tcPr>
            <w:tcW w:w="0" w:type="auto"/>
            <w:shd w:val="clear" w:color="auto" w:fill="FFFFFF"/>
            <w:tcMar>
              <w:top w:w="40" w:type="dxa"/>
              <w:left w:w="0" w:type="dxa"/>
              <w:bottom w:w="40" w:type="dxa"/>
              <w:right w:w="20" w:type="dxa"/>
            </w:tcMar>
            <w:vAlign w:val="bottom"/>
          </w:tcPr>
          <w:p w14:paraId="7B670B3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3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3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40" w14:textId="77777777" w:rsidR="0040300B" w:rsidRDefault="00BB2D44">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7B670B4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4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4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70B4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B4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4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47" w14:textId="77777777" w:rsidR="0040300B" w:rsidRDefault="00BB2D44">
            <w:pPr>
              <w:jc w:val="right"/>
              <w:textAlignment w:val="bottom"/>
            </w:pPr>
            <w:r>
              <w:rPr>
                <w:rFonts w:ascii="Times New Roman" w:eastAsia="宋体" w:hAnsi="Times New Roman"/>
                <w:color w:val="000000"/>
                <w:sz w:val="20"/>
                <w:szCs w:val="20"/>
              </w:rPr>
              <w:t>15,031 </w:t>
            </w:r>
          </w:p>
        </w:tc>
        <w:tc>
          <w:tcPr>
            <w:tcW w:w="0" w:type="auto"/>
            <w:shd w:val="clear" w:color="auto" w:fill="FFFFFF"/>
            <w:tcMar>
              <w:top w:w="40" w:type="dxa"/>
              <w:left w:w="0" w:type="dxa"/>
              <w:bottom w:w="40" w:type="dxa"/>
              <w:right w:w="20" w:type="dxa"/>
            </w:tcMar>
            <w:vAlign w:val="bottom"/>
          </w:tcPr>
          <w:p w14:paraId="7B670B4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4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4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4B" w14:textId="77777777" w:rsidR="0040300B" w:rsidRDefault="00BB2D44">
            <w:pPr>
              <w:jc w:val="right"/>
              <w:textAlignment w:val="bottom"/>
            </w:pPr>
            <w:r>
              <w:rPr>
                <w:rFonts w:ascii="Times New Roman" w:eastAsia="宋体" w:hAnsi="Times New Roman"/>
                <w:color w:val="000000"/>
                <w:sz w:val="20"/>
                <w:szCs w:val="20"/>
              </w:rPr>
              <w:t>15,871 </w:t>
            </w:r>
          </w:p>
        </w:tc>
        <w:tc>
          <w:tcPr>
            <w:tcW w:w="0" w:type="auto"/>
            <w:shd w:val="clear" w:color="auto" w:fill="FFFFFF"/>
            <w:tcMar>
              <w:top w:w="40" w:type="dxa"/>
              <w:left w:w="0" w:type="dxa"/>
              <w:bottom w:w="40" w:type="dxa"/>
              <w:right w:w="20" w:type="dxa"/>
            </w:tcMar>
            <w:vAlign w:val="bottom"/>
          </w:tcPr>
          <w:p w14:paraId="7B670B4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4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B4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B4F" w14:textId="77777777" w:rsidR="0040300B" w:rsidRDefault="00BB2D44">
            <w:pPr>
              <w:jc w:val="right"/>
              <w:textAlignment w:val="bottom"/>
            </w:pPr>
            <w:r>
              <w:rPr>
                <w:rFonts w:ascii="Times New Roman" w:eastAsia="宋体" w:hAnsi="Times New Roman"/>
                <w:color w:val="000000"/>
                <w:sz w:val="20"/>
                <w:szCs w:val="20"/>
              </w:rPr>
              <w:t>(840)</w:t>
            </w:r>
          </w:p>
        </w:tc>
        <w:tc>
          <w:tcPr>
            <w:tcW w:w="0" w:type="auto"/>
            <w:shd w:val="clear" w:color="auto" w:fill="FFFFFF"/>
            <w:tcMar>
              <w:top w:w="40" w:type="dxa"/>
              <w:left w:w="0" w:type="dxa"/>
              <w:bottom w:w="40" w:type="dxa"/>
              <w:right w:w="20" w:type="dxa"/>
            </w:tcMar>
            <w:vAlign w:val="bottom"/>
          </w:tcPr>
          <w:p w14:paraId="7B670B5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5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52" w14:textId="77777777" w:rsidR="0040300B" w:rsidRDefault="00BB2D44">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B670B53"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B6A" w14:textId="77777777">
        <w:tc>
          <w:tcPr>
            <w:tcW w:w="0" w:type="auto"/>
            <w:gridSpan w:val="3"/>
            <w:shd w:val="clear" w:color="auto" w:fill="CCEEFF"/>
            <w:tcMar>
              <w:top w:w="40" w:type="dxa"/>
              <w:left w:w="155" w:type="dxa"/>
              <w:bottom w:w="40" w:type="dxa"/>
              <w:right w:w="20" w:type="dxa"/>
            </w:tcMar>
            <w:vAlign w:val="bottom"/>
          </w:tcPr>
          <w:p w14:paraId="7B670B55" w14:textId="77777777" w:rsidR="0040300B" w:rsidRDefault="00BB2D4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7B670B5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57" w14:textId="77777777" w:rsidR="0040300B" w:rsidRDefault="00BB2D44">
            <w:pPr>
              <w:jc w:val="right"/>
              <w:textAlignment w:val="bottom"/>
            </w:pPr>
            <w:r>
              <w:rPr>
                <w:rFonts w:ascii="Times New Roman" w:eastAsia="宋体" w:hAnsi="Times New Roman"/>
                <w:i/>
                <w:iCs/>
                <w:color w:val="000000"/>
                <w:sz w:val="20"/>
                <w:szCs w:val="20"/>
              </w:rPr>
              <w:t>54.8 </w:t>
            </w:r>
          </w:p>
        </w:tc>
        <w:tc>
          <w:tcPr>
            <w:tcW w:w="0" w:type="auto"/>
            <w:shd w:val="clear" w:color="auto" w:fill="CCEEFF"/>
            <w:tcMar>
              <w:top w:w="40" w:type="dxa"/>
              <w:left w:w="0" w:type="dxa"/>
              <w:bottom w:w="40" w:type="dxa"/>
              <w:right w:w="20" w:type="dxa"/>
            </w:tcMar>
            <w:vAlign w:val="bottom"/>
          </w:tcPr>
          <w:p w14:paraId="7B670B5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5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5A" w14:textId="77777777" w:rsidR="0040300B" w:rsidRDefault="00BB2D44">
            <w:pPr>
              <w:jc w:val="right"/>
              <w:textAlignment w:val="bottom"/>
            </w:pPr>
            <w:r>
              <w:rPr>
                <w:rFonts w:ascii="Times New Roman" w:eastAsia="宋体" w:hAnsi="Times New Roman"/>
                <w:i/>
                <w:iCs/>
                <w:color w:val="000000"/>
                <w:sz w:val="20"/>
                <w:szCs w:val="20"/>
              </w:rPr>
              <w:t>58.5 </w:t>
            </w:r>
          </w:p>
        </w:tc>
        <w:tc>
          <w:tcPr>
            <w:tcW w:w="0" w:type="auto"/>
            <w:shd w:val="clear" w:color="auto" w:fill="CCEEFF"/>
            <w:tcMar>
              <w:top w:w="40" w:type="dxa"/>
              <w:left w:w="0" w:type="dxa"/>
              <w:bottom w:w="40" w:type="dxa"/>
              <w:right w:w="20" w:type="dxa"/>
            </w:tcMar>
            <w:vAlign w:val="bottom"/>
          </w:tcPr>
          <w:p w14:paraId="7B670B5B"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5C"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5D"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5E"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5F"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6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61" w14:textId="77777777" w:rsidR="0040300B" w:rsidRDefault="00BB2D44">
            <w:pPr>
              <w:jc w:val="right"/>
              <w:textAlignment w:val="bottom"/>
            </w:pPr>
            <w:r>
              <w:rPr>
                <w:rFonts w:ascii="Times New Roman" w:eastAsia="宋体" w:hAnsi="Times New Roman"/>
                <w:i/>
                <w:iCs/>
                <w:color w:val="000000"/>
                <w:sz w:val="20"/>
                <w:szCs w:val="20"/>
              </w:rPr>
              <w:t>57.2 </w:t>
            </w:r>
          </w:p>
        </w:tc>
        <w:tc>
          <w:tcPr>
            <w:tcW w:w="0" w:type="auto"/>
            <w:shd w:val="clear" w:color="auto" w:fill="CCEEFF"/>
            <w:tcMar>
              <w:top w:w="40" w:type="dxa"/>
              <w:left w:w="0" w:type="dxa"/>
              <w:bottom w:w="40" w:type="dxa"/>
              <w:right w:w="20" w:type="dxa"/>
            </w:tcMar>
            <w:vAlign w:val="bottom"/>
          </w:tcPr>
          <w:p w14:paraId="7B670B6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6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64" w14:textId="77777777" w:rsidR="0040300B" w:rsidRDefault="00BB2D44">
            <w:pPr>
              <w:jc w:val="right"/>
              <w:textAlignment w:val="bottom"/>
            </w:pPr>
            <w:r>
              <w:rPr>
                <w:rFonts w:ascii="Times New Roman" w:eastAsia="宋体" w:hAnsi="Times New Roman"/>
                <w:i/>
                <w:iCs/>
                <w:color w:val="000000"/>
                <w:sz w:val="20"/>
                <w:szCs w:val="20"/>
              </w:rPr>
              <w:t>58.5 </w:t>
            </w:r>
          </w:p>
        </w:tc>
        <w:tc>
          <w:tcPr>
            <w:tcW w:w="0" w:type="auto"/>
            <w:shd w:val="clear" w:color="auto" w:fill="CCEEFF"/>
            <w:tcMar>
              <w:top w:w="40" w:type="dxa"/>
              <w:left w:w="0" w:type="dxa"/>
              <w:bottom w:w="40" w:type="dxa"/>
              <w:right w:w="20" w:type="dxa"/>
            </w:tcMar>
            <w:vAlign w:val="bottom"/>
          </w:tcPr>
          <w:p w14:paraId="7B670B6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6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6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6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69" w14:textId="77777777" w:rsidR="0040300B" w:rsidRDefault="0040300B">
            <w:pPr>
              <w:rPr>
                <w:rFonts w:ascii="宋体"/>
              </w:rPr>
            </w:pPr>
          </w:p>
        </w:tc>
      </w:tr>
      <w:tr w:rsidR="0040300B" w14:paraId="7B670B84" w14:textId="77777777">
        <w:tc>
          <w:tcPr>
            <w:tcW w:w="0" w:type="auto"/>
            <w:gridSpan w:val="3"/>
            <w:shd w:val="clear" w:color="auto" w:fill="FFFFFF"/>
            <w:tcMar>
              <w:top w:w="40" w:type="dxa"/>
              <w:left w:w="155" w:type="dxa"/>
              <w:bottom w:w="40" w:type="dxa"/>
              <w:right w:w="20" w:type="dxa"/>
            </w:tcMar>
            <w:vAlign w:val="bottom"/>
          </w:tcPr>
          <w:p w14:paraId="7B670B6B" w14:textId="77777777" w:rsidR="0040300B" w:rsidRDefault="00BB2D4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7B670B6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6D" w14:textId="77777777" w:rsidR="0040300B" w:rsidRDefault="00BB2D44">
            <w:pPr>
              <w:jc w:val="right"/>
              <w:textAlignment w:val="bottom"/>
            </w:pPr>
            <w:r>
              <w:rPr>
                <w:rFonts w:ascii="Times New Roman" w:eastAsia="宋体" w:hAnsi="Times New Roman"/>
                <w:color w:val="000000"/>
                <w:sz w:val="20"/>
                <w:szCs w:val="20"/>
              </w:rPr>
              <w:t>2,647 </w:t>
            </w:r>
          </w:p>
        </w:tc>
        <w:tc>
          <w:tcPr>
            <w:tcW w:w="0" w:type="auto"/>
            <w:shd w:val="clear" w:color="auto" w:fill="FFFFFF"/>
            <w:tcMar>
              <w:top w:w="40" w:type="dxa"/>
              <w:left w:w="0" w:type="dxa"/>
              <w:bottom w:w="40" w:type="dxa"/>
              <w:right w:w="20" w:type="dxa"/>
            </w:tcMar>
            <w:vAlign w:val="bottom"/>
          </w:tcPr>
          <w:p w14:paraId="7B670B6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6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0" w14:textId="77777777" w:rsidR="0040300B" w:rsidRDefault="00BB2D44">
            <w:pPr>
              <w:jc w:val="right"/>
              <w:textAlignment w:val="bottom"/>
            </w:pPr>
            <w:r>
              <w:rPr>
                <w:rFonts w:ascii="Times New Roman" w:eastAsia="宋体" w:hAnsi="Times New Roman"/>
                <w:color w:val="000000"/>
                <w:sz w:val="20"/>
                <w:szCs w:val="20"/>
              </w:rPr>
              <w:t>2,357 </w:t>
            </w:r>
          </w:p>
        </w:tc>
        <w:tc>
          <w:tcPr>
            <w:tcW w:w="0" w:type="auto"/>
            <w:shd w:val="clear" w:color="auto" w:fill="FFFFFF"/>
            <w:tcMar>
              <w:top w:w="40" w:type="dxa"/>
              <w:left w:w="0" w:type="dxa"/>
              <w:bottom w:w="40" w:type="dxa"/>
              <w:right w:w="20" w:type="dxa"/>
            </w:tcMar>
            <w:vAlign w:val="bottom"/>
          </w:tcPr>
          <w:p w14:paraId="7B670B7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7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3" w14:textId="77777777" w:rsidR="0040300B" w:rsidRDefault="00BB2D44">
            <w:pPr>
              <w:jc w:val="right"/>
              <w:textAlignment w:val="bottom"/>
            </w:pPr>
            <w:r>
              <w:rPr>
                <w:rFonts w:ascii="Times New Roman" w:eastAsia="宋体" w:hAnsi="Times New Roman"/>
                <w:color w:val="000000"/>
                <w:sz w:val="20"/>
                <w:szCs w:val="20"/>
              </w:rPr>
              <w:t>290 </w:t>
            </w:r>
          </w:p>
        </w:tc>
        <w:tc>
          <w:tcPr>
            <w:tcW w:w="0" w:type="auto"/>
            <w:shd w:val="clear" w:color="auto" w:fill="FFFFFF"/>
            <w:tcMar>
              <w:top w:w="40" w:type="dxa"/>
              <w:left w:w="0" w:type="dxa"/>
              <w:bottom w:w="40" w:type="dxa"/>
              <w:right w:w="20" w:type="dxa"/>
            </w:tcMar>
            <w:vAlign w:val="bottom"/>
          </w:tcPr>
          <w:p w14:paraId="7B670B7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7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6"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B670B7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B7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9" w14:textId="77777777" w:rsidR="0040300B" w:rsidRDefault="00BB2D44">
            <w:pPr>
              <w:jc w:val="right"/>
              <w:textAlignment w:val="bottom"/>
            </w:pPr>
            <w:r>
              <w:rPr>
                <w:rFonts w:ascii="Times New Roman" w:eastAsia="宋体" w:hAnsi="Times New Roman"/>
                <w:color w:val="000000"/>
                <w:sz w:val="20"/>
                <w:szCs w:val="20"/>
              </w:rPr>
              <w:t>7,295 </w:t>
            </w:r>
          </w:p>
        </w:tc>
        <w:tc>
          <w:tcPr>
            <w:tcW w:w="0" w:type="auto"/>
            <w:shd w:val="clear" w:color="auto" w:fill="FFFFFF"/>
            <w:tcMar>
              <w:top w:w="40" w:type="dxa"/>
              <w:left w:w="0" w:type="dxa"/>
              <w:bottom w:w="40" w:type="dxa"/>
              <w:right w:w="20" w:type="dxa"/>
            </w:tcMar>
            <w:vAlign w:val="bottom"/>
          </w:tcPr>
          <w:p w14:paraId="7B670B7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7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C" w14:textId="77777777" w:rsidR="0040300B" w:rsidRDefault="00BB2D44">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7B670B7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7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7F" w14:textId="77777777" w:rsidR="0040300B" w:rsidRDefault="00BB2D44">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B670B8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8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8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70B83"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B9A" w14:textId="77777777">
        <w:tc>
          <w:tcPr>
            <w:tcW w:w="0" w:type="auto"/>
            <w:gridSpan w:val="3"/>
            <w:shd w:val="clear" w:color="auto" w:fill="CCEEFF"/>
            <w:tcMar>
              <w:top w:w="40" w:type="dxa"/>
              <w:left w:w="155" w:type="dxa"/>
              <w:bottom w:w="40" w:type="dxa"/>
              <w:right w:w="20" w:type="dxa"/>
            </w:tcMar>
            <w:vAlign w:val="bottom"/>
          </w:tcPr>
          <w:p w14:paraId="7B670B85" w14:textId="77777777" w:rsidR="0040300B" w:rsidRDefault="00BB2D4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7B670B8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87" w14:textId="77777777" w:rsidR="0040300B" w:rsidRDefault="00BB2D44">
            <w:pPr>
              <w:jc w:val="right"/>
              <w:textAlignment w:val="bottom"/>
            </w:pPr>
            <w:r>
              <w:rPr>
                <w:rFonts w:ascii="Times New Roman" w:eastAsia="宋体" w:hAnsi="Times New Roman"/>
                <w:i/>
                <w:iCs/>
                <w:color w:val="000000"/>
                <w:sz w:val="20"/>
                <w:szCs w:val="20"/>
              </w:rPr>
              <w:t>29.0 </w:t>
            </w:r>
          </w:p>
        </w:tc>
        <w:tc>
          <w:tcPr>
            <w:tcW w:w="0" w:type="auto"/>
            <w:shd w:val="clear" w:color="auto" w:fill="CCEEFF"/>
            <w:tcMar>
              <w:top w:w="40" w:type="dxa"/>
              <w:left w:w="0" w:type="dxa"/>
              <w:bottom w:w="40" w:type="dxa"/>
              <w:right w:w="20" w:type="dxa"/>
            </w:tcMar>
            <w:vAlign w:val="bottom"/>
          </w:tcPr>
          <w:p w14:paraId="7B670B8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8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8A" w14:textId="77777777" w:rsidR="0040300B" w:rsidRDefault="00BB2D44">
            <w:pPr>
              <w:jc w:val="right"/>
              <w:textAlignment w:val="bottom"/>
            </w:pPr>
            <w:r>
              <w:rPr>
                <w:rFonts w:ascii="Times New Roman" w:eastAsia="宋体" w:hAnsi="Times New Roman"/>
                <w:i/>
                <w:iCs/>
                <w:color w:val="000000"/>
                <w:sz w:val="20"/>
                <w:szCs w:val="20"/>
              </w:rPr>
              <w:t>27.4 </w:t>
            </w:r>
          </w:p>
        </w:tc>
        <w:tc>
          <w:tcPr>
            <w:tcW w:w="0" w:type="auto"/>
            <w:shd w:val="clear" w:color="auto" w:fill="CCEEFF"/>
            <w:tcMar>
              <w:top w:w="40" w:type="dxa"/>
              <w:left w:w="0" w:type="dxa"/>
              <w:bottom w:w="40" w:type="dxa"/>
              <w:right w:w="20" w:type="dxa"/>
            </w:tcMar>
            <w:vAlign w:val="bottom"/>
          </w:tcPr>
          <w:p w14:paraId="7B670B8B"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8C"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8D"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8E"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8F"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9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91" w14:textId="77777777" w:rsidR="0040300B" w:rsidRDefault="00BB2D44">
            <w:pPr>
              <w:jc w:val="right"/>
              <w:textAlignment w:val="bottom"/>
            </w:pPr>
            <w:r>
              <w:rPr>
                <w:rFonts w:ascii="Times New Roman" w:eastAsia="宋体" w:hAnsi="Times New Roman"/>
                <w:i/>
                <w:iCs/>
                <w:color w:val="000000"/>
                <w:sz w:val="20"/>
                <w:szCs w:val="20"/>
              </w:rPr>
              <w:t>27.7 </w:t>
            </w:r>
          </w:p>
        </w:tc>
        <w:tc>
          <w:tcPr>
            <w:tcW w:w="0" w:type="auto"/>
            <w:shd w:val="clear" w:color="auto" w:fill="CCEEFF"/>
            <w:tcMar>
              <w:top w:w="40" w:type="dxa"/>
              <w:left w:w="0" w:type="dxa"/>
              <w:bottom w:w="40" w:type="dxa"/>
              <w:right w:w="20" w:type="dxa"/>
            </w:tcMar>
            <w:vAlign w:val="bottom"/>
          </w:tcPr>
          <w:p w14:paraId="7B670B9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9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94" w14:textId="77777777" w:rsidR="0040300B" w:rsidRDefault="00BB2D44">
            <w:pPr>
              <w:jc w:val="right"/>
              <w:textAlignment w:val="bottom"/>
            </w:pPr>
            <w:r>
              <w:rPr>
                <w:rFonts w:ascii="Times New Roman" w:eastAsia="宋体" w:hAnsi="Times New Roman"/>
                <w:i/>
                <w:iCs/>
                <w:color w:val="000000"/>
                <w:sz w:val="20"/>
                <w:szCs w:val="20"/>
              </w:rPr>
              <w:t>26.9 </w:t>
            </w:r>
          </w:p>
        </w:tc>
        <w:tc>
          <w:tcPr>
            <w:tcW w:w="0" w:type="auto"/>
            <w:shd w:val="clear" w:color="auto" w:fill="CCEEFF"/>
            <w:tcMar>
              <w:top w:w="40" w:type="dxa"/>
              <w:left w:w="0" w:type="dxa"/>
              <w:bottom w:w="40" w:type="dxa"/>
              <w:right w:w="20" w:type="dxa"/>
            </w:tcMar>
            <w:vAlign w:val="bottom"/>
          </w:tcPr>
          <w:p w14:paraId="7B670B9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9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9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9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99" w14:textId="77777777" w:rsidR="0040300B" w:rsidRDefault="0040300B">
            <w:pPr>
              <w:rPr>
                <w:rFonts w:ascii="宋体"/>
              </w:rPr>
            </w:pPr>
          </w:p>
        </w:tc>
      </w:tr>
      <w:tr w:rsidR="0040300B" w14:paraId="7B670BB4" w14:textId="77777777">
        <w:tc>
          <w:tcPr>
            <w:tcW w:w="0" w:type="auto"/>
            <w:gridSpan w:val="3"/>
            <w:shd w:val="clear" w:color="auto" w:fill="FFFFFF"/>
            <w:tcMar>
              <w:top w:w="40" w:type="dxa"/>
              <w:left w:w="155" w:type="dxa"/>
              <w:bottom w:w="40" w:type="dxa"/>
              <w:right w:w="20" w:type="dxa"/>
            </w:tcMar>
            <w:vAlign w:val="bottom"/>
          </w:tcPr>
          <w:p w14:paraId="7B670B9B" w14:textId="77777777" w:rsidR="0040300B" w:rsidRDefault="00BB2D4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7B670B9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9D" w14:textId="77777777" w:rsidR="0040300B" w:rsidRDefault="00BB2D44">
            <w:pPr>
              <w:jc w:val="right"/>
              <w:textAlignment w:val="bottom"/>
            </w:pPr>
            <w:r>
              <w:rPr>
                <w:rFonts w:ascii="Times New Roman" w:eastAsia="宋体" w:hAnsi="Times New Roman"/>
                <w:color w:val="000000"/>
                <w:sz w:val="20"/>
                <w:szCs w:val="20"/>
              </w:rPr>
              <w:t>1,478 </w:t>
            </w:r>
          </w:p>
        </w:tc>
        <w:tc>
          <w:tcPr>
            <w:tcW w:w="0" w:type="auto"/>
            <w:shd w:val="clear" w:color="auto" w:fill="FFFFFF"/>
            <w:tcMar>
              <w:top w:w="40" w:type="dxa"/>
              <w:left w:w="0" w:type="dxa"/>
              <w:bottom w:w="40" w:type="dxa"/>
              <w:right w:w="20" w:type="dxa"/>
            </w:tcMar>
            <w:vAlign w:val="bottom"/>
          </w:tcPr>
          <w:p w14:paraId="7B670B9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9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0" w14:textId="77777777" w:rsidR="0040300B" w:rsidRDefault="00BB2D44">
            <w:pPr>
              <w:jc w:val="right"/>
              <w:textAlignment w:val="bottom"/>
            </w:pPr>
            <w:r>
              <w:rPr>
                <w:rFonts w:ascii="Times New Roman" w:eastAsia="宋体" w:hAnsi="Times New Roman"/>
                <w:color w:val="000000"/>
                <w:sz w:val="20"/>
                <w:szCs w:val="20"/>
              </w:rPr>
              <w:t>1,211 </w:t>
            </w:r>
          </w:p>
        </w:tc>
        <w:tc>
          <w:tcPr>
            <w:tcW w:w="0" w:type="auto"/>
            <w:shd w:val="clear" w:color="auto" w:fill="FFFFFF"/>
            <w:tcMar>
              <w:top w:w="40" w:type="dxa"/>
              <w:left w:w="0" w:type="dxa"/>
              <w:bottom w:w="40" w:type="dxa"/>
              <w:right w:w="20" w:type="dxa"/>
            </w:tcMar>
            <w:vAlign w:val="bottom"/>
          </w:tcPr>
          <w:p w14:paraId="7B670BA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A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3" w14:textId="77777777" w:rsidR="0040300B" w:rsidRDefault="00BB2D44">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7B670BA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A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6" w14:textId="77777777" w:rsidR="0040300B" w:rsidRDefault="00BB2D4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B670BA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BA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9" w14:textId="77777777" w:rsidR="0040300B" w:rsidRDefault="00BB2D44">
            <w:pPr>
              <w:jc w:val="right"/>
              <w:textAlignment w:val="bottom"/>
            </w:pPr>
            <w:r>
              <w:rPr>
                <w:rFonts w:ascii="Times New Roman" w:eastAsia="宋体" w:hAnsi="Times New Roman"/>
                <w:color w:val="000000"/>
                <w:sz w:val="20"/>
                <w:szCs w:val="20"/>
              </w:rPr>
              <w:t>3,972 </w:t>
            </w:r>
          </w:p>
        </w:tc>
        <w:tc>
          <w:tcPr>
            <w:tcW w:w="0" w:type="auto"/>
            <w:shd w:val="clear" w:color="auto" w:fill="FFFFFF"/>
            <w:tcMar>
              <w:top w:w="40" w:type="dxa"/>
              <w:left w:w="0" w:type="dxa"/>
              <w:bottom w:w="40" w:type="dxa"/>
              <w:right w:w="20" w:type="dxa"/>
            </w:tcMar>
            <w:vAlign w:val="bottom"/>
          </w:tcPr>
          <w:p w14:paraId="7B670BA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A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C" w14:textId="77777777" w:rsidR="0040300B" w:rsidRDefault="00BB2D44">
            <w:pPr>
              <w:jc w:val="right"/>
              <w:textAlignment w:val="bottom"/>
            </w:pPr>
            <w:r>
              <w:rPr>
                <w:rFonts w:ascii="Times New Roman" w:eastAsia="宋体" w:hAnsi="Times New Roman"/>
                <w:color w:val="000000"/>
                <w:sz w:val="20"/>
                <w:szCs w:val="20"/>
              </w:rPr>
              <w:t>3,967 </w:t>
            </w:r>
          </w:p>
        </w:tc>
        <w:tc>
          <w:tcPr>
            <w:tcW w:w="0" w:type="auto"/>
            <w:shd w:val="clear" w:color="auto" w:fill="FFFFFF"/>
            <w:tcMar>
              <w:top w:w="40" w:type="dxa"/>
              <w:left w:w="0" w:type="dxa"/>
              <w:bottom w:w="40" w:type="dxa"/>
              <w:right w:w="20" w:type="dxa"/>
            </w:tcMar>
            <w:vAlign w:val="bottom"/>
          </w:tcPr>
          <w:p w14:paraId="7B670BA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A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AF"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B670BB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B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B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70BB3"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BCA" w14:textId="77777777">
        <w:tc>
          <w:tcPr>
            <w:tcW w:w="0" w:type="auto"/>
            <w:gridSpan w:val="3"/>
            <w:shd w:val="clear" w:color="auto" w:fill="CCEEFF"/>
            <w:tcMar>
              <w:top w:w="40" w:type="dxa"/>
              <w:left w:w="155" w:type="dxa"/>
              <w:bottom w:w="40" w:type="dxa"/>
              <w:right w:w="20" w:type="dxa"/>
            </w:tcMar>
            <w:vAlign w:val="bottom"/>
          </w:tcPr>
          <w:p w14:paraId="7B670BB5" w14:textId="77777777" w:rsidR="0040300B" w:rsidRDefault="00BB2D4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tcPr>
          <w:p w14:paraId="7B670BB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B7" w14:textId="77777777" w:rsidR="0040300B" w:rsidRDefault="00BB2D44">
            <w:pPr>
              <w:jc w:val="right"/>
              <w:textAlignment w:val="bottom"/>
            </w:pPr>
            <w:r>
              <w:rPr>
                <w:rFonts w:ascii="Times New Roman" w:eastAsia="宋体" w:hAnsi="Times New Roman"/>
                <w:i/>
                <w:iCs/>
                <w:color w:val="000000"/>
                <w:sz w:val="20"/>
                <w:szCs w:val="20"/>
              </w:rPr>
              <w:t>16.2 </w:t>
            </w:r>
          </w:p>
        </w:tc>
        <w:tc>
          <w:tcPr>
            <w:tcW w:w="0" w:type="auto"/>
            <w:shd w:val="clear" w:color="auto" w:fill="CCEEFF"/>
            <w:tcMar>
              <w:top w:w="40" w:type="dxa"/>
              <w:left w:w="0" w:type="dxa"/>
              <w:bottom w:w="40" w:type="dxa"/>
              <w:right w:w="20" w:type="dxa"/>
            </w:tcMar>
            <w:vAlign w:val="bottom"/>
          </w:tcPr>
          <w:p w14:paraId="7B670BB8"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B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BA" w14:textId="77777777" w:rsidR="0040300B" w:rsidRDefault="00BB2D44">
            <w:pPr>
              <w:jc w:val="right"/>
              <w:textAlignment w:val="bottom"/>
            </w:pPr>
            <w:r>
              <w:rPr>
                <w:rFonts w:ascii="Times New Roman" w:eastAsia="宋体" w:hAnsi="Times New Roman"/>
                <w:i/>
                <w:iCs/>
                <w:color w:val="000000"/>
                <w:sz w:val="20"/>
                <w:szCs w:val="20"/>
              </w:rPr>
              <w:t>14.1 </w:t>
            </w:r>
          </w:p>
        </w:tc>
        <w:tc>
          <w:tcPr>
            <w:tcW w:w="0" w:type="auto"/>
            <w:shd w:val="clear" w:color="auto" w:fill="CCEEFF"/>
            <w:tcMar>
              <w:top w:w="40" w:type="dxa"/>
              <w:left w:w="0" w:type="dxa"/>
              <w:bottom w:w="40" w:type="dxa"/>
              <w:right w:w="20" w:type="dxa"/>
            </w:tcMar>
            <w:vAlign w:val="bottom"/>
          </w:tcPr>
          <w:p w14:paraId="7B670BBB"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BC"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BD"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BE"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bottom"/>
          </w:tcPr>
          <w:p w14:paraId="7B670BBF" w14:textId="77777777" w:rsidR="0040300B" w:rsidRDefault="00BB2D4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tcPr>
          <w:p w14:paraId="7B670BC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C1" w14:textId="77777777" w:rsidR="0040300B" w:rsidRDefault="00BB2D44">
            <w:pPr>
              <w:jc w:val="right"/>
              <w:textAlignment w:val="bottom"/>
            </w:pPr>
            <w:r>
              <w:rPr>
                <w:rFonts w:ascii="Times New Roman" w:eastAsia="宋体" w:hAnsi="Times New Roman"/>
                <w:i/>
                <w:iCs/>
                <w:color w:val="000000"/>
                <w:sz w:val="20"/>
                <w:szCs w:val="20"/>
              </w:rPr>
              <w:t>15.1 </w:t>
            </w:r>
          </w:p>
        </w:tc>
        <w:tc>
          <w:tcPr>
            <w:tcW w:w="0" w:type="auto"/>
            <w:shd w:val="clear" w:color="auto" w:fill="CCEEFF"/>
            <w:tcMar>
              <w:top w:w="40" w:type="dxa"/>
              <w:left w:w="0" w:type="dxa"/>
              <w:bottom w:w="40" w:type="dxa"/>
              <w:right w:w="20" w:type="dxa"/>
            </w:tcMar>
            <w:vAlign w:val="bottom"/>
          </w:tcPr>
          <w:p w14:paraId="7B670BC2"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BC4" w14:textId="77777777" w:rsidR="0040300B" w:rsidRDefault="00BB2D44">
            <w:pPr>
              <w:jc w:val="right"/>
              <w:textAlignment w:val="bottom"/>
            </w:pPr>
            <w:r>
              <w:rPr>
                <w:rFonts w:ascii="Times New Roman" w:eastAsia="宋体" w:hAnsi="Times New Roman"/>
                <w:i/>
                <w:iCs/>
                <w:color w:val="000000"/>
                <w:sz w:val="20"/>
                <w:szCs w:val="20"/>
              </w:rPr>
              <w:t>14.6 </w:t>
            </w:r>
          </w:p>
        </w:tc>
        <w:tc>
          <w:tcPr>
            <w:tcW w:w="0" w:type="auto"/>
            <w:shd w:val="clear" w:color="auto" w:fill="CCEEFF"/>
            <w:tcMar>
              <w:top w:w="40" w:type="dxa"/>
              <w:left w:w="0" w:type="dxa"/>
              <w:bottom w:w="40" w:type="dxa"/>
              <w:right w:w="20" w:type="dxa"/>
            </w:tcMar>
            <w:vAlign w:val="bottom"/>
          </w:tcPr>
          <w:p w14:paraId="7B670BC5" w14:textId="77777777" w:rsidR="0040300B" w:rsidRDefault="00BB2D4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tcPr>
          <w:p w14:paraId="7B670BC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C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C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BC9" w14:textId="77777777" w:rsidR="0040300B" w:rsidRDefault="0040300B">
            <w:pPr>
              <w:rPr>
                <w:rFonts w:ascii="宋体"/>
              </w:rPr>
            </w:pPr>
          </w:p>
        </w:tc>
      </w:tr>
      <w:tr w:rsidR="0040300B" w14:paraId="7B670BEA" w14:textId="77777777">
        <w:tc>
          <w:tcPr>
            <w:tcW w:w="0" w:type="auto"/>
            <w:gridSpan w:val="3"/>
            <w:shd w:val="clear" w:color="auto" w:fill="FFFFFF"/>
            <w:tcMar>
              <w:top w:w="40" w:type="dxa"/>
              <w:left w:w="380" w:type="dxa"/>
              <w:bottom w:w="40" w:type="dxa"/>
              <w:right w:w="20" w:type="dxa"/>
            </w:tcMar>
            <w:vAlign w:val="bottom"/>
          </w:tcPr>
          <w:p w14:paraId="7B670BCB"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0BCC"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C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CE" w14:textId="77777777" w:rsidR="0040300B" w:rsidRDefault="00BB2D44">
            <w:pPr>
              <w:jc w:val="right"/>
              <w:textAlignment w:val="bottom"/>
            </w:pPr>
            <w:r>
              <w:rPr>
                <w:rFonts w:ascii="Times New Roman" w:eastAsia="宋体" w:hAnsi="Times New Roman"/>
                <w:color w:val="000000"/>
                <w:sz w:val="20"/>
                <w:szCs w:val="20"/>
              </w:rPr>
              <w:t>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C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D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D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D2" w14:textId="77777777" w:rsidR="0040300B" w:rsidRDefault="00BB2D44">
            <w:pPr>
              <w:jc w:val="right"/>
              <w:textAlignment w:val="bottom"/>
            </w:pPr>
            <w:r>
              <w:rPr>
                <w:rFonts w:ascii="Times New Roman" w:eastAsia="宋体" w:hAnsi="Times New Roman"/>
                <w:color w:val="000000"/>
                <w:sz w:val="20"/>
                <w:szCs w:val="20"/>
              </w:rPr>
              <w:t>8,597 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D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D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D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D6" w14:textId="77777777" w:rsidR="0040300B" w:rsidRDefault="00BB2D44">
            <w:pPr>
              <w:jc w:val="right"/>
              <w:textAlignment w:val="bottom"/>
            </w:pPr>
            <w:r>
              <w:rPr>
                <w:rFonts w:ascii="Times New Roman" w:eastAsia="宋体" w:hAnsi="Times New Roman"/>
                <w:color w:val="000000"/>
                <w:sz w:val="20"/>
                <w:szCs w:val="20"/>
              </w:rPr>
              <w:t>542 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D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D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D9"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B670BDA"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BD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D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DD"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D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DF"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E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E1"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E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E3"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BE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BE5" w14:textId="77777777" w:rsidR="0040300B" w:rsidRDefault="00BB2D44">
            <w:pPr>
              <w:jc w:val="right"/>
              <w:textAlignment w:val="bottom"/>
            </w:pPr>
            <w:r>
              <w:rPr>
                <w:rFonts w:ascii="Times New Roman" w:eastAsia="宋体" w:hAnsi="Times New Roman"/>
                <w:color w:val="000000"/>
                <w:sz w:val="20"/>
                <w:szCs w:val="20"/>
              </w:rPr>
              <w:t>(848)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BE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BE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BE8" w14:textId="77777777" w:rsidR="0040300B" w:rsidRDefault="00BB2D4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B670BE9" w14:textId="77777777" w:rsidR="0040300B" w:rsidRDefault="00BB2D44">
            <w:pPr>
              <w:jc w:val="right"/>
              <w:textAlignment w:val="bottom"/>
            </w:pPr>
            <w:r>
              <w:rPr>
                <w:rFonts w:ascii="Times New Roman" w:eastAsia="宋体" w:hAnsi="Times New Roman"/>
                <w:color w:val="000000"/>
                <w:sz w:val="20"/>
                <w:szCs w:val="20"/>
              </w:rPr>
              <w:t>%</w:t>
            </w:r>
          </w:p>
        </w:tc>
      </w:tr>
    </w:tbl>
    <w:p w14:paraId="7B670BEB" w14:textId="77777777" w:rsidR="0040300B" w:rsidRDefault="00BB2D44">
      <w:pPr>
        <w:spacing w:before="120"/>
        <w:jc w:val="both"/>
      </w:pPr>
      <w:r>
        <w:rPr>
          <w:rFonts w:ascii="Times New Roman" w:eastAsia="宋体" w:hAnsi="Times New Roman"/>
          <w:color w:val="000000"/>
          <w:sz w:val="20"/>
          <w:szCs w:val="20"/>
        </w:rPr>
        <w:t>Amounts may not su</w:t>
      </w:r>
      <w:r>
        <w:rPr>
          <w:rFonts w:ascii="Times New Roman" w:eastAsia="宋体" w:hAnsi="Times New Roman"/>
          <w:color w:val="000000"/>
          <w:sz w:val="20"/>
          <w:szCs w:val="20"/>
        </w:rPr>
        <w:t xml:space="preserve">m and percentages may not recalculate due to rounding. </w:t>
      </w:r>
    </w:p>
    <w:p w14:paraId="7B670BEC" w14:textId="77777777" w:rsidR="0040300B" w:rsidRDefault="00BB2D44">
      <w:pPr>
        <w:spacing w:before="120"/>
        <w:jc w:val="both"/>
      </w:pPr>
      <w:r>
        <w:rPr>
          <w:rFonts w:ascii="Times New Roman" w:eastAsia="宋体" w:hAnsi="Times New Roman"/>
          <w:color w:val="000000"/>
          <w:sz w:val="20"/>
          <w:szCs w:val="20"/>
          <w:u w:val="single"/>
        </w:rPr>
        <w:t>Americas</w:t>
      </w:r>
    </w:p>
    <w:p w14:paraId="7B670BED"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0BEE" w14:textId="77777777" w:rsidR="0040300B" w:rsidRDefault="00BB2D44">
      <w:pPr>
        <w:spacing w:before="120"/>
        <w:jc w:val="both"/>
      </w:pPr>
      <w:r>
        <w:rPr>
          <w:rFonts w:ascii="Times New Roman" w:eastAsia="宋体" w:hAnsi="Times New Roman"/>
          <w:color w:val="000000"/>
          <w:sz w:val="20"/>
          <w:szCs w:val="20"/>
        </w:rPr>
        <w:t>Product revenue in the Americas segment was flat, as the declines in the enterprise and commercial markets were offset by growth in the service provider and public sector markets. From a country perspective, product revenue decreased by 1% in the United St</w:t>
      </w:r>
      <w:r>
        <w:rPr>
          <w:rFonts w:ascii="Times New Roman" w:eastAsia="宋体" w:hAnsi="Times New Roman"/>
          <w:color w:val="000000"/>
          <w:sz w:val="20"/>
          <w:szCs w:val="20"/>
        </w:rPr>
        <w:t xml:space="preserve">ates and 14% in Mexico, partially offset by a product revenue increase of 11% in Canada and 7% in Brazil. </w:t>
      </w:r>
    </w:p>
    <w:p w14:paraId="7B670BEF"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BF0" w14:textId="77777777" w:rsidR="0040300B" w:rsidRDefault="00BB2D44">
      <w:pPr>
        <w:spacing w:before="120"/>
        <w:jc w:val="both"/>
      </w:pPr>
      <w:r>
        <w:rPr>
          <w:rFonts w:ascii="Times New Roman" w:eastAsia="宋体" w:hAnsi="Times New Roman"/>
          <w:color w:val="000000"/>
          <w:sz w:val="20"/>
          <w:szCs w:val="20"/>
        </w:rPr>
        <w:t>The decrease in product revenue in the Americas segment was driven by de</w:t>
      </w:r>
      <w:r>
        <w:rPr>
          <w:rFonts w:ascii="Times New Roman" w:eastAsia="宋体" w:hAnsi="Times New Roman"/>
          <w:color w:val="000000"/>
          <w:sz w:val="20"/>
          <w:szCs w:val="20"/>
        </w:rPr>
        <w:t>clines in the enterprise, commercial and service provider markets. The decreases were partially offset by product revenue growth in the public sector market. From a country perspective, product revenue decreased in the United States, Canada, Brazil and Mex</w:t>
      </w:r>
      <w:r>
        <w:rPr>
          <w:rFonts w:ascii="Times New Roman" w:eastAsia="宋体" w:hAnsi="Times New Roman"/>
          <w:color w:val="000000"/>
          <w:sz w:val="20"/>
          <w:szCs w:val="20"/>
        </w:rPr>
        <w:t>ico by 5%, 2%, 18% and 18%, respectively.</w:t>
      </w:r>
    </w:p>
    <w:p w14:paraId="7B670BF1" w14:textId="77777777" w:rsidR="0040300B" w:rsidRDefault="00BB2D44">
      <w:pPr>
        <w:spacing w:before="120"/>
        <w:jc w:val="both"/>
      </w:pPr>
      <w:r>
        <w:rPr>
          <w:rFonts w:ascii="Times New Roman" w:eastAsia="宋体" w:hAnsi="Times New Roman"/>
          <w:color w:val="000000"/>
          <w:sz w:val="20"/>
          <w:szCs w:val="20"/>
          <w:u w:val="single"/>
        </w:rPr>
        <w:t>EMEA</w:t>
      </w:r>
    </w:p>
    <w:p w14:paraId="7B670BF2"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0BF3" w14:textId="77777777" w:rsidR="0040300B" w:rsidRDefault="00BB2D44">
      <w:pPr>
        <w:spacing w:before="120"/>
        <w:jc w:val="both"/>
      </w:pPr>
      <w:r>
        <w:rPr>
          <w:rFonts w:ascii="Times New Roman" w:eastAsia="宋体" w:hAnsi="Times New Roman"/>
          <w:color w:val="000000"/>
          <w:sz w:val="20"/>
          <w:szCs w:val="20"/>
        </w:rPr>
        <w:t>Product revenue in the EMEA segment increased by 12%, with growth in all customer markets. Product revenue from emerging countries</w:t>
      </w:r>
      <w:r>
        <w:rPr>
          <w:rFonts w:ascii="Times New Roman" w:eastAsia="宋体" w:hAnsi="Times New Roman"/>
          <w:color w:val="000000"/>
          <w:sz w:val="20"/>
          <w:szCs w:val="20"/>
        </w:rPr>
        <w:t xml:space="preserve"> within EMEA increased by 4% and product revenue for the remainder of the EMEA segment, which primarily consists of countries in Western Europe, increased by 15%. From a country perspective, product revenue increased by 11% in the United Kingdom, 8% in Ger</w:t>
      </w:r>
      <w:r>
        <w:rPr>
          <w:rFonts w:ascii="Times New Roman" w:eastAsia="宋体" w:hAnsi="Times New Roman"/>
          <w:color w:val="000000"/>
          <w:sz w:val="20"/>
          <w:szCs w:val="20"/>
        </w:rPr>
        <w:t>many and 4% in France.</w:t>
      </w:r>
    </w:p>
    <w:p w14:paraId="7B670BF4"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BF5" w14:textId="77777777" w:rsidR="0040300B" w:rsidRDefault="00BB2D44">
      <w:pPr>
        <w:spacing w:before="120"/>
        <w:jc w:val="both"/>
      </w:pPr>
      <w:r>
        <w:rPr>
          <w:rFonts w:ascii="Times New Roman" w:eastAsia="宋体" w:hAnsi="Times New Roman"/>
          <w:color w:val="000000"/>
          <w:sz w:val="20"/>
          <w:szCs w:val="20"/>
        </w:rPr>
        <w:t xml:space="preserve">Product revenue in the EMEA segment was flat, as declines in the commercial and enterprise markets were offset by growth in the service provider and public </w:t>
      </w:r>
      <w:r>
        <w:rPr>
          <w:rFonts w:ascii="Times New Roman" w:eastAsia="宋体" w:hAnsi="Times New Roman"/>
          <w:color w:val="000000"/>
          <w:sz w:val="20"/>
          <w:szCs w:val="20"/>
        </w:rPr>
        <w:t>sector markets. Product revenue from emerging countries within EMEA decreased by 9% and product revenue for the remainder of the EMEA segment increased by 3%. From a country perspective, product revenue declined 2% in the United Kingdom and 3% in France, o</w:t>
      </w:r>
      <w:r>
        <w:rPr>
          <w:rFonts w:ascii="Times New Roman" w:eastAsia="宋体" w:hAnsi="Times New Roman"/>
          <w:color w:val="000000"/>
          <w:sz w:val="20"/>
          <w:szCs w:val="20"/>
        </w:rPr>
        <w:t>ffset by growth in product revenue of 7% in Germany.</w:t>
      </w:r>
    </w:p>
    <w:p w14:paraId="7B670BF6" w14:textId="77777777" w:rsidR="0040300B" w:rsidRDefault="00BB2D44">
      <w:pPr>
        <w:spacing w:before="120"/>
        <w:jc w:val="both"/>
      </w:pPr>
      <w:r>
        <w:rPr>
          <w:rFonts w:ascii="Times New Roman" w:eastAsia="宋体" w:hAnsi="Times New Roman"/>
          <w:color w:val="000000"/>
          <w:sz w:val="20"/>
          <w:szCs w:val="20"/>
          <w:u w:val="single"/>
        </w:rPr>
        <w:t>APJC</w:t>
      </w:r>
    </w:p>
    <w:p w14:paraId="7B670BF7"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0BF8" w14:textId="77777777" w:rsidR="0040300B" w:rsidRDefault="00BB2D44">
      <w:pPr>
        <w:spacing w:before="120"/>
        <w:jc w:val="both"/>
      </w:pPr>
      <w:r>
        <w:rPr>
          <w:rFonts w:ascii="Times New Roman" w:eastAsia="宋体" w:hAnsi="Times New Roman"/>
          <w:color w:val="000000"/>
          <w:sz w:val="20"/>
          <w:szCs w:val="20"/>
        </w:rPr>
        <w:t>Product revenue in the APJC segment increased by 22%, driven by growth in all customer markets. From a country perspect</w:t>
      </w:r>
      <w:r>
        <w:rPr>
          <w:rFonts w:ascii="Times New Roman" w:eastAsia="宋体" w:hAnsi="Times New Roman"/>
          <w:color w:val="000000"/>
          <w:sz w:val="20"/>
          <w:szCs w:val="20"/>
        </w:rPr>
        <w:t xml:space="preserve">ive, product revenue increased in Japan, India, Australia and China by 12%, 66%, 50% and 9%, respectively. </w:t>
      </w:r>
    </w:p>
    <w:p w14:paraId="7B670BF9" w14:textId="77777777" w:rsidR="0040300B" w:rsidRDefault="0040300B"/>
    <w:p w14:paraId="7B670BFA" w14:textId="77777777" w:rsidR="0040300B" w:rsidRDefault="00BB2D44">
      <w:pPr>
        <w:jc w:val="center"/>
      </w:pPr>
      <w:r>
        <w:rPr>
          <w:rFonts w:ascii="Times New Roman" w:eastAsia="宋体" w:hAnsi="Times New Roman"/>
          <w:color w:val="000000"/>
          <w:sz w:val="20"/>
          <w:szCs w:val="20"/>
        </w:rPr>
        <w:t>51</w:t>
      </w:r>
    </w:p>
    <w:p w14:paraId="7B670BFB" w14:textId="77777777" w:rsidR="0040300B" w:rsidRDefault="00BB2D44">
      <w:r>
        <w:pict w14:anchorId="7B671C43">
          <v:rect id="_x0000_i1075" style="width:415.3pt;height:1.5pt" o:hralign="center" o:hrstd="t" o:hr="t" fillcolor="#a0a0a0" stroked="f"/>
        </w:pict>
      </w:r>
    </w:p>
    <w:p w14:paraId="7B670BFC" w14:textId="77777777" w:rsidR="0040300B" w:rsidRDefault="00BB2D44">
      <w:hyperlink r:id="rId97"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BFD" w14:textId="77777777" w:rsidR="0040300B" w:rsidRDefault="00BB2D44">
      <w:pPr>
        <w:jc w:val="center"/>
      </w:pPr>
      <w:r>
        <w:rPr>
          <w:rFonts w:ascii="Times New Roman" w:eastAsia="宋体" w:hAnsi="Times New Roman"/>
          <w:b/>
          <w:bCs/>
          <w:color w:val="000000"/>
          <w:sz w:val="18"/>
          <w:szCs w:val="18"/>
        </w:rPr>
        <w:t>CISCO SYSTEMS, INC.</w:t>
      </w:r>
    </w:p>
    <w:p w14:paraId="7B670BFE"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0BFF" w14:textId="77777777" w:rsidR="0040300B" w:rsidRDefault="0040300B">
      <w:pPr>
        <w:jc w:val="center"/>
      </w:pPr>
    </w:p>
    <w:p w14:paraId="7B670C00"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C01" w14:textId="77777777" w:rsidR="0040300B" w:rsidRDefault="00BB2D44">
      <w:pPr>
        <w:spacing w:before="120"/>
        <w:jc w:val="both"/>
      </w:pPr>
      <w:r>
        <w:rPr>
          <w:rFonts w:ascii="Times New Roman" w:eastAsia="宋体" w:hAnsi="Times New Roman"/>
          <w:color w:val="000000"/>
          <w:sz w:val="20"/>
          <w:szCs w:val="20"/>
        </w:rPr>
        <w:t>Product revenue in the APJC segment was flat, with growth in the public sector market offset by declines in the commercial, service provider and</w:t>
      </w:r>
      <w:r>
        <w:rPr>
          <w:rFonts w:ascii="Times New Roman" w:eastAsia="宋体" w:hAnsi="Times New Roman"/>
          <w:color w:val="000000"/>
          <w:sz w:val="20"/>
          <w:szCs w:val="20"/>
        </w:rPr>
        <w:t xml:space="preserve"> enterprise markets. From a country perspective, product revenue increased in Japan, India and Australia by 9%, 2%, and 6%, respectively, offset by a product revenue decrease of 11% in China.</w:t>
      </w:r>
    </w:p>
    <w:p w14:paraId="7B670C02" w14:textId="77777777" w:rsidR="0040300B" w:rsidRDefault="0040300B"/>
    <w:p w14:paraId="7B670C03" w14:textId="77777777" w:rsidR="0040300B" w:rsidRDefault="00BB2D44">
      <w:pPr>
        <w:jc w:val="both"/>
      </w:pPr>
      <w:r>
        <w:rPr>
          <w:rFonts w:ascii="Times New Roman" w:eastAsia="宋体" w:hAnsi="Times New Roman"/>
          <w:b/>
          <w:bCs/>
          <w:color w:val="000000"/>
          <w:sz w:val="20"/>
          <w:szCs w:val="20"/>
        </w:rPr>
        <w:t>Product Revenue by Category</w:t>
      </w:r>
    </w:p>
    <w:p w14:paraId="7B670C04" w14:textId="77777777" w:rsidR="0040300B" w:rsidRDefault="00BB2D44">
      <w:pPr>
        <w:spacing w:before="120"/>
        <w:jc w:val="both"/>
      </w:pPr>
      <w:r>
        <w:rPr>
          <w:rFonts w:ascii="Times New Roman" w:eastAsia="宋体" w:hAnsi="Times New Roman"/>
          <w:color w:val="000000"/>
          <w:sz w:val="20"/>
          <w:szCs w:val="20"/>
        </w:rPr>
        <w:t xml:space="preserve">In addition to the primary view on </w:t>
      </w:r>
      <w:r>
        <w:rPr>
          <w:rFonts w:ascii="Times New Roman" w:eastAsia="宋体" w:hAnsi="Times New Roman"/>
          <w:color w:val="000000"/>
          <w:sz w:val="20"/>
          <w:szCs w:val="20"/>
        </w:rPr>
        <w:t>a geographic basis, we also prepare financial information related to product categories and customer markets for various purposes. We report our product revenue in the following categories: Infrastructure Platforms, Applications, Security, and Other Produc</w:t>
      </w:r>
      <w:r>
        <w:rPr>
          <w:rFonts w:ascii="Times New Roman" w:eastAsia="宋体" w:hAnsi="Times New Roman"/>
          <w:color w:val="000000"/>
          <w:sz w:val="20"/>
          <w:szCs w:val="20"/>
        </w:rPr>
        <w:t>ts.</w:t>
      </w:r>
    </w:p>
    <w:p w14:paraId="7B670C05" w14:textId="77777777" w:rsidR="0040300B" w:rsidRDefault="00BB2D44">
      <w:pPr>
        <w:spacing w:before="120"/>
        <w:jc w:val="both"/>
      </w:pPr>
      <w:r>
        <w:rPr>
          <w:rFonts w:ascii="Times New Roman" w:eastAsia="宋体" w:hAnsi="Times New Roman"/>
          <w:color w:val="000000"/>
          <w:sz w:val="20"/>
          <w:szCs w:val="20"/>
        </w:rPr>
        <w:t>The following table presents product revenue by category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9"/>
        <w:gridCol w:w="1311"/>
        <w:gridCol w:w="37"/>
        <w:gridCol w:w="36"/>
        <w:gridCol w:w="36"/>
        <w:gridCol w:w="36"/>
        <w:gridCol w:w="120"/>
        <w:gridCol w:w="500"/>
        <w:gridCol w:w="36"/>
        <w:gridCol w:w="36"/>
        <w:gridCol w:w="36"/>
        <w:gridCol w:w="36"/>
        <w:gridCol w:w="120"/>
        <w:gridCol w:w="500"/>
        <w:gridCol w:w="36"/>
        <w:gridCol w:w="36"/>
        <w:gridCol w:w="36"/>
        <w:gridCol w:w="36"/>
        <w:gridCol w:w="121"/>
        <w:gridCol w:w="604"/>
        <w:gridCol w:w="36"/>
        <w:gridCol w:w="36"/>
        <w:gridCol w:w="36"/>
        <w:gridCol w:w="36"/>
        <w:gridCol w:w="79"/>
        <w:gridCol w:w="604"/>
        <w:gridCol w:w="187"/>
        <w:gridCol w:w="36"/>
        <w:gridCol w:w="36"/>
        <w:gridCol w:w="36"/>
        <w:gridCol w:w="120"/>
        <w:gridCol w:w="600"/>
        <w:gridCol w:w="36"/>
        <w:gridCol w:w="36"/>
        <w:gridCol w:w="36"/>
        <w:gridCol w:w="36"/>
        <w:gridCol w:w="120"/>
        <w:gridCol w:w="600"/>
        <w:gridCol w:w="36"/>
        <w:gridCol w:w="36"/>
        <w:gridCol w:w="36"/>
        <w:gridCol w:w="36"/>
        <w:gridCol w:w="120"/>
        <w:gridCol w:w="584"/>
        <w:gridCol w:w="36"/>
        <w:gridCol w:w="36"/>
        <w:gridCol w:w="36"/>
        <w:gridCol w:w="36"/>
        <w:gridCol w:w="79"/>
        <w:gridCol w:w="604"/>
        <w:gridCol w:w="187"/>
      </w:tblGrid>
      <w:tr w:rsidR="0040300B" w14:paraId="7B670C39" w14:textId="77777777">
        <w:tc>
          <w:tcPr>
            <w:tcW w:w="50" w:type="pct"/>
            <w:shd w:val="clear" w:color="auto" w:fill="auto"/>
          </w:tcPr>
          <w:p w14:paraId="7B670C06" w14:textId="77777777" w:rsidR="0040300B" w:rsidRDefault="0040300B">
            <w:pPr>
              <w:rPr>
                <w:rFonts w:ascii="宋体"/>
              </w:rPr>
            </w:pPr>
          </w:p>
        </w:tc>
        <w:tc>
          <w:tcPr>
            <w:tcW w:w="1034" w:type="pct"/>
            <w:shd w:val="clear" w:color="auto" w:fill="auto"/>
          </w:tcPr>
          <w:p w14:paraId="7B670C07" w14:textId="77777777" w:rsidR="0040300B" w:rsidRDefault="0040300B">
            <w:pPr>
              <w:rPr>
                <w:rFonts w:ascii="宋体"/>
              </w:rPr>
            </w:pPr>
          </w:p>
        </w:tc>
        <w:tc>
          <w:tcPr>
            <w:tcW w:w="5" w:type="pct"/>
            <w:shd w:val="clear" w:color="auto" w:fill="auto"/>
          </w:tcPr>
          <w:p w14:paraId="7B670C08" w14:textId="77777777" w:rsidR="0040300B" w:rsidRDefault="0040300B">
            <w:pPr>
              <w:rPr>
                <w:rFonts w:ascii="宋体"/>
              </w:rPr>
            </w:pPr>
          </w:p>
        </w:tc>
        <w:tc>
          <w:tcPr>
            <w:tcW w:w="5" w:type="pct"/>
            <w:shd w:val="clear" w:color="auto" w:fill="auto"/>
          </w:tcPr>
          <w:p w14:paraId="7B670C09" w14:textId="77777777" w:rsidR="0040300B" w:rsidRDefault="0040300B">
            <w:pPr>
              <w:rPr>
                <w:rFonts w:ascii="宋体"/>
              </w:rPr>
            </w:pPr>
          </w:p>
        </w:tc>
        <w:tc>
          <w:tcPr>
            <w:tcW w:w="26" w:type="pct"/>
            <w:shd w:val="clear" w:color="auto" w:fill="auto"/>
          </w:tcPr>
          <w:p w14:paraId="7B670C0A" w14:textId="77777777" w:rsidR="0040300B" w:rsidRDefault="0040300B">
            <w:pPr>
              <w:rPr>
                <w:rFonts w:ascii="宋体"/>
              </w:rPr>
            </w:pPr>
          </w:p>
        </w:tc>
        <w:tc>
          <w:tcPr>
            <w:tcW w:w="5" w:type="pct"/>
            <w:shd w:val="clear" w:color="auto" w:fill="auto"/>
          </w:tcPr>
          <w:p w14:paraId="7B670C0B" w14:textId="77777777" w:rsidR="0040300B" w:rsidRDefault="0040300B">
            <w:pPr>
              <w:rPr>
                <w:rFonts w:ascii="宋体"/>
              </w:rPr>
            </w:pPr>
          </w:p>
        </w:tc>
        <w:tc>
          <w:tcPr>
            <w:tcW w:w="50" w:type="pct"/>
            <w:shd w:val="clear" w:color="auto" w:fill="auto"/>
          </w:tcPr>
          <w:p w14:paraId="7B670C0C" w14:textId="77777777" w:rsidR="0040300B" w:rsidRDefault="0040300B">
            <w:pPr>
              <w:rPr>
                <w:rFonts w:ascii="宋体"/>
              </w:rPr>
            </w:pPr>
          </w:p>
        </w:tc>
        <w:tc>
          <w:tcPr>
            <w:tcW w:w="412" w:type="pct"/>
            <w:shd w:val="clear" w:color="auto" w:fill="auto"/>
          </w:tcPr>
          <w:p w14:paraId="7B670C0D" w14:textId="77777777" w:rsidR="0040300B" w:rsidRDefault="0040300B">
            <w:pPr>
              <w:rPr>
                <w:rFonts w:ascii="宋体"/>
              </w:rPr>
            </w:pPr>
          </w:p>
        </w:tc>
        <w:tc>
          <w:tcPr>
            <w:tcW w:w="5" w:type="pct"/>
            <w:shd w:val="clear" w:color="auto" w:fill="auto"/>
          </w:tcPr>
          <w:p w14:paraId="7B670C0E" w14:textId="77777777" w:rsidR="0040300B" w:rsidRDefault="0040300B">
            <w:pPr>
              <w:rPr>
                <w:rFonts w:ascii="宋体"/>
              </w:rPr>
            </w:pPr>
          </w:p>
        </w:tc>
        <w:tc>
          <w:tcPr>
            <w:tcW w:w="5" w:type="pct"/>
            <w:shd w:val="clear" w:color="auto" w:fill="auto"/>
          </w:tcPr>
          <w:p w14:paraId="7B670C0F" w14:textId="77777777" w:rsidR="0040300B" w:rsidRDefault="0040300B">
            <w:pPr>
              <w:rPr>
                <w:rFonts w:ascii="宋体"/>
              </w:rPr>
            </w:pPr>
          </w:p>
        </w:tc>
        <w:tc>
          <w:tcPr>
            <w:tcW w:w="26" w:type="pct"/>
            <w:shd w:val="clear" w:color="auto" w:fill="auto"/>
          </w:tcPr>
          <w:p w14:paraId="7B670C10" w14:textId="77777777" w:rsidR="0040300B" w:rsidRDefault="0040300B">
            <w:pPr>
              <w:rPr>
                <w:rFonts w:ascii="宋体"/>
              </w:rPr>
            </w:pPr>
          </w:p>
        </w:tc>
        <w:tc>
          <w:tcPr>
            <w:tcW w:w="5" w:type="pct"/>
            <w:shd w:val="clear" w:color="auto" w:fill="auto"/>
          </w:tcPr>
          <w:p w14:paraId="7B670C11" w14:textId="77777777" w:rsidR="0040300B" w:rsidRDefault="0040300B">
            <w:pPr>
              <w:rPr>
                <w:rFonts w:ascii="宋体"/>
              </w:rPr>
            </w:pPr>
          </w:p>
        </w:tc>
        <w:tc>
          <w:tcPr>
            <w:tcW w:w="50" w:type="pct"/>
            <w:shd w:val="clear" w:color="auto" w:fill="auto"/>
          </w:tcPr>
          <w:p w14:paraId="7B670C12" w14:textId="77777777" w:rsidR="0040300B" w:rsidRDefault="0040300B">
            <w:pPr>
              <w:rPr>
                <w:rFonts w:ascii="宋体"/>
              </w:rPr>
            </w:pPr>
          </w:p>
        </w:tc>
        <w:tc>
          <w:tcPr>
            <w:tcW w:w="412" w:type="pct"/>
            <w:shd w:val="clear" w:color="auto" w:fill="auto"/>
          </w:tcPr>
          <w:p w14:paraId="7B670C13" w14:textId="77777777" w:rsidR="0040300B" w:rsidRDefault="0040300B">
            <w:pPr>
              <w:rPr>
                <w:rFonts w:ascii="宋体"/>
              </w:rPr>
            </w:pPr>
          </w:p>
        </w:tc>
        <w:tc>
          <w:tcPr>
            <w:tcW w:w="5" w:type="pct"/>
            <w:shd w:val="clear" w:color="auto" w:fill="auto"/>
          </w:tcPr>
          <w:p w14:paraId="7B670C14" w14:textId="77777777" w:rsidR="0040300B" w:rsidRDefault="0040300B">
            <w:pPr>
              <w:rPr>
                <w:rFonts w:ascii="宋体"/>
              </w:rPr>
            </w:pPr>
          </w:p>
        </w:tc>
        <w:tc>
          <w:tcPr>
            <w:tcW w:w="5" w:type="pct"/>
            <w:shd w:val="clear" w:color="auto" w:fill="auto"/>
          </w:tcPr>
          <w:p w14:paraId="7B670C15" w14:textId="77777777" w:rsidR="0040300B" w:rsidRDefault="0040300B">
            <w:pPr>
              <w:rPr>
                <w:rFonts w:ascii="宋体"/>
              </w:rPr>
            </w:pPr>
          </w:p>
        </w:tc>
        <w:tc>
          <w:tcPr>
            <w:tcW w:w="26" w:type="pct"/>
            <w:shd w:val="clear" w:color="auto" w:fill="auto"/>
          </w:tcPr>
          <w:p w14:paraId="7B670C16" w14:textId="77777777" w:rsidR="0040300B" w:rsidRDefault="0040300B">
            <w:pPr>
              <w:rPr>
                <w:rFonts w:ascii="宋体"/>
              </w:rPr>
            </w:pPr>
          </w:p>
        </w:tc>
        <w:tc>
          <w:tcPr>
            <w:tcW w:w="5" w:type="pct"/>
            <w:shd w:val="clear" w:color="auto" w:fill="auto"/>
          </w:tcPr>
          <w:p w14:paraId="7B670C17" w14:textId="77777777" w:rsidR="0040300B" w:rsidRDefault="0040300B">
            <w:pPr>
              <w:rPr>
                <w:rFonts w:ascii="宋体"/>
              </w:rPr>
            </w:pPr>
          </w:p>
        </w:tc>
        <w:tc>
          <w:tcPr>
            <w:tcW w:w="50" w:type="pct"/>
            <w:shd w:val="clear" w:color="auto" w:fill="auto"/>
          </w:tcPr>
          <w:p w14:paraId="7B670C18" w14:textId="77777777" w:rsidR="0040300B" w:rsidRDefault="0040300B">
            <w:pPr>
              <w:rPr>
                <w:rFonts w:ascii="宋体"/>
              </w:rPr>
            </w:pPr>
          </w:p>
        </w:tc>
        <w:tc>
          <w:tcPr>
            <w:tcW w:w="383" w:type="pct"/>
            <w:shd w:val="clear" w:color="auto" w:fill="auto"/>
          </w:tcPr>
          <w:p w14:paraId="7B670C19" w14:textId="77777777" w:rsidR="0040300B" w:rsidRDefault="0040300B">
            <w:pPr>
              <w:rPr>
                <w:rFonts w:ascii="宋体"/>
              </w:rPr>
            </w:pPr>
          </w:p>
        </w:tc>
        <w:tc>
          <w:tcPr>
            <w:tcW w:w="5" w:type="pct"/>
            <w:shd w:val="clear" w:color="auto" w:fill="auto"/>
          </w:tcPr>
          <w:p w14:paraId="7B670C1A" w14:textId="77777777" w:rsidR="0040300B" w:rsidRDefault="0040300B">
            <w:pPr>
              <w:rPr>
                <w:rFonts w:ascii="宋体"/>
              </w:rPr>
            </w:pPr>
          </w:p>
        </w:tc>
        <w:tc>
          <w:tcPr>
            <w:tcW w:w="5" w:type="pct"/>
            <w:shd w:val="clear" w:color="auto" w:fill="auto"/>
          </w:tcPr>
          <w:p w14:paraId="7B670C1B" w14:textId="77777777" w:rsidR="0040300B" w:rsidRDefault="0040300B">
            <w:pPr>
              <w:rPr>
                <w:rFonts w:ascii="宋体"/>
              </w:rPr>
            </w:pPr>
          </w:p>
        </w:tc>
        <w:tc>
          <w:tcPr>
            <w:tcW w:w="26" w:type="pct"/>
            <w:shd w:val="clear" w:color="auto" w:fill="auto"/>
          </w:tcPr>
          <w:p w14:paraId="7B670C1C" w14:textId="77777777" w:rsidR="0040300B" w:rsidRDefault="0040300B">
            <w:pPr>
              <w:rPr>
                <w:rFonts w:ascii="宋体"/>
              </w:rPr>
            </w:pPr>
          </w:p>
        </w:tc>
        <w:tc>
          <w:tcPr>
            <w:tcW w:w="5" w:type="pct"/>
            <w:shd w:val="clear" w:color="auto" w:fill="auto"/>
          </w:tcPr>
          <w:p w14:paraId="7B670C1D" w14:textId="77777777" w:rsidR="0040300B" w:rsidRDefault="0040300B">
            <w:pPr>
              <w:rPr>
                <w:rFonts w:ascii="宋体"/>
              </w:rPr>
            </w:pPr>
          </w:p>
        </w:tc>
        <w:tc>
          <w:tcPr>
            <w:tcW w:w="50" w:type="pct"/>
            <w:shd w:val="clear" w:color="auto" w:fill="auto"/>
          </w:tcPr>
          <w:p w14:paraId="7B670C1E" w14:textId="77777777" w:rsidR="0040300B" w:rsidRDefault="0040300B">
            <w:pPr>
              <w:rPr>
                <w:rFonts w:ascii="宋体"/>
              </w:rPr>
            </w:pPr>
          </w:p>
        </w:tc>
        <w:tc>
          <w:tcPr>
            <w:tcW w:w="383" w:type="pct"/>
            <w:shd w:val="clear" w:color="auto" w:fill="auto"/>
          </w:tcPr>
          <w:p w14:paraId="7B670C1F" w14:textId="77777777" w:rsidR="0040300B" w:rsidRDefault="0040300B">
            <w:pPr>
              <w:rPr>
                <w:rFonts w:ascii="宋体"/>
              </w:rPr>
            </w:pPr>
          </w:p>
        </w:tc>
        <w:tc>
          <w:tcPr>
            <w:tcW w:w="5" w:type="pct"/>
            <w:shd w:val="clear" w:color="auto" w:fill="auto"/>
          </w:tcPr>
          <w:p w14:paraId="7B670C20" w14:textId="77777777" w:rsidR="0040300B" w:rsidRDefault="0040300B">
            <w:pPr>
              <w:rPr>
                <w:rFonts w:ascii="宋体"/>
              </w:rPr>
            </w:pPr>
          </w:p>
        </w:tc>
        <w:tc>
          <w:tcPr>
            <w:tcW w:w="5" w:type="pct"/>
            <w:shd w:val="clear" w:color="auto" w:fill="auto"/>
          </w:tcPr>
          <w:p w14:paraId="7B670C21" w14:textId="77777777" w:rsidR="0040300B" w:rsidRDefault="0040300B">
            <w:pPr>
              <w:rPr>
                <w:rFonts w:ascii="宋体"/>
              </w:rPr>
            </w:pPr>
          </w:p>
        </w:tc>
        <w:tc>
          <w:tcPr>
            <w:tcW w:w="26" w:type="pct"/>
            <w:shd w:val="clear" w:color="auto" w:fill="auto"/>
          </w:tcPr>
          <w:p w14:paraId="7B670C22" w14:textId="77777777" w:rsidR="0040300B" w:rsidRDefault="0040300B">
            <w:pPr>
              <w:rPr>
                <w:rFonts w:ascii="宋体"/>
              </w:rPr>
            </w:pPr>
          </w:p>
        </w:tc>
        <w:tc>
          <w:tcPr>
            <w:tcW w:w="5" w:type="pct"/>
            <w:shd w:val="clear" w:color="auto" w:fill="auto"/>
          </w:tcPr>
          <w:p w14:paraId="7B670C23" w14:textId="77777777" w:rsidR="0040300B" w:rsidRDefault="0040300B">
            <w:pPr>
              <w:rPr>
                <w:rFonts w:ascii="宋体"/>
              </w:rPr>
            </w:pPr>
          </w:p>
        </w:tc>
        <w:tc>
          <w:tcPr>
            <w:tcW w:w="50" w:type="pct"/>
            <w:shd w:val="clear" w:color="auto" w:fill="auto"/>
          </w:tcPr>
          <w:p w14:paraId="7B670C24" w14:textId="77777777" w:rsidR="0040300B" w:rsidRDefault="0040300B">
            <w:pPr>
              <w:rPr>
                <w:rFonts w:ascii="宋体"/>
              </w:rPr>
            </w:pPr>
          </w:p>
        </w:tc>
        <w:tc>
          <w:tcPr>
            <w:tcW w:w="412" w:type="pct"/>
            <w:shd w:val="clear" w:color="auto" w:fill="auto"/>
          </w:tcPr>
          <w:p w14:paraId="7B670C25" w14:textId="77777777" w:rsidR="0040300B" w:rsidRDefault="0040300B">
            <w:pPr>
              <w:rPr>
                <w:rFonts w:ascii="宋体"/>
              </w:rPr>
            </w:pPr>
          </w:p>
        </w:tc>
        <w:tc>
          <w:tcPr>
            <w:tcW w:w="5" w:type="pct"/>
            <w:shd w:val="clear" w:color="auto" w:fill="auto"/>
          </w:tcPr>
          <w:p w14:paraId="7B670C26" w14:textId="77777777" w:rsidR="0040300B" w:rsidRDefault="0040300B">
            <w:pPr>
              <w:rPr>
                <w:rFonts w:ascii="宋体"/>
              </w:rPr>
            </w:pPr>
          </w:p>
        </w:tc>
        <w:tc>
          <w:tcPr>
            <w:tcW w:w="5" w:type="pct"/>
            <w:shd w:val="clear" w:color="auto" w:fill="auto"/>
          </w:tcPr>
          <w:p w14:paraId="7B670C27" w14:textId="77777777" w:rsidR="0040300B" w:rsidRDefault="0040300B">
            <w:pPr>
              <w:rPr>
                <w:rFonts w:ascii="宋体"/>
              </w:rPr>
            </w:pPr>
          </w:p>
        </w:tc>
        <w:tc>
          <w:tcPr>
            <w:tcW w:w="26" w:type="pct"/>
            <w:shd w:val="clear" w:color="auto" w:fill="auto"/>
          </w:tcPr>
          <w:p w14:paraId="7B670C28" w14:textId="77777777" w:rsidR="0040300B" w:rsidRDefault="0040300B">
            <w:pPr>
              <w:rPr>
                <w:rFonts w:ascii="宋体"/>
              </w:rPr>
            </w:pPr>
          </w:p>
        </w:tc>
        <w:tc>
          <w:tcPr>
            <w:tcW w:w="5" w:type="pct"/>
            <w:shd w:val="clear" w:color="auto" w:fill="auto"/>
          </w:tcPr>
          <w:p w14:paraId="7B670C29" w14:textId="77777777" w:rsidR="0040300B" w:rsidRDefault="0040300B">
            <w:pPr>
              <w:rPr>
                <w:rFonts w:ascii="宋体"/>
              </w:rPr>
            </w:pPr>
          </w:p>
        </w:tc>
        <w:tc>
          <w:tcPr>
            <w:tcW w:w="50" w:type="pct"/>
            <w:shd w:val="clear" w:color="auto" w:fill="auto"/>
          </w:tcPr>
          <w:p w14:paraId="7B670C2A" w14:textId="77777777" w:rsidR="0040300B" w:rsidRDefault="0040300B">
            <w:pPr>
              <w:rPr>
                <w:rFonts w:ascii="宋体"/>
              </w:rPr>
            </w:pPr>
          </w:p>
        </w:tc>
        <w:tc>
          <w:tcPr>
            <w:tcW w:w="412" w:type="pct"/>
            <w:shd w:val="clear" w:color="auto" w:fill="auto"/>
          </w:tcPr>
          <w:p w14:paraId="7B670C2B" w14:textId="77777777" w:rsidR="0040300B" w:rsidRDefault="0040300B">
            <w:pPr>
              <w:rPr>
                <w:rFonts w:ascii="宋体"/>
              </w:rPr>
            </w:pPr>
          </w:p>
        </w:tc>
        <w:tc>
          <w:tcPr>
            <w:tcW w:w="5" w:type="pct"/>
            <w:shd w:val="clear" w:color="auto" w:fill="auto"/>
          </w:tcPr>
          <w:p w14:paraId="7B670C2C" w14:textId="77777777" w:rsidR="0040300B" w:rsidRDefault="0040300B">
            <w:pPr>
              <w:rPr>
                <w:rFonts w:ascii="宋体"/>
              </w:rPr>
            </w:pPr>
          </w:p>
        </w:tc>
        <w:tc>
          <w:tcPr>
            <w:tcW w:w="5" w:type="pct"/>
            <w:shd w:val="clear" w:color="auto" w:fill="auto"/>
          </w:tcPr>
          <w:p w14:paraId="7B670C2D" w14:textId="77777777" w:rsidR="0040300B" w:rsidRDefault="0040300B">
            <w:pPr>
              <w:rPr>
                <w:rFonts w:ascii="宋体"/>
              </w:rPr>
            </w:pPr>
          </w:p>
        </w:tc>
        <w:tc>
          <w:tcPr>
            <w:tcW w:w="26" w:type="pct"/>
            <w:shd w:val="clear" w:color="auto" w:fill="auto"/>
          </w:tcPr>
          <w:p w14:paraId="7B670C2E" w14:textId="77777777" w:rsidR="0040300B" w:rsidRDefault="0040300B">
            <w:pPr>
              <w:rPr>
                <w:rFonts w:ascii="宋体"/>
              </w:rPr>
            </w:pPr>
          </w:p>
        </w:tc>
        <w:tc>
          <w:tcPr>
            <w:tcW w:w="5" w:type="pct"/>
            <w:shd w:val="clear" w:color="auto" w:fill="auto"/>
          </w:tcPr>
          <w:p w14:paraId="7B670C2F" w14:textId="77777777" w:rsidR="0040300B" w:rsidRDefault="0040300B">
            <w:pPr>
              <w:rPr>
                <w:rFonts w:ascii="宋体"/>
              </w:rPr>
            </w:pPr>
          </w:p>
        </w:tc>
        <w:tc>
          <w:tcPr>
            <w:tcW w:w="50" w:type="pct"/>
            <w:shd w:val="clear" w:color="auto" w:fill="auto"/>
          </w:tcPr>
          <w:p w14:paraId="7B670C30" w14:textId="77777777" w:rsidR="0040300B" w:rsidRDefault="0040300B">
            <w:pPr>
              <w:rPr>
                <w:rFonts w:ascii="宋体"/>
              </w:rPr>
            </w:pPr>
          </w:p>
        </w:tc>
        <w:tc>
          <w:tcPr>
            <w:tcW w:w="383" w:type="pct"/>
            <w:shd w:val="clear" w:color="auto" w:fill="auto"/>
          </w:tcPr>
          <w:p w14:paraId="7B670C31" w14:textId="77777777" w:rsidR="0040300B" w:rsidRDefault="0040300B">
            <w:pPr>
              <w:rPr>
                <w:rFonts w:ascii="宋体"/>
              </w:rPr>
            </w:pPr>
          </w:p>
        </w:tc>
        <w:tc>
          <w:tcPr>
            <w:tcW w:w="5" w:type="pct"/>
            <w:shd w:val="clear" w:color="auto" w:fill="auto"/>
          </w:tcPr>
          <w:p w14:paraId="7B670C32" w14:textId="77777777" w:rsidR="0040300B" w:rsidRDefault="0040300B">
            <w:pPr>
              <w:rPr>
                <w:rFonts w:ascii="宋体"/>
              </w:rPr>
            </w:pPr>
          </w:p>
        </w:tc>
        <w:tc>
          <w:tcPr>
            <w:tcW w:w="5" w:type="pct"/>
            <w:shd w:val="clear" w:color="auto" w:fill="auto"/>
          </w:tcPr>
          <w:p w14:paraId="7B670C33" w14:textId="77777777" w:rsidR="0040300B" w:rsidRDefault="0040300B">
            <w:pPr>
              <w:rPr>
                <w:rFonts w:ascii="宋体"/>
              </w:rPr>
            </w:pPr>
          </w:p>
        </w:tc>
        <w:tc>
          <w:tcPr>
            <w:tcW w:w="19" w:type="pct"/>
            <w:shd w:val="clear" w:color="auto" w:fill="auto"/>
          </w:tcPr>
          <w:p w14:paraId="7B670C34" w14:textId="77777777" w:rsidR="0040300B" w:rsidRDefault="0040300B">
            <w:pPr>
              <w:rPr>
                <w:rFonts w:ascii="宋体"/>
              </w:rPr>
            </w:pPr>
          </w:p>
        </w:tc>
        <w:tc>
          <w:tcPr>
            <w:tcW w:w="5" w:type="pct"/>
            <w:shd w:val="clear" w:color="auto" w:fill="auto"/>
          </w:tcPr>
          <w:p w14:paraId="7B670C35" w14:textId="77777777" w:rsidR="0040300B" w:rsidRDefault="0040300B">
            <w:pPr>
              <w:rPr>
                <w:rFonts w:ascii="宋体"/>
              </w:rPr>
            </w:pPr>
          </w:p>
        </w:tc>
        <w:tc>
          <w:tcPr>
            <w:tcW w:w="50" w:type="pct"/>
            <w:shd w:val="clear" w:color="auto" w:fill="auto"/>
          </w:tcPr>
          <w:p w14:paraId="7B670C36" w14:textId="77777777" w:rsidR="0040300B" w:rsidRDefault="0040300B">
            <w:pPr>
              <w:rPr>
                <w:rFonts w:ascii="宋体"/>
              </w:rPr>
            </w:pPr>
          </w:p>
        </w:tc>
        <w:tc>
          <w:tcPr>
            <w:tcW w:w="384" w:type="pct"/>
            <w:shd w:val="clear" w:color="auto" w:fill="auto"/>
          </w:tcPr>
          <w:p w14:paraId="7B670C37" w14:textId="77777777" w:rsidR="0040300B" w:rsidRDefault="0040300B">
            <w:pPr>
              <w:rPr>
                <w:rFonts w:ascii="宋体"/>
              </w:rPr>
            </w:pPr>
          </w:p>
        </w:tc>
        <w:tc>
          <w:tcPr>
            <w:tcW w:w="5" w:type="pct"/>
            <w:shd w:val="clear" w:color="auto" w:fill="auto"/>
          </w:tcPr>
          <w:p w14:paraId="7B670C38" w14:textId="77777777" w:rsidR="0040300B" w:rsidRDefault="0040300B">
            <w:pPr>
              <w:rPr>
                <w:rFonts w:ascii="宋体"/>
              </w:rPr>
            </w:pPr>
          </w:p>
        </w:tc>
      </w:tr>
      <w:tr w:rsidR="0040300B" w14:paraId="7B670C3F" w14:textId="77777777">
        <w:tc>
          <w:tcPr>
            <w:tcW w:w="0" w:type="auto"/>
            <w:gridSpan w:val="3"/>
            <w:shd w:val="clear" w:color="auto" w:fill="auto"/>
            <w:tcMar>
              <w:top w:w="0" w:type="dxa"/>
              <w:left w:w="20" w:type="dxa"/>
              <w:bottom w:w="0" w:type="dxa"/>
              <w:right w:w="20" w:type="dxa"/>
            </w:tcMar>
          </w:tcPr>
          <w:p w14:paraId="7B670C3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C3B"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C3C"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C3D"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C3E"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C51" w14:textId="77777777">
        <w:tc>
          <w:tcPr>
            <w:tcW w:w="0" w:type="auto"/>
            <w:gridSpan w:val="3"/>
            <w:shd w:val="clear" w:color="auto" w:fill="auto"/>
            <w:tcMar>
              <w:top w:w="0" w:type="dxa"/>
              <w:left w:w="20" w:type="dxa"/>
              <w:bottom w:w="0" w:type="dxa"/>
              <w:right w:w="20" w:type="dxa"/>
            </w:tcMar>
          </w:tcPr>
          <w:p w14:paraId="7B670C4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C4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2"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C4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4"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C4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6"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C4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8"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0C4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A"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C4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C"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C4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4E"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C4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C50"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0C63" w14:textId="77777777">
        <w:tc>
          <w:tcPr>
            <w:tcW w:w="0" w:type="auto"/>
            <w:gridSpan w:val="3"/>
            <w:shd w:val="clear" w:color="auto" w:fill="CCEEFF"/>
            <w:tcMar>
              <w:top w:w="40" w:type="dxa"/>
              <w:left w:w="20" w:type="dxa"/>
              <w:bottom w:w="40" w:type="dxa"/>
              <w:right w:w="20" w:type="dxa"/>
            </w:tcMar>
            <w:vAlign w:val="bottom"/>
          </w:tcPr>
          <w:p w14:paraId="7B670C52" w14:textId="77777777" w:rsidR="0040300B" w:rsidRDefault="00BB2D44">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tcPr>
          <w:p w14:paraId="7B670C5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5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5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6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C6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C62" w14:textId="77777777" w:rsidR="0040300B" w:rsidRDefault="0040300B">
            <w:pPr>
              <w:rPr>
                <w:rFonts w:ascii="宋体"/>
              </w:rPr>
            </w:pPr>
          </w:p>
        </w:tc>
      </w:tr>
      <w:tr w:rsidR="0040300B" w14:paraId="7B670C83" w14:textId="77777777">
        <w:tc>
          <w:tcPr>
            <w:tcW w:w="0" w:type="auto"/>
            <w:gridSpan w:val="3"/>
            <w:shd w:val="clear" w:color="auto" w:fill="FFFFFF"/>
            <w:tcMar>
              <w:top w:w="40" w:type="dxa"/>
              <w:left w:w="155" w:type="dxa"/>
              <w:bottom w:w="40" w:type="dxa"/>
              <w:right w:w="20" w:type="dxa"/>
            </w:tcMar>
            <w:vAlign w:val="bottom"/>
          </w:tcPr>
          <w:p w14:paraId="7B670C64" w14:textId="77777777" w:rsidR="0040300B" w:rsidRDefault="00BB2D44">
            <w:pPr>
              <w:textAlignment w:val="bottom"/>
            </w:pPr>
            <w:r>
              <w:rPr>
                <w:rFonts w:ascii="Times New Roman" w:eastAsia="宋体" w:hAnsi="Times New Roman"/>
                <w:color w:val="000000"/>
                <w:sz w:val="20"/>
                <w:szCs w:val="20"/>
              </w:rPr>
              <w:t>Infrastructure Platforms</w:t>
            </w:r>
          </w:p>
        </w:tc>
        <w:tc>
          <w:tcPr>
            <w:tcW w:w="0" w:type="auto"/>
            <w:gridSpan w:val="3"/>
            <w:shd w:val="clear" w:color="auto" w:fill="FFFFFF"/>
            <w:tcMar>
              <w:top w:w="0" w:type="dxa"/>
              <w:left w:w="20" w:type="dxa"/>
              <w:bottom w:w="0" w:type="dxa"/>
              <w:right w:w="20" w:type="dxa"/>
            </w:tcMar>
          </w:tcPr>
          <w:p w14:paraId="7B670C6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6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67" w14:textId="77777777" w:rsidR="0040300B" w:rsidRDefault="00BB2D44">
            <w:pPr>
              <w:jc w:val="right"/>
              <w:textAlignment w:val="bottom"/>
            </w:pPr>
            <w:r>
              <w:rPr>
                <w:rFonts w:ascii="Times New Roman" w:eastAsia="宋体" w:hAnsi="Times New Roman"/>
                <w:color w:val="000000"/>
                <w:sz w:val="20"/>
                <w:szCs w:val="20"/>
              </w:rPr>
              <w:t>6,832 </w:t>
            </w:r>
          </w:p>
        </w:tc>
        <w:tc>
          <w:tcPr>
            <w:tcW w:w="0" w:type="auto"/>
            <w:shd w:val="clear" w:color="auto" w:fill="FFFFFF"/>
            <w:tcMar>
              <w:top w:w="40" w:type="dxa"/>
              <w:left w:w="0" w:type="dxa"/>
              <w:bottom w:w="40" w:type="dxa"/>
              <w:right w:w="20" w:type="dxa"/>
            </w:tcMar>
            <w:vAlign w:val="bottom"/>
          </w:tcPr>
          <w:p w14:paraId="7B670C6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6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6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6B" w14:textId="77777777" w:rsidR="0040300B" w:rsidRDefault="00BB2D44">
            <w:pPr>
              <w:jc w:val="right"/>
              <w:textAlignment w:val="bottom"/>
            </w:pPr>
            <w:r>
              <w:rPr>
                <w:rFonts w:ascii="Times New Roman" w:eastAsia="宋体" w:hAnsi="Times New Roman"/>
                <w:color w:val="000000"/>
                <w:sz w:val="20"/>
                <w:szCs w:val="20"/>
              </w:rPr>
              <w:t>6,447 </w:t>
            </w:r>
          </w:p>
        </w:tc>
        <w:tc>
          <w:tcPr>
            <w:tcW w:w="0" w:type="auto"/>
            <w:shd w:val="clear" w:color="auto" w:fill="FFFFFF"/>
            <w:tcMar>
              <w:top w:w="40" w:type="dxa"/>
              <w:left w:w="0" w:type="dxa"/>
              <w:bottom w:w="40" w:type="dxa"/>
              <w:right w:w="20" w:type="dxa"/>
            </w:tcMar>
            <w:vAlign w:val="bottom"/>
          </w:tcPr>
          <w:p w14:paraId="7B670C6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6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6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6F" w14:textId="77777777" w:rsidR="0040300B" w:rsidRDefault="00BB2D44">
            <w:pPr>
              <w:jc w:val="right"/>
              <w:textAlignment w:val="bottom"/>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bottom"/>
          </w:tcPr>
          <w:p w14:paraId="7B670C7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7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72"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B670C73"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C7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7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76" w14:textId="77777777" w:rsidR="0040300B" w:rsidRDefault="00BB2D44">
            <w:pPr>
              <w:jc w:val="right"/>
              <w:textAlignment w:val="bottom"/>
            </w:pPr>
            <w:r>
              <w:rPr>
                <w:rFonts w:ascii="Times New Roman" w:eastAsia="宋体" w:hAnsi="Times New Roman"/>
                <w:color w:val="000000"/>
                <w:sz w:val="20"/>
                <w:szCs w:val="20"/>
              </w:rPr>
              <w:t>19,564 </w:t>
            </w:r>
          </w:p>
        </w:tc>
        <w:tc>
          <w:tcPr>
            <w:tcW w:w="0" w:type="auto"/>
            <w:shd w:val="clear" w:color="auto" w:fill="FFFFFF"/>
            <w:tcMar>
              <w:top w:w="40" w:type="dxa"/>
              <w:left w:w="0" w:type="dxa"/>
              <w:bottom w:w="40" w:type="dxa"/>
              <w:right w:w="20" w:type="dxa"/>
            </w:tcMar>
            <w:vAlign w:val="bottom"/>
          </w:tcPr>
          <w:p w14:paraId="7B670C7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7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7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7A" w14:textId="77777777" w:rsidR="0040300B" w:rsidRDefault="00BB2D44">
            <w:pPr>
              <w:jc w:val="right"/>
              <w:textAlignment w:val="bottom"/>
            </w:pPr>
            <w:r>
              <w:rPr>
                <w:rFonts w:ascii="Times New Roman" w:eastAsia="宋体" w:hAnsi="Times New Roman"/>
                <w:color w:val="000000"/>
                <w:sz w:val="20"/>
                <w:szCs w:val="20"/>
              </w:rPr>
              <w:t>20,566 </w:t>
            </w:r>
          </w:p>
        </w:tc>
        <w:tc>
          <w:tcPr>
            <w:tcW w:w="0" w:type="auto"/>
            <w:shd w:val="clear" w:color="auto" w:fill="FFFFFF"/>
            <w:tcMar>
              <w:top w:w="40" w:type="dxa"/>
              <w:left w:w="0" w:type="dxa"/>
              <w:bottom w:w="40" w:type="dxa"/>
              <w:right w:w="20" w:type="dxa"/>
            </w:tcMar>
            <w:vAlign w:val="bottom"/>
          </w:tcPr>
          <w:p w14:paraId="7B670C7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7C"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C7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C7E" w14:textId="77777777" w:rsidR="0040300B" w:rsidRDefault="00BB2D44">
            <w:pPr>
              <w:jc w:val="right"/>
              <w:textAlignment w:val="bottom"/>
            </w:pPr>
            <w:r>
              <w:rPr>
                <w:rFonts w:ascii="Times New Roman" w:eastAsia="宋体" w:hAnsi="Times New Roman"/>
                <w:color w:val="000000"/>
                <w:sz w:val="20"/>
                <w:szCs w:val="20"/>
              </w:rPr>
              <w:t>(1,002)</w:t>
            </w:r>
          </w:p>
        </w:tc>
        <w:tc>
          <w:tcPr>
            <w:tcW w:w="0" w:type="auto"/>
            <w:shd w:val="clear" w:color="auto" w:fill="FFFFFF"/>
            <w:tcMar>
              <w:top w:w="40" w:type="dxa"/>
              <w:left w:w="0" w:type="dxa"/>
              <w:bottom w:w="40" w:type="dxa"/>
              <w:right w:w="20" w:type="dxa"/>
            </w:tcMar>
            <w:vAlign w:val="bottom"/>
          </w:tcPr>
          <w:p w14:paraId="7B670C7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8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81" w14:textId="77777777" w:rsidR="0040300B" w:rsidRDefault="00BB2D44">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B670C82"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C9D" w14:textId="77777777">
        <w:tc>
          <w:tcPr>
            <w:tcW w:w="0" w:type="auto"/>
            <w:gridSpan w:val="3"/>
            <w:shd w:val="clear" w:color="auto" w:fill="CCEEFF"/>
            <w:tcMar>
              <w:top w:w="40" w:type="dxa"/>
              <w:left w:w="155" w:type="dxa"/>
              <w:bottom w:w="40" w:type="dxa"/>
              <w:right w:w="20" w:type="dxa"/>
            </w:tcMar>
            <w:vAlign w:val="bottom"/>
          </w:tcPr>
          <w:p w14:paraId="7B670C84" w14:textId="77777777" w:rsidR="0040300B" w:rsidRDefault="00BB2D44">
            <w:pPr>
              <w:textAlignment w:val="bottom"/>
            </w:pPr>
            <w:r>
              <w:rPr>
                <w:rFonts w:ascii="Times New Roman" w:eastAsia="宋体" w:hAnsi="Times New Roman"/>
                <w:color w:val="000000"/>
                <w:sz w:val="20"/>
                <w:szCs w:val="20"/>
              </w:rPr>
              <w:t>Applications</w:t>
            </w:r>
          </w:p>
        </w:tc>
        <w:tc>
          <w:tcPr>
            <w:tcW w:w="0" w:type="auto"/>
            <w:gridSpan w:val="3"/>
            <w:shd w:val="clear" w:color="auto" w:fill="CCEEFF"/>
            <w:tcMar>
              <w:top w:w="0" w:type="dxa"/>
              <w:left w:w="20" w:type="dxa"/>
              <w:bottom w:w="0" w:type="dxa"/>
              <w:right w:w="20" w:type="dxa"/>
            </w:tcMar>
          </w:tcPr>
          <w:p w14:paraId="7B670C8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86" w14:textId="77777777" w:rsidR="0040300B" w:rsidRDefault="00BB2D44">
            <w:pPr>
              <w:jc w:val="right"/>
              <w:textAlignment w:val="bottom"/>
            </w:pPr>
            <w:r>
              <w:rPr>
                <w:rFonts w:ascii="Times New Roman" w:eastAsia="宋体" w:hAnsi="Times New Roman"/>
                <w:color w:val="000000"/>
                <w:sz w:val="20"/>
                <w:szCs w:val="20"/>
              </w:rPr>
              <w:t>1,426 </w:t>
            </w:r>
          </w:p>
        </w:tc>
        <w:tc>
          <w:tcPr>
            <w:tcW w:w="0" w:type="auto"/>
            <w:shd w:val="clear" w:color="auto" w:fill="CCEEFF"/>
            <w:tcMar>
              <w:top w:w="40" w:type="dxa"/>
              <w:left w:w="0" w:type="dxa"/>
              <w:bottom w:w="40" w:type="dxa"/>
              <w:right w:w="20" w:type="dxa"/>
            </w:tcMar>
            <w:vAlign w:val="bottom"/>
          </w:tcPr>
          <w:p w14:paraId="7B670C8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8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89" w14:textId="77777777" w:rsidR="0040300B" w:rsidRDefault="00BB2D44">
            <w:pPr>
              <w:jc w:val="right"/>
              <w:textAlignment w:val="bottom"/>
            </w:pPr>
            <w:r>
              <w:rPr>
                <w:rFonts w:ascii="Times New Roman" w:eastAsia="宋体" w:hAnsi="Times New Roman"/>
                <w:color w:val="000000"/>
                <w:sz w:val="20"/>
                <w:szCs w:val="20"/>
              </w:rPr>
              <w:t>1,363 </w:t>
            </w:r>
          </w:p>
        </w:tc>
        <w:tc>
          <w:tcPr>
            <w:tcW w:w="0" w:type="auto"/>
            <w:shd w:val="clear" w:color="auto" w:fill="CCEEFF"/>
            <w:tcMar>
              <w:top w:w="40" w:type="dxa"/>
              <w:left w:w="0" w:type="dxa"/>
              <w:bottom w:w="40" w:type="dxa"/>
              <w:right w:w="20" w:type="dxa"/>
            </w:tcMar>
            <w:vAlign w:val="bottom"/>
          </w:tcPr>
          <w:p w14:paraId="7B670C8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8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8C" w14:textId="77777777" w:rsidR="0040300B" w:rsidRDefault="00BB2D44">
            <w:pPr>
              <w:jc w:val="right"/>
              <w:textAlignment w:val="bottom"/>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bottom"/>
          </w:tcPr>
          <w:p w14:paraId="7B670C8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8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8F"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B670C90"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C9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92" w14:textId="77777777" w:rsidR="0040300B" w:rsidRDefault="00BB2D44">
            <w:pPr>
              <w:jc w:val="right"/>
              <w:textAlignment w:val="bottom"/>
            </w:pPr>
            <w:r>
              <w:rPr>
                <w:rFonts w:ascii="Times New Roman" w:eastAsia="宋体" w:hAnsi="Times New Roman"/>
                <w:color w:val="000000"/>
                <w:sz w:val="20"/>
                <w:szCs w:val="20"/>
              </w:rPr>
              <w:t>4,160 </w:t>
            </w:r>
          </w:p>
        </w:tc>
        <w:tc>
          <w:tcPr>
            <w:tcW w:w="0" w:type="auto"/>
            <w:shd w:val="clear" w:color="auto" w:fill="CCEEFF"/>
            <w:tcMar>
              <w:top w:w="40" w:type="dxa"/>
              <w:left w:w="0" w:type="dxa"/>
              <w:bottom w:w="40" w:type="dxa"/>
              <w:right w:w="20" w:type="dxa"/>
            </w:tcMar>
            <w:vAlign w:val="bottom"/>
          </w:tcPr>
          <w:p w14:paraId="7B670C9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9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95" w14:textId="77777777" w:rsidR="0040300B" w:rsidRDefault="00BB2D44">
            <w:pPr>
              <w:jc w:val="right"/>
              <w:textAlignment w:val="bottom"/>
            </w:pPr>
            <w:r>
              <w:rPr>
                <w:rFonts w:ascii="Times New Roman" w:eastAsia="宋体" w:hAnsi="Times New Roman"/>
                <w:color w:val="000000"/>
                <w:sz w:val="20"/>
                <w:szCs w:val="20"/>
              </w:rPr>
              <w:t>4,211 </w:t>
            </w:r>
          </w:p>
        </w:tc>
        <w:tc>
          <w:tcPr>
            <w:tcW w:w="0" w:type="auto"/>
            <w:shd w:val="clear" w:color="auto" w:fill="CCEEFF"/>
            <w:tcMar>
              <w:top w:w="40" w:type="dxa"/>
              <w:left w:w="0" w:type="dxa"/>
              <w:bottom w:w="40" w:type="dxa"/>
              <w:right w:w="20" w:type="dxa"/>
            </w:tcMar>
            <w:vAlign w:val="bottom"/>
          </w:tcPr>
          <w:p w14:paraId="7B670C9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9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98" w14:textId="77777777" w:rsidR="0040300B" w:rsidRDefault="00BB2D44">
            <w:pPr>
              <w:jc w:val="right"/>
              <w:textAlignment w:val="bottom"/>
            </w:pPr>
            <w:r>
              <w:rPr>
                <w:rFonts w:ascii="Times New Roman" w:eastAsia="宋体" w:hAnsi="Times New Roman"/>
                <w:color w:val="000000"/>
                <w:sz w:val="20"/>
                <w:szCs w:val="20"/>
              </w:rPr>
              <w:t>(51)</w:t>
            </w:r>
          </w:p>
        </w:tc>
        <w:tc>
          <w:tcPr>
            <w:tcW w:w="0" w:type="auto"/>
            <w:shd w:val="clear" w:color="auto" w:fill="CCEEFF"/>
            <w:tcMar>
              <w:top w:w="40" w:type="dxa"/>
              <w:left w:w="0" w:type="dxa"/>
              <w:bottom w:w="40" w:type="dxa"/>
              <w:right w:w="20" w:type="dxa"/>
            </w:tcMar>
            <w:vAlign w:val="bottom"/>
          </w:tcPr>
          <w:p w14:paraId="7B670C9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9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9B"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B670C9C"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CB7" w14:textId="77777777">
        <w:tc>
          <w:tcPr>
            <w:tcW w:w="0" w:type="auto"/>
            <w:gridSpan w:val="3"/>
            <w:shd w:val="clear" w:color="auto" w:fill="FFFFFF"/>
            <w:tcMar>
              <w:top w:w="40" w:type="dxa"/>
              <w:left w:w="155" w:type="dxa"/>
              <w:bottom w:w="40" w:type="dxa"/>
              <w:right w:w="20" w:type="dxa"/>
            </w:tcMar>
            <w:vAlign w:val="bottom"/>
          </w:tcPr>
          <w:p w14:paraId="7B670C9E" w14:textId="77777777" w:rsidR="0040300B" w:rsidRDefault="00BB2D44">
            <w:pPr>
              <w:textAlignment w:val="bottom"/>
            </w:pPr>
            <w:r>
              <w:rPr>
                <w:rFonts w:ascii="Times New Roman" w:eastAsia="宋体" w:hAnsi="Times New Roman"/>
                <w:color w:val="000000"/>
                <w:sz w:val="20"/>
                <w:szCs w:val="20"/>
              </w:rPr>
              <w:t>Security</w:t>
            </w:r>
          </w:p>
        </w:tc>
        <w:tc>
          <w:tcPr>
            <w:tcW w:w="0" w:type="auto"/>
            <w:gridSpan w:val="3"/>
            <w:shd w:val="clear" w:color="auto" w:fill="FFFFFF"/>
            <w:tcMar>
              <w:top w:w="0" w:type="dxa"/>
              <w:left w:w="20" w:type="dxa"/>
              <w:bottom w:w="0" w:type="dxa"/>
              <w:right w:w="20" w:type="dxa"/>
            </w:tcMar>
          </w:tcPr>
          <w:p w14:paraId="7B670C9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0" w14:textId="77777777" w:rsidR="0040300B" w:rsidRDefault="00BB2D44">
            <w:pPr>
              <w:jc w:val="right"/>
              <w:textAlignment w:val="bottom"/>
            </w:pPr>
            <w:r>
              <w:rPr>
                <w:rFonts w:ascii="Times New Roman" w:eastAsia="宋体" w:hAnsi="Times New Roman"/>
                <w:color w:val="000000"/>
                <w:sz w:val="20"/>
                <w:szCs w:val="20"/>
              </w:rPr>
              <w:t>876 </w:t>
            </w:r>
          </w:p>
        </w:tc>
        <w:tc>
          <w:tcPr>
            <w:tcW w:w="0" w:type="auto"/>
            <w:shd w:val="clear" w:color="auto" w:fill="FFFFFF"/>
            <w:tcMar>
              <w:top w:w="40" w:type="dxa"/>
              <w:left w:w="0" w:type="dxa"/>
              <w:bottom w:w="40" w:type="dxa"/>
              <w:right w:w="20" w:type="dxa"/>
            </w:tcMar>
            <w:vAlign w:val="bottom"/>
          </w:tcPr>
          <w:p w14:paraId="7B670CA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A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3" w14:textId="77777777" w:rsidR="0040300B" w:rsidRDefault="00BB2D44">
            <w:pPr>
              <w:jc w:val="right"/>
              <w:textAlignment w:val="bottom"/>
            </w:pPr>
            <w:r>
              <w:rPr>
                <w:rFonts w:ascii="Times New Roman" w:eastAsia="宋体" w:hAnsi="Times New Roman"/>
                <w:color w:val="000000"/>
                <w:sz w:val="20"/>
                <w:szCs w:val="20"/>
              </w:rPr>
              <w:t>778 </w:t>
            </w:r>
          </w:p>
        </w:tc>
        <w:tc>
          <w:tcPr>
            <w:tcW w:w="0" w:type="auto"/>
            <w:shd w:val="clear" w:color="auto" w:fill="FFFFFF"/>
            <w:tcMar>
              <w:top w:w="40" w:type="dxa"/>
              <w:left w:w="0" w:type="dxa"/>
              <w:bottom w:w="40" w:type="dxa"/>
              <w:right w:w="20" w:type="dxa"/>
            </w:tcMar>
            <w:vAlign w:val="bottom"/>
          </w:tcPr>
          <w:p w14:paraId="7B670CA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A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6" w14:textId="77777777" w:rsidR="0040300B" w:rsidRDefault="00BB2D44">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7B670CA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A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9" w14:textId="77777777" w:rsidR="0040300B" w:rsidRDefault="00BB2D4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B670CAA"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CA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C" w14:textId="77777777" w:rsidR="0040300B" w:rsidRDefault="00BB2D44">
            <w:pPr>
              <w:jc w:val="right"/>
              <w:textAlignment w:val="bottom"/>
            </w:pPr>
            <w:r>
              <w:rPr>
                <w:rFonts w:ascii="Times New Roman" w:eastAsia="宋体" w:hAnsi="Times New Roman"/>
                <w:color w:val="000000"/>
                <w:sz w:val="20"/>
                <w:szCs w:val="20"/>
              </w:rPr>
              <w:t>2,559 </w:t>
            </w:r>
          </w:p>
        </w:tc>
        <w:tc>
          <w:tcPr>
            <w:tcW w:w="0" w:type="auto"/>
            <w:shd w:val="clear" w:color="auto" w:fill="FFFFFF"/>
            <w:tcMar>
              <w:top w:w="40" w:type="dxa"/>
              <w:left w:w="0" w:type="dxa"/>
              <w:bottom w:w="40" w:type="dxa"/>
              <w:right w:w="20" w:type="dxa"/>
            </w:tcMar>
            <w:vAlign w:val="bottom"/>
          </w:tcPr>
          <w:p w14:paraId="7B670CA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A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AF" w14:textId="77777777" w:rsidR="0040300B" w:rsidRDefault="00BB2D44">
            <w:pPr>
              <w:jc w:val="right"/>
              <w:textAlignment w:val="bottom"/>
            </w:pPr>
            <w:r>
              <w:rPr>
                <w:rFonts w:ascii="Times New Roman" w:eastAsia="宋体" w:hAnsi="Times New Roman"/>
                <w:color w:val="000000"/>
                <w:sz w:val="20"/>
                <w:szCs w:val="20"/>
              </w:rPr>
              <w:t>2,343 </w:t>
            </w:r>
          </w:p>
        </w:tc>
        <w:tc>
          <w:tcPr>
            <w:tcW w:w="0" w:type="auto"/>
            <w:shd w:val="clear" w:color="auto" w:fill="FFFFFF"/>
            <w:tcMar>
              <w:top w:w="40" w:type="dxa"/>
              <w:left w:w="0" w:type="dxa"/>
              <w:bottom w:w="40" w:type="dxa"/>
              <w:right w:w="20" w:type="dxa"/>
            </w:tcMar>
            <w:vAlign w:val="bottom"/>
          </w:tcPr>
          <w:p w14:paraId="7B670CB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B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B2" w14:textId="77777777" w:rsidR="0040300B" w:rsidRDefault="00BB2D44">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left w:w="0" w:type="dxa"/>
              <w:bottom w:w="40" w:type="dxa"/>
              <w:right w:w="20" w:type="dxa"/>
            </w:tcMar>
            <w:vAlign w:val="bottom"/>
          </w:tcPr>
          <w:p w14:paraId="7B670CB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B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B5"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B670CB6"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CD1" w14:textId="77777777">
        <w:tc>
          <w:tcPr>
            <w:tcW w:w="0" w:type="auto"/>
            <w:gridSpan w:val="3"/>
            <w:shd w:val="clear" w:color="auto" w:fill="CCEEFF"/>
            <w:tcMar>
              <w:top w:w="40" w:type="dxa"/>
              <w:left w:w="155" w:type="dxa"/>
              <w:bottom w:w="40" w:type="dxa"/>
              <w:right w:w="20" w:type="dxa"/>
            </w:tcMar>
            <w:vAlign w:val="bottom"/>
          </w:tcPr>
          <w:p w14:paraId="7B670CB8" w14:textId="77777777" w:rsidR="0040300B" w:rsidRDefault="00BB2D44">
            <w:pPr>
              <w:textAlignment w:val="bottom"/>
            </w:pPr>
            <w:r>
              <w:rPr>
                <w:rFonts w:ascii="Times New Roman" w:eastAsia="宋体" w:hAnsi="Times New Roman"/>
                <w:color w:val="000000"/>
                <w:sz w:val="20"/>
                <w:szCs w:val="20"/>
              </w:rPr>
              <w:t xml:space="preserve">Other Products </w:t>
            </w:r>
          </w:p>
        </w:tc>
        <w:tc>
          <w:tcPr>
            <w:tcW w:w="0" w:type="auto"/>
            <w:gridSpan w:val="3"/>
            <w:shd w:val="clear" w:color="auto" w:fill="CCEEFF"/>
            <w:tcMar>
              <w:top w:w="0" w:type="dxa"/>
              <w:left w:w="20" w:type="dxa"/>
              <w:bottom w:w="0" w:type="dxa"/>
              <w:right w:w="20" w:type="dxa"/>
            </w:tcMar>
          </w:tcPr>
          <w:p w14:paraId="7B670CB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BA"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70C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B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BD"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B670CB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B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0" w14:textId="77777777" w:rsidR="0040300B" w:rsidRDefault="00BB2D44">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B670CC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C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3" w14:textId="77777777" w:rsidR="0040300B" w:rsidRDefault="00BB2D44">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7B670CC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C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6" w14:textId="77777777" w:rsidR="0040300B" w:rsidRDefault="00BB2D4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7B670C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C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9" w14:textId="77777777" w:rsidR="0040300B" w:rsidRDefault="00BB2D4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B670C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C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C" w14:textId="77777777" w:rsidR="0040300B" w:rsidRDefault="00BB2D44">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7B670CC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CC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CCF" w14:textId="77777777" w:rsidR="0040300B" w:rsidRDefault="00BB2D44">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7B670CD0"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CF1" w14:textId="77777777">
        <w:tc>
          <w:tcPr>
            <w:tcW w:w="0" w:type="auto"/>
            <w:gridSpan w:val="3"/>
            <w:shd w:val="clear" w:color="auto" w:fill="FFFFFF"/>
            <w:tcMar>
              <w:top w:w="40" w:type="dxa"/>
              <w:left w:w="380" w:type="dxa"/>
              <w:bottom w:w="40" w:type="dxa"/>
              <w:right w:w="20" w:type="dxa"/>
            </w:tcMar>
            <w:vAlign w:val="bottom"/>
          </w:tcPr>
          <w:p w14:paraId="7B670CD2"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tcBorders>
              <w:bottom w:val="double" w:sz="6" w:space="0" w:color="000000"/>
            </w:tcBorders>
            <w:shd w:val="clear" w:color="auto" w:fill="FFFFFF"/>
            <w:tcMar>
              <w:top w:w="0" w:type="dxa"/>
              <w:left w:w="20" w:type="dxa"/>
              <w:bottom w:w="0" w:type="dxa"/>
              <w:right w:w="20" w:type="dxa"/>
            </w:tcMar>
          </w:tcPr>
          <w:p w14:paraId="7B670CD3"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D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D5" w14:textId="77777777" w:rsidR="0040300B" w:rsidRDefault="00BB2D44">
            <w:pPr>
              <w:jc w:val="right"/>
              <w:textAlignment w:val="bottom"/>
            </w:pPr>
            <w:r>
              <w:rPr>
                <w:rFonts w:ascii="Times New Roman" w:eastAsia="宋体" w:hAnsi="Times New Roman"/>
                <w:color w:val="000000"/>
                <w:sz w:val="20"/>
                <w:szCs w:val="20"/>
              </w:rPr>
              <w:t>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D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D7"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D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D9" w14:textId="77777777" w:rsidR="0040300B" w:rsidRDefault="00BB2D44">
            <w:pPr>
              <w:jc w:val="right"/>
              <w:textAlignment w:val="bottom"/>
            </w:pPr>
            <w:r>
              <w:rPr>
                <w:rFonts w:ascii="Times New Roman" w:eastAsia="宋体" w:hAnsi="Times New Roman"/>
                <w:color w:val="000000"/>
                <w:sz w:val="20"/>
                <w:szCs w:val="20"/>
              </w:rPr>
              <w:t>8,597 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D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D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D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DD" w14:textId="77777777" w:rsidR="0040300B" w:rsidRDefault="00BB2D44">
            <w:pPr>
              <w:jc w:val="right"/>
              <w:textAlignment w:val="bottom"/>
            </w:pPr>
            <w:r>
              <w:rPr>
                <w:rFonts w:ascii="Times New Roman" w:eastAsia="宋体" w:hAnsi="Times New Roman"/>
                <w:color w:val="000000"/>
                <w:sz w:val="20"/>
                <w:szCs w:val="20"/>
              </w:rPr>
              <w:t>542 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D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D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E0"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B670CE1"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CE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E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E4" w14:textId="77777777" w:rsidR="0040300B" w:rsidRDefault="00BB2D44">
            <w:pPr>
              <w:jc w:val="right"/>
              <w:textAlignment w:val="bottom"/>
            </w:pPr>
            <w:r>
              <w:rPr>
                <w:rFonts w:ascii="Times New Roman" w:eastAsia="宋体" w:hAnsi="Times New Roman"/>
                <w:color w:val="000000"/>
                <w:sz w:val="20"/>
                <w:szCs w:val="20"/>
              </w:rPr>
              <w:t>26,298 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E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E6"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E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E8" w14:textId="77777777" w:rsidR="0040300B" w:rsidRDefault="00BB2D44">
            <w:pPr>
              <w:jc w:val="right"/>
              <w:textAlignment w:val="bottom"/>
            </w:pPr>
            <w:r>
              <w:rPr>
                <w:rFonts w:ascii="Times New Roman" w:eastAsia="宋体" w:hAnsi="Times New Roman"/>
                <w:color w:val="000000"/>
                <w:sz w:val="20"/>
                <w:szCs w:val="20"/>
              </w:rPr>
              <w:t>27,146 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E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E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CE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CEC" w14:textId="77777777" w:rsidR="0040300B" w:rsidRDefault="00BB2D44">
            <w:pPr>
              <w:jc w:val="right"/>
              <w:textAlignment w:val="bottom"/>
            </w:pPr>
            <w:r>
              <w:rPr>
                <w:rFonts w:ascii="Times New Roman" w:eastAsia="宋体" w:hAnsi="Times New Roman"/>
                <w:color w:val="000000"/>
                <w:sz w:val="20"/>
                <w:szCs w:val="20"/>
              </w:rPr>
              <w:t>(848)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CE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CE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CEF" w14:textId="77777777" w:rsidR="0040300B" w:rsidRDefault="00BB2D4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7B670CF0" w14:textId="77777777" w:rsidR="0040300B" w:rsidRDefault="00BB2D44">
            <w:pPr>
              <w:jc w:val="right"/>
              <w:textAlignment w:val="bottom"/>
            </w:pPr>
            <w:r>
              <w:rPr>
                <w:rFonts w:ascii="Times New Roman" w:eastAsia="宋体" w:hAnsi="Times New Roman"/>
                <w:color w:val="000000"/>
                <w:sz w:val="20"/>
                <w:szCs w:val="20"/>
              </w:rPr>
              <w:t>%</w:t>
            </w:r>
          </w:p>
        </w:tc>
      </w:tr>
    </w:tbl>
    <w:p w14:paraId="7B670CF2" w14:textId="77777777" w:rsidR="0040300B" w:rsidRDefault="00BB2D44">
      <w:pPr>
        <w:spacing w:before="120"/>
        <w:jc w:val="both"/>
      </w:pPr>
      <w:r>
        <w:rPr>
          <w:rFonts w:ascii="Times New Roman" w:eastAsia="宋体" w:hAnsi="Times New Roman"/>
          <w:color w:val="000000"/>
          <w:sz w:val="20"/>
          <w:szCs w:val="20"/>
        </w:rPr>
        <w:t>Amounts may not su</w:t>
      </w:r>
      <w:r>
        <w:rPr>
          <w:rFonts w:ascii="Times New Roman" w:eastAsia="宋体" w:hAnsi="Times New Roman"/>
          <w:color w:val="000000"/>
          <w:sz w:val="20"/>
          <w:szCs w:val="20"/>
        </w:rPr>
        <w:t xml:space="preserve">m and percentages may not recalculate due to rounding. Prior period amounts have been reclassified to conform to the current period’s presentation. </w:t>
      </w:r>
    </w:p>
    <w:p w14:paraId="7B670CF3" w14:textId="77777777" w:rsidR="0040300B" w:rsidRDefault="00BB2D44">
      <w:pPr>
        <w:spacing w:before="120"/>
        <w:jc w:val="both"/>
      </w:pPr>
      <w:r>
        <w:rPr>
          <w:rFonts w:ascii="Times New Roman" w:eastAsia="宋体" w:hAnsi="Times New Roman"/>
          <w:color w:val="000000"/>
          <w:sz w:val="20"/>
          <w:szCs w:val="20"/>
          <w:u w:val="single"/>
        </w:rPr>
        <w:t>Infrastructure Platforms</w:t>
      </w:r>
    </w:p>
    <w:p w14:paraId="7B670CF4" w14:textId="77777777" w:rsidR="0040300B" w:rsidRDefault="00BB2D44">
      <w:pPr>
        <w:spacing w:before="120"/>
      </w:pPr>
      <w:r>
        <w:rPr>
          <w:rFonts w:ascii="Times New Roman" w:eastAsia="宋体" w:hAnsi="Times New Roman"/>
          <w:i/>
          <w:iCs/>
          <w:color w:val="000000"/>
          <w:sz w:val="20"/>
          <w:szCs w:val="20"/>
          <w:u w:val="single"/>
        </w:rPr>
        <w:t>Three Months Ended May 1, 2021 Compared with Three Months Ended April 25, 2020</w:t>
      </w:r>
    </w:p>
    <w:p w14:paraId="7B670CF5" w14:textId="77777777" w:rsidR="0040300B" w:rsidRDefault="00BB2D44">
      <w:pPr>
        <w:spacing w:before="120"/>
        <w:jc w:val="both"/>
      </w:pPr>
      <w:r>
        <w:rPr>
          <w:rFonts w:ascii="Times New Roman" w:eastAsia="宋体" w:hAnsi="Times New Roman"/>
          <w:color w:val="000000"/>
          <w:sz w:val="20"/>
          <w:szCs w:val="20"/>
        </w:rPr>
        <w:t>The Infrastructure Platforms product category represents our core networking offerings related to switching, routing, wireless, and the data center. Infrastructure Platforms revenue increased by 6%, or $385 million, with growth across the portfolio with th</w:t>
      </w:r>
      <w:r>
        <w:rPr>
          <w:rFonts w:ascii="Times New Roman" w:eastAsia="宋体" w:hAnsi="Times New Roman"/>
          <w:color w:val="000000"/>
          <w:sz w:val="20"/>
          <w:szCs w:val="20"/>
        </w:rPr>
        <w:t xml:space="preserve">e exception of data center. We experienced an increase in Switching revenue with growth in campus switching driven by an increase in sales of our intent-based networking Catalyst 9000 Series. This product revenue growth was partially offset by declines in </w:t>
      </w:r>
      <w:r>
        <w:rPr>
          <w:rFonts w:ascii="Times New Roman" w:eastAsia="宋体" w:hAnsi="Times New Roman"/>
          <w:color w:val="000000"/>
          <w:sz w:val="20"/>
          <w:szCs w:val="20"/>
        </w:rPr>
        <w:t>data center switching. We experienced an increase in sales of routing products driven by growth in the service provider market. Wireless had strong growth driven by our WiFi6 products and Meraki offerings. Revenue from data center declined primarily driven</w:t>
      </w:r>
      <w:r>
        <w:rPr>
          <w:rFonts w:ascii="Times New Roman" w:eastAsia="宋体" w:hAnsi="Times New Roman"/>
          <w:color w:val="000000"/>
          <w:sz w:val="20"/>
          <w:szCs w:val="20"/>
        </w:rPr>
        <w:t xml:space="preserve"> by our server products.</w:t>
      </w:r>
    </w:p>
    <w:p w14:paraId="7B670CF6"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CF7" w14:textId="77777777" w:rsidR="0040300B" w:rsidRDefault="00BB2D44">
      <w:pPr>
        <w:spacing w:before="120"/>
        <w:jc w:val="both"/>
      </w:pPr>
      <w:r>
        <w:rPr>
          <w:rFonts w:ascii="Times New Roman" w:eastAsia="宋体" w:hAnsi="Times New Roman"/>
          <w:color w:val="000000"/>
          <w:sz w:val="20"/>
          <w:szCs w:val="20"/>
        </w:rPr>
        <w:t>Revenue from the Infrastructure Platforms product category decreased 5%, or $1.0 billion, with declines across the portfolio with the exception of wireles</w:t>
      </w:r>
      <w:r>
        <w:rPr>
          <w:rFonts w:ascii="Times New Roman" w:eastAsia="宋体" w:hAnsi="Times New Roman"/>
          <w:color w:val="000000"/>
          <w:sz w:val="20"/>
          <w:szCs w:val="20"/>
        </w:rPr>
        <w:t>s. Switching revenue declined in both campus switching and data center switching, although we saw revenue growth in our intent-based networking Catalyst 9000 Series and Nexus 9000 Series. The decrease in routing was driven by declines in the service provid</w:t>
      </w:r>
      <w:r>
        <w:rPr>
          <w:rFonts w:ascii="Times New Roman" w:eastAsia="宋体" w:hAnsi="Times New Roman"/>
          <w:color w:val="000000"/>
          <w:sz w:val="20"/>
          <w:szCs w:val="20"/>
        </w:rPr>
        <w:t>er and enterprise markets. We had solid growth in our wireless products driven by our WiFi6 products and Meraki offerings. Revenue from data center decreased driven primarily by our server products.</w:t>
      </w:r>
    </w:p>
    <w:p w14:paraId="7B670CF8" w14:textId="77777777" w:rsidR="0040300B" w:rsidRDefault="00BB2D44">
      <w:pPr>
        <w:spacing w:before="120"/>
        <w:jc w:val="both"/>
      </w:pPr>
      <w:r>
        <w:rPr>
          <w:rFonts w:ascii="Times New Roman" w:eastAsia="宋体" w:hAnsi="Times New Roman"/>
          <w:color w:val="000000"/>
          <w:sz w:val="20"/>
          <w:szCs w:val="20"/>
          <w:u w:val="single"/>
        </w:rPr>
        <w:t>Applications</w:t>
      </w:r>
    </w:p>
    <w:p w14:paraId="7B670CF9"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w:t>
      </w:r>
      <w:r>
        <w:rPr>
          <w:rFonts w:ascii="Times New Roman" w:eastAsia="宋体" w:hAnsi="Times New Roman"/>
          <w:i/>
          <w:iCs/>
          <w:color w:val="000000"/>
          <w:sz w:val="20"/>
          <w:szCs w:val="20"/>
          <w:u w:val="single"/>
        </w:rPr>
        <w:t xml:space="preserve"> Three Months Ended April 25, 2020</w:t>
      </w:r>
    </w:p>
    <w:p w14:paraId="7B670CFA" w14:textId="77777777" w:rsidR="0040300B" w:rsidRDefault="00BB2D44">
      <w:pPr>
        <w:spacing w:before="120"/>
        <w:jc w:val="both"/>
      </w:pPr>
      <w:r>
        <w:rPr>
          <w:rFonts w:ascii="Times New Roman" w:eastAsia="宋体" w:hAnsi="Times New Roman"/>
          <w:color w:val="000000"/>
          <w:sz w:val="20"/>
          <w:szCs w:val="20"/>
        </w:rPr>
        <w:t>The Applications product category includes our collaboration offerings (unified communications, Cisco TelePresence and conferencing) as well as the Internet of Things (IoT) and AppDynamics analytics software offerings. Re</w:t>
      </w:r>
      <w:r>
        <w:rPr>
          <w:rFonts w:ascii="Times New Roman" w:eastAsia="宋体" w:hAnsi="Times New Roman"/>
          <w:color w:val="000000"/>
          <w:sz w:val="20"/>
          <w:szCs w:val="20"/>
        </w:rPr>
        <w:t xml:space="preserve">venue in our Applications product category increased by 5%, or $63 million, driven by double digit growth in Webex, growth in Unified Communications, IoT software offerings and AppDynamics, partially offset by declines in Cisco TelePresence. </w:t>
      </w:r>
    </w:p>
    <w:p w14:paraId="7B670CFB" w14:textId="77777777" w:rsidR="0040300B" w:rsidRDefault="00BB2D44">
      <w:pPr>
        <w:spacing w:before="120"/>
        <w:jc w:val="both"/>
      </w:pPr>
      <w:r>
        <w:rPr>
          <w:rFonts w:ascii="Times New Roman" w:eastAsia="宋体" w:hAnsi="Times New Roman"/>
          <w:i/>
          <w:iCs/>
          <w:color w:val="000000"/>
          <w:sz w:val="20"/>
          <w:szCs w:val="20"/>
          <w:u w:val="single"/>
        </w:rPr>
        <w:t>Nine Months E</w:t>
      </w:r>
      <w:r>
        <w:rPr>
          <w:rFonts w:ascii="Times New Roman" w:eastAsia="宋体" w:hAnsi="Times New Roman"/>
          <w:i/>
          <w:iCs/>
          <w:color w:val="000000"/>
          <w:sz w:val="20"/>
          <w:szCs w:val="20"/>
          <w:u w:val="single"/>
        </w:rPr>
        <w:t>nded May 1, 2021 Compared with Nine Months Ended April 25, 2020</w:t>
      </w:r>
    </w:p>
    <w:p w14:paraId="7B670CFC" w14:textId="77777777" w:rsidR="0040300B" w:rsidRDefault="00BB2D44">
      <w:pPr>
        <w:spacing w:before="120"/>
        <w:jc w:val="both"/>
      </w:pPr>
      <w:r>
        <w:rPr>
          <w:rFonts w:ascii="Times New Roman" w:eastAsia="宋体" w:hAnsi="Times New Roman"/>
          <w:color w:val="000000"/>
          <w:sz w:val="20"/>
          <w:szCs w:val="20"/>
        </w:rPr>
        <w:t>Revenue in our Applications product category decreased by 1%, or $51 million, with declines in Unified Communications and Cisco Telepresence partially offset by double digit growth in Webex an</w:t>
      </w:r>
      <w:r>
        <w:rPr>
          <w:rFonts w:ascii="Times New Roman" w:eastAsia="宋体" w:hAnsi="Times New Roman"/>
          <w:color w:val="000000"/>
          <w:sz w:val="20"/>
          <w:szCs w:val="20"/>
        </w:rPr>
        <w:t>d IoT software offerings.</w:t>
      </w:r>
    </w:p>
    <w:p w14:paraId="7B670CFD" w14:textId="77777777" w:rsidR="0040300B" w:rsidRDefault="0040300B">
      <w:pPr>
        <w:spacing w:before="120"/>
      </w:pPr>
    </w:p>
    <w:p w14:paraId="7B670CFE" w14:textId="77777777" w:rsidR="0040300B" w:rsidRDefault="00BB2D44">
      <w:pPr>
        <w:jc w:val="center"/>
      </w:pPr>
      <w:r>
        <w:rPr>
          <w:rFonts w:ascii="Times New Roman" w:eastAsia="宋体" w:hAnsi="Times New Roman"/>
          <w:color w:val="000000"/>
          <w:sz w:val="20"/>
          <w:szCs w:val="20"/>
        </w:rPr>
        <w:t>52</w:t>
      </w:r>
    </w:p>
    <w:p w14:paraId="7B670CFF" w14:textId="77777777" w:rsidR="0040300B" w:rsidRDefault="00BB2D44">
      <w:r>
        <w:pict w14:anchorId="7B671C44">
          <v:rect id="_x0000_i1076" style="width:415.3pt;height:1.5pt" o:hralign="center" o:hrstd="t" o:hr="t" fillcolor="#a0a0a0" stroked="f"/>
        </w:pict>
      </w:r>
    </w:p>
    <w:p w14:paraId="7B670D00" w14:textId="77777777" w:rsidR="0040300B" w:rsidRDefault="00BB2D44">
      <w:hyperlink r:id="rId98"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D01" w14:textId="77777777" w:rsidR="0040300B" w:rsidRDefault="00BB2D44">
      <w:pPr>
        <w:jc w:val="center"/>
      </w:pPr>
      <w:r>
        <w:rPr>
          <w:rFonts w:ascii="Times New Roman" w:eastAsia="宋体" w:hAnsi="Times New Roman"/>
          <w:b/>
          <w:bCs/>
          <w:color w:val="000000"/>
          <w:sz w:val="18"/>
          <w:szCs w:val="18"/>
        </w:rPr>
        <w:t>CISCO SYSTEMS, INC.</w:t>
      </w:r>
    </w:p>
    <w:p w14:paraId="7B670D02"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0D03" w14:textId="77777777" w:rsidR="0040300B" w:rsidRDefault="0040300B">
      <w:pPr>
        <w:jc w:val="center"/>
      </w:pPr>
    </w:p>
    <w:p w14:paraId="7B670D04" w14:textId="77777777" w:rsidR="0040300B" w:rsidRDefault="00BB2D44">
      <w:pPr>
        <w:spacing w:before="120"/>
      </w:pPr>
      <w:r>
        <w:rPr>
          <w:rFonts w:ascii="Times New Roman" w:eastAsia="宋体" w:hAnsi="Times New Roman"/>
          <w:color w:val="000000"/>
          <w:sz w:val="20"/>
          <w:szCs w:val="20"/>
          <w:u w:val="single"/>
        </w:rPr>
        <w:t>Security</w:t>
      </w:r>
    </w:p>
    <w:p w14:paraId="7B670D05"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0D06" w14:textId="77777777" w:rsidR="0040300B" w:rsidRDefault="00BB2D44">
      <w:pPr>
        <w:spacing w:before="120"/>
        <w:jc w:val="both"/>
      </w:pPr>
      <w:r>
        <w:rPr>
          <w:rFonts w:ascii="Times New Roman" w:eastAsia="宋体" w:hAnsi="Times New Roman"/>
          <w:color w:val="000000"/>
          <w:sz w:val="20"/>
          <w:szCs w:val="20"/>
        </w:rPr>
        <w:t>Revenue in our Security product category increased 13%, or $98 million, with growth across the portfolio. Our cloud security portfoli</w:t>
      </w:r>
      <w:r>
        <w:rPr>
          <w:rFonts w:ascii="Times New Roman" w:eastAsia="宋体" w:hAnsi="Times New Roman"/>
          <w:color w:val="000000"/>
          <w:sz w:val="20"/>
          <w:szCs w:val="20"/>
        </w:rPr>
        <w:t xml:space="preserve">o reflected strong double-digit growth and continued momentum with our Duo and Umbrella offerings. </w:t>
      </w:r>
    </w:p>
    <w:p w14:paraId="7B670D07"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D08" w14:textId="77777777" w:rsidR="0040300B" w:rsidRDefault="00BB2D44">
      <w:pPr>
        <w:spacing w:before="120"/>
        <w:jc w:val="both"/>
      </w:pPr>
      <w:r>
        <w:rPr>
          <w:rFonts w:ascii="Times New Roman" w:eastAsia="宋体" w:hAnsi="Times New Roman"/>
          <w:color w:val="000000"/>
          <w:sz w:val="20"/>
          <w:szCs w:val="20"/>
        </w:rPr>
        <w:t>Revenue in our Security product category increased by 9%, or $216 million, driv</w:t>
      </w:r>
      <w:r>
        <w:rPr>
          <w:rFonts w:ascii="Times New Roman" w:eastAsia="宋体" w:hAnsi="Times New Roman"/>
          <w:color w:val="000000"/>
          <w:sz w:val="20"/>
          <w:szCs w:val="20"/>
        </w:rPr>
        <w:t>en by growth across the portfolio. This product revenue increase reflects continued momentum with our Duo and Umbrella offerings.</w:t>
      </w:r>
    </w:p>
    <w:p w14:paraId="7B670D09" w14:textId="77777777" w:rsidR="0040300B" w:rsidRDefault="0040300B">
      <w:pPr>
        <w:spacing w:before="120"/>
        <w:jc w:val="both"/>
      </w:pPr>
    </w:p>
    <w:p w14:paraId="7B670D0A" w14:textId="77777777" w:rsidR="0040300B" w:rsidRDefault="00BB2D44">
      <w:r>
        <w:rPr>
          <w:rFonts w:ascii="Times New Roman" w:eastAsia="宋体" w:hAnsi="Times New Roman"/>
          <w:b/>
          <w:bCs/>
          <w:color w:val="000000"/>
          <w:sz w:val="20"/>
          <w:szCs w:val="20"/>
        </w:rPr>
        <w:t>Service Revenue by Segment</w:t>
      </w:r>
    </w:p>
    <w:p w14:paraId="7B670D0B" w14:textId="77777777" w:rsidR="0040300B" w:rsidRDefault="00BB2D44">
      <w:pPr>
        <w:spacing w:before="120"/>
      </w:pPr>
      <w:r>
        <w:rPr>
          <w:rFonts w:ascii="Times New Roman" w:eastAsia="宋体" w:hAnsi="Times New Roman"/>
          <w:color w:val="000000"/>
          <w:sz w:val="20"/>
          <w:szCs w:val="20"/>
        </w:rPr>
        <w:t>The following table presents the breakdown of service revenue by segment (in millions, except perc</w:t>
      </w:r>
      <w:r>
        <w:rPr>
          <w:rFonts w:ascii="Times New Roman" w:eastAsia="宋体" w:hAnsi="Times New Roman"/>
          <w:color w:val="000000"/>
          <w:sz w:val="20"/>
          <w:szCs w:val="20"/>
        </w:rPr>
        <w:t>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918"/>
        <w:gridCol w:w="37"/>
        <w:gridCol w:w="36"/>
        <w:gridCol w:w="35"/>
        <w:gridCol w:w="35"/>
        <w:gridCol w:w="118"/>
        <w:gridCol w:w="487"/>
        <w:gridCol w:w="166"/>
        <w:gridCol w:w="36"/>
        <w:gridCol w:w="36"/>
        <w:gridCol w:w="36"/>
        <w:gridCol w:w="118"/>
        <w:gridCol w:w="487"/>
        <w:gridCol w:w="166"/>
        <w:gridCol w:w="36"/>
        <w:gridCol w:w="36"/>
        <w:gridCol w:w="36"/>
        <w:gridCol w:w="119"/>
        <w:gridCol w:w="588"/>
        <w:gridCol w:w="36"/>
        <w:gridCol w:w="36"/>
        <w:gridCol w:w="36"/>
        <w:gridCol w:w="36"/>
        <w:gridCol w:w="78"/>
        <w:gridCol w:w="588"/>
        <w:gridCol w:w="183"/>
        <w:gridCol w:w="36"/>
        <w:gridCol w:w="36"/>
        <w:gridCol w:w="36"/>
        <w:gridCol w:w="118"/>
        <w:gridCol w:w="584"/>
        <w:gridCol w:w="166"/>
        <w:gridCol w:w="36"/>
        <w:gridCol w:w="36"/>
        <w:gridCol w:w="36"/>
        <w:gridCol w:w="118"/>
        <w:gridCol w:w="584"/>
        <w:gridCol w:w="166"/>
        <w:gridCol w:w="36"/>
        <w:gridCol w:w="36"/>
        <w:gridCol w:w="36"/>
        <w:gridCol w:w="119"/>
        <w:gridCol w:w="588"/>
        <w:gridCol w:w="36"/>
        <w:gridCol w:w="36"/>
        <w:gridCol w:w="36"/>
        <w:gridCol w:w="36"/>
        <w:gridCol w:w="78"/>
        <w:gridCol w:w="588"/>
        <w:gridCol w:w="183"/>
      </w:tblGrid>
      <w:tr w:rsidR="0040300B" w14:paraId="7B670D3F" w14:textId="77777777">
        <w:trPr>
          <w:jc w:val="center"/>
        </w:trPr>
        <w:tc>
          <w:tcPr>
            <w:tcW w:w="50" w:type="pct"/>
            <w:shd w:val="clear" w:color="auto" w:fill="auto"/>
          </w:tcPr>
          <w:p w14:paraId="7B670D0C" w14:textId="77777777" w:rsidR="0040300B" w:rsidRDefault="0040300B">
            <w:pPr>
              <w:rPr>
                <w:rFonts w:ascii="宋体"/>
              </w:rPr>
            </w:pPr>
          </w:p>
        </w:tc>
        <w:tc>
          <w:tcPr>
            <w:tcW w:w="1004" w:type="pct"/>
            <w:shd w:val="clear" w:color="auto" w:fill="auto"/>
          </w:tcPr>
          <w:p w14:paraId="7B670D0D" w14:textId="77777777" w:rsidR="0040300B" w:rsidRDefault="0040300B">
            <w:pPr>
              <w:rPr>
                <w:rFonts w:ascii="宋体"/>
              </w:rPr>
            </w:pPr>
          </w:p>
        </w:tc>
        <w:tc>
          <w:tcPr>
            <w:tcW w:w="5" w:type="pct"/>
            <w:shd w:val="clear" w:color="auto" w:fill="auto"/>
          </w:tcPr>
          <w:p w14:paraId="7B670D0E" w14:textId="77777777" w:rsidR="0040300B" w:rsidRDefault="0040300B">
            <w:pPr>
              <w:rPr>
                <w:rFonts w:ascii="宋体"/>
              </w:rPr>
            </w:pPr>
          </w:p>
        </w:tc>
        <w:tc>
          <w:tcPr>
            <w:tcW w:w="5" w:type="pct"/>
            <w:shd w:val="clear" w:color="auto" w:fill="auto"/>
          </w:tcPr>
          <w:p w14:paraId="7B670D0F" w14:textId="77777777" w:rsidR="0040300B" w:rsidRDefault="0040300B">
            <w:pPr>
              <w:rPr>
                <w:rFonts w:ascii="宋体"/>
              </w:rPr>
            </w:pPr>
          </w:p>
        </w:tc>
        <w:tc>
          <w:tcPr>
            <w:tcW w:w="26" w:type="pct"/>
            <w:shd w:val="clear" w:color="auto" w:fill="auto"/>
          </w:tcPr>
          <w:p w14:paraId="7B670D10" w14:textId="77777777" w:rsidR="0040300B" w:rsidRDefault="0040300B">
            <w:pPr>
              <w:rPr>
                <w:rFonts w:ascii="宋体"/>
              </w:rPr>
            </w:pPr>
          </w:p>
        </w:tc>
        <w:tc>
          <w:tcPr>
            <w:tcW w:w="5" w:type="pct"/>
            <w:shd w:val="clear" w:color="auto" w:fill="auto"/>
          </w:tcPr>
          <w:p w14:paraId="7B670D11" w14:textId="77777777" w:rsidR="0040300B" w:rsidRDefault="0040300B">
            <w:pPr>
              <w:rPr>
                <w:rFonts w:ascii="宋体"/>
              </w:rPr>
            </w:pPr>
          </w:p>
        </w:tc>
        <w:tc>
          <w:tcPr>
            <w:tcW w:w="50" w:type="pct"/>
            <w:shd w:val="clear" w:color="auto" w:fill="auto"/>
          </w:tcPr>
          <w:p w14:paraId="7B670D12" w14:textId="77777777" w:rsidR="0040300B" w:rsidRDefault="0040300B">
            <w:pPr>
              <w:rPr>
                <w:rFonts w:ascii="宋体"/>
              </w:rPr>
            </w:pPr>
          </w:p>
        </w:tc>
        <w:tc>
          <w:tcPr>
            <w:tcW w:w="420" w:type="pct"/>
            <w:shd w:val="clear" w:color="auto" w:fill="auto"/>
          </w:tcPr>
          <w:p w14:paraId="7B670D13" w14:textId="77777777" w:rsidR="0040300B" w:rsidRDefault="0040300B">
            <w:pPr>
              <w:rPr>
                <w:rFonts w:ascii="宋体"/>
              </w:rPr>
            </w:pPr>
          </w:p>
        </w:tc>
        <w:tc>
          <w:tcPr>
            <w:tcW w:w="5" w:type="pct"/>
            <w:shd w:val="clear" w:color="auto" w:fill="auto"/>
          </w:tcPr>
          <w:p w14:paraId="7B670D14" w14:textId="77777777" w:rsidR="0040300B" w:rsidRDefault="0040300B">
            <w:pPr>
              <w:rPr>
                <w:rFonts w:ascii="宋体"/>
              </w:rPr>
            </w:pPr>
          </w:p>
        </w:tc>
        <w:tc>
          <w:tcPr>
            <w:tcW w:w="5" w:type="pct"/>
            <w:shd w:val="clear" w:color="auto" w:fill="auto"/>
          </w:tcPr>
          <w:p w14:paraId="7B670D15" w14:textId="77777777" w:rsidR="0040300B" w:rsidRDefault="0040300B">
            <w:pPr>
              <w:rPr>
                <w:rFonts w:ascii="宋体"/>
              </w:rPr>
            </w:pPr>
          </w:p>
        </w:tc>
        <w:tc>
          <w:tcPr>
            <w:tcW w:w="26" w:type="pct"/>
            <w:shd w:val="clear" w:color="auto" w:fill="auto"/>
          </w:tcPr>
          <w:p w14:paraId="7B670D16" w14:textId="77777777" w:rsidR="0040300B" w:rsidRDefault="0040300B">
            <w:pPr>
              <w:rPr>
                <w:rFonts w:ascii="宋体"/>
              </w:rPr>
            </w:pPr>
          </w:p>
        </w:tc>
        <w:tc>
          <w:tcPr>
            <w:tcW w:w="5" w:type="pct"/>
            <w:shd w:val="clear" w:color="auto" w:fill="auto"/>
          </w:tcPr>
          <w:p w14:paraId="7B670D17" w14:textId="77777777" w:rsidR="0040300B" w:rsidRDefault="0040300B">
            <w:pPr>
              <w:rPr>
                <w:rFonts w:ascii="宋体"/>
              </w:rPr>
            </w:pPr>
          </w:p>
        </w:tc>
        <w:tc>
          <w:tcPr>
            <w:tcW w:w="50" w:type="pct"/>
            <w:shd w:val="clear" w:color="auto" w:fill="auto"/>
          </w:tcPr>
          <w:p w14:paraId="7B670D18" w14:textId="77777777" w:rsidR="0040300B" w:rsidRDefault="0040300B">
            <w:pPr>
              <w:rPr>
                <w:rFonts w:ascii="宋体"/>
              </w:rPr>
            </w:pPr>
          </w:p>
        </w:tc>
        <w:tc>
          <w:tcPr>
            <w:tcW w:w="420" w:type="pct"/>
            <w:shd w:val="clear" w:color="auto" w:fill="auto"/>
          </w:tcPr>
          <w:p w14:paraId="7B670D19" w14:textId="77777777" w:rsidR="0040300B" w:rsidRDefault="0040300B">
            <w:pPr>
              <w:rPr>
                <w:rFonts w:ascii="宋体"/>
              </w:rPr>
            </w:pPr>
          </w:p>
        </w:tc>
        <w:tc>
          <w:tcPr>
            <w:tcW w:w="5" w:type="pct"/>
            <w:shd w:val="clear" w:color="auto" w:fill="auto"/>
          </w:tcPr>
          <w:p w14:paraId="7B670D1A" w14:textId="77777777" w:rsidR="0040300B" w:rsidRDefault="0040300B">
            <w:pPr>
              <w:rPr>
                <w:rFonts w:ascii="宋体"/>
              </w:rPr>
            </w:pPr>
          </w:p>
        </w:tc>
        <w:tc>
          <w:tcPr>
            <w:tcW w:w="5" w:type="pct"/>
            <w:shd w:val="clear" w:color="auto" w:fill="auto"/>
          </w:tcPr>
          <w:p w14:paraId="7B670D1B" w14:textId="77777777" w:rsidR="0040300B" w:rsidRDefault="0040300B">
            <w:pPr>
              <w:rPr>
                <w:rFonts w:ascii="宋体"/>
              </w:rPr>
            </w:pPr>
          </w:p>
        </w:tc>
        <w:tc>
          <w:tcPr>
            <w:tcW w:w="26" w:type="pct"/>
            <w:shd w:val="clear" w:color="auto" w:fill="auto"/>
          </w:tcPr>
          <w:p w14:paraId="7B670D1C" w14:textId="77777777" w:rsidR="0040300B" w:rsidRDefault="0040300B">
            <w:pPr>
              <w:rPr>
                <w:rFonts w:ascii="宋体"/>
              </w:rPr>
            </w:pPr>
          </w:p>
        </w:tc>
        <w:tc>
          <w:tcPr>
            <w:tcW w:w="5" w:type="pct"/>
            <w:shd w:val="clear" w:color="auto" w:fill="auto"/>
          </w:tcPr>
          <w:p w14:paraId="7B670D1D" w14:textId="77777777" w:rsidR="0040300B" w:rsidRDefault="0040300B">
            <w:pPr>
              <w:rPr>
                <w:rFonts w:ascii="宋体"/>
              </w:rPr>
            </w:pPr>
          </w:p>
        </w:tc>
        <w:tc>
          <w:tcPr>
            <w:tcW w:w="50" w:type="pct"/>
            <w:shd w:val="clear" w:color="auto" w:fill="auto"/>
          </w:tcPr>
          <w:p w14:paraId="7B670D1E" w14:textId="77777777" w:rsidR="0040300B" w:rsidRDefault="0040300B">
            <w:pPr>
              <w:rPr>
                <w:rFonts w:ascii="宋体"/>
              </w:rPr>
            </w:pPr>
          </w:p>
        </w:tc>
        <w:tc>
          <w:tcPr>
            <w:tcW w:w="383" w:type="pct"/>
            <w:shd w:val="clear" w:color="auto" w:fill="auto"/>
          </w:tcPr>
          <w:p w14:paraId="7B670D1F" w14:textId="77777777" w:rsidR="0040300B" w:rsidRDefault="0040300B">
            <w:pPr>
              <w:rPr>
                <w:rFonts w:ascii="宋体"/>
              </w:rPr>
            </w:pPr>
          </w:p>
        </w:tc>
        <w:tc>
          <w:tcPr>
            <w:tcW w:w="5" w:type="pct"/>
            <w:shd w:val="clear" w:color="auto" w:fill="auto"/>
          </w:tcPr>
          <w:p w14:paraId="7B670D20" w14:textId="77777777" w:rsidR="0040300B" w:rsidRDefault="0040300B">
            <w:pPr>
              <w:rPr>
                <w:rFonts w:ascii="宋体"/>
              </w:rPr>
            </w:pPr>
          </w:p>
        </w:tc>
        <w:tc>
          <w:tcPr>
            <w:tcW w:w="5" w:type="pct"/>
            <w:shd w:val="clear" w:color="auto" w:fill="auto"/>
          </w:tcPr>
          <w:p w14:paraId="7B670D21" w14:textId="77777777" w:rsidR="0040300B" w:rsidRDefault="0040300B">
            <w:pPr>
              <w:rPr>
                <w:rFonts w:ascii="宋体"/>
              </w:rPr>
            </w:pPr>
          </w:p>
        </w:tc>
        <w:tc>
          <w:tcPr>
            <w:tcW w:w="26" w:type="pct"/>
            <w:shd w:val="clear" w:color="auto" w:fill="auto"/>
          </w:tcPr>
          <w:p w14:paraId="7B670D22" w14:textId="77777777" w:rsidR="0040300B" w:rsidRDefault="0040300B">
            <w:pPr>
              <w:rPr>
                <w:rFonts w:ascii="宋体"/>
              </w:rPr>
            </w:pPr>
          </w:p>
        </w:tc>
        <w:tc>
          <w:tcPr>
            <w:tcW w:w="5" w:type="pct"/>
            <w:shd w:val="clear" w:color="auto" w:fill="auto"/>
          </w:tcPr>
          <w:p w14:paraId="7B670D23" w14:textId="77777777" w:rsidR="0040300B" w:rsidRDefault="0040300B">
            <w:pPr>
              <w:rPr>
                <w:rFonts w:ascii="宋体"/>
              </w:rPr>
            </w:pPr>
          </w:p>
        </w:tc>
        <w:tc>
          <w:tcPr>
            <w:tcW w:w="50" w:type="pct"/>
            <w:shd w:val="clear" w:color="auto" w:fill="auto"/>
          </w:tcPr>
          <w:p w14:paraId="7B670D24" w14:textId="77777777" w:rsidR="0040300B" w:rsidRDefault="0040300B">
            <w:pPr>
              <w:rPr>
                <w:rFonts w:ascii="宋体"/>
              </w:rPr>
            </w:pPr>
          </w:p>
        </w:tc>
        <w:tc>
          <w:tcPr>
            <w:tcW w:w="383" w:type="pct"/>
            <w:shd w:val="clear" w:color="auto" w:fill="auto"/>
          </w:tcPr>
          <w:p w14:paraId="7B670D25" w14:textId="77777777" w:rsidR="0040300B" w:rsidRDefault="0040300B">
            <w:pPr>
              <w:rPr>
                <w:rFonts w:ascii="宋体"/>
              </w:rPr>
            </w:pPr>
          </w:p>
        </w:tc>
        <w:tc>
          <w:tcPr>
            <w:tcW w:w="5" w:type="pct"/>
            <w:shd w:val="clear" w:color="auto" w:fill="auto"/>
          </w:tcPr>
          <w:p w14:paraId="7B670D26" w14:textId="77777777" w:rsidR="0040300B" w:rsidRDefault="0040300B">
            <w:pPr>
              <w:rPr>
                <w:rFonts w:ascii="宋体"/>
              </w:rPr>
            </w:pPr>
          </w:p>
        </w:tc>
        <w:tc>
          <w:tcPr>
            <w:tcW w:w="5" w:type="pct"/>
            <w:shd w:val="clear" w:color="auto" w:fill="auto"/>
          </w:tcPr>
          <w:p w14:paraId="7B670D27" w14:textId="77777777" w:rsidR="0040300B" w:rsidRDefault="0040300B">
            <w:pPr>
              <w:rPr>
                <w:rFonts w:ascii="宋体"/>
              </w:rPr>
            </w:pPr>
          </w:p>
        </w:tc>
        <w:tc>
          <w:tcPr>
            <w:tcW w:w="26" w:type="pct"/>
            <w:shd w:val="clear" w:color="auto" w:fill="auto"/>
          </w:tcPr>
          <w:p w14:paraId="7B670D28" w14:textId="77777777" w:rsidR="0040300B" w:rsidRDefault="0040300B">
            <w:pPr>
              <w:rPr>
                <w:rFonts w:ascii="宋体"/>
              </w:rPr>
            </w:pPr>
          </w:p>
        </w:tc>
        <w:tc>
          <w:tcPr>
            <w:tcW w:w="5" w:type="pct"/>
            <w:shd w:val="clear" w:color="auto" w:fill="auto"/>
          </w:tcPr>
          <w:p w14:paraId="7B670D29" w14:textId="77777777" w:rsidR="0040300B" w:rsidRDefault="0040300B">
            <w:pPr>
              <w:rPr>
                <w:rFonts w:ascii="宋体"/>
              </w:rPr>
            </w:pPr>
          </w:p>
        </w:tc>
        <w:tc>
          <w:tcPr>
            <w:tcW w:w="50" w:type="pct"/>
            <w:shd w:val="clear" w:color="auto" w:fill="auto"/>
          </w:tcPr>
          <w:p w14:paraId="7B670D2A" w14:textId="77777777" w:rsidR="0040300B" w:rsidRDefault="0040300B">
            <w:pPr>
              <w:rPr>
                <w:rFonts w:ascii="宋体"/>
              </w:rPr>
            </w:pPr>
          </w:p>
        </w:tc>
        <w:tc>
          <w:tcPr>
            <w:tcW w:w="420" w:type="pct"/>
            <w:shd w:val="clear" w:color="auto" w:fill="auto"/>
          </w:tcPr>
          <w:p w14:paraId="7B670D2B" w14:textId="77777777" w:rsidR="0040300B" w:rsidRDefault="0040300B">
            <w:pPr>
              <w:rPr>
                <w:rFonts w:ascii="宋体"/>
              </w:rPr>
            </w:pPr>
          </w:p>
        </w:tc>
        <w:tc>
          <w:tcPr>
            <w:tcW w:w="5" w:type="pct"/>
            <w:shd w:val="clear" w:color="auto" w:fill="auto"/>
          </w:tcPr>
          <w:p w14:paraId="7B670D2C" w14:textId="77777777" w:rsidR="0040300B" w:rsidRDefault="0040300B">
            <w:pPr>
              <w:rPr>
                <w:rFonts w:ascii="宋体"/>
              </w:rPr>
            </w:pPr>
          </w:p>
        </w:tc>
        <w:tc>
          <w:tcPr>
            <w:tcW w:w="5" w:type="pct"/>
            <w:shd w:val="clear" w:color="auto" w:fill="auto"/>
          </w:tcPr>
          <w:p w14:paraId="7B670D2D" w14:textId="77777777" w:rsidR="0040300B" w:rsidRDefault="0040300B">
            <w:pPr>
              <w:rPr>
                <w:rFonts w:ascii="宋体"/>
              </w:rPr>
            </w:pPr>
          </w:p>
        </w:tc>
        <w:tc>
          <w:tcPr>
            <w:tcW w:w="26" w:type="pct"/>
            <w:shd w:val="clear" w:color="auto" w:fill="auto"/>
          </w:tcPr>
          <w:p w14:paraId="7B670D2E" w14:textId="77777777" w:rsidR="0040300B" w:rsidRDefault="0040300B">
            <w:pPr>
              <w:rPr>
                <w:rFonts w:ascii="宋体"/>
              </w:rPr>
            </w:pPr>
          </w:p>
        </w:tc>
        <w:tc>
          <w:tcPr>
            <w:tcW w:w="5" w:type="pct"/>
            <w:shd w:val="clear" w:color="auto" w:fill="auto"/>
          </w:tcPr>
          <w:p w14:paraId="7B670D2F" w14:textId="77777777" w:rsidR="0040300B" w:rsidRDefault="0040300B">
            <w:pPr>
              <w:rPr>
                <w:rFonts w:ascii="宋体"/>
              </w:rPr>
            </w:pPr>
          </w:p>
        </w:tc>
        <w:tc>
          <w:tcPr>
            <w:tcW w:w="50" w:type="pct"/>
            <w:shd w:val="clear" w:color="auto" w:fill="auto"/>
          </w:tcPr>
          <w:p w14:paraId="7B670D30" w14:textId="77777777" w:rsidR="0040300B" w:rsidRDefault="0040300B">
            <w:pPr>
              <w:rPr>
                <w:rFonts w:ascii="宋体"/>
              </w:rPr>
            </w:pPr>
          </w:p>
        </w:tc>
        <w:tc>
          <w:tcPr>
            <w:tcW w:w="420" w:type="pct"/>
            <w:shd w:val="clear" w:color="auto" w:fill="auto"/>
          </w:tcPr>
          <w:p w14:paraId="7B670D31" w14:textId="77777777" w:rsidR="0040300B" w:rsidRDefault="0040300B">
            <w:pPr>
              <w:rPr>
                <w:rFonts w:ascii="宋体"/>
              </w:rPr>
            </w:pPr>
          </w:p>
        </w:tc>
        <w:tc>
          <w:tcPr>
            <w:tcW w:w="5" w:type="pct"/>
            <w:shd w:val="clear" w:color="auto" w:fill="auto"/>
          </w:tcPr>
          <w:p w14:paraId="7B670D32" w14:textId="77777777" w:rsidR="0040300B" w:rsidRDefault="0040300B">
            <w:pPr>
              <w:rPr>
                <w:rFonts w:ascii="宋体"/>
              </w:rPr>
            </w:pPr>
          </w:p>
        </w:tc>
        <w:tc>
          <w:tcPr>
            <w:tcW w:w="5" w:type="pct"/>
            <w:shd w:val="clear" w:color="auto" w:fill="auto"/>
          </w:tcPr>
          <w:p w14:paraId="7B670D33" w14:textId="77777777" w:rsidR="0040300B" w:rsidRDefault="0040300B">
            <w:pPr>
              <w:rPr>
                <w:rFonts w:ascii="宋体"/>
              </w:rPr>
            </w:pPr>
          </w:p>
        </w:tc>
        <w:tc>
          <w:tcPr>
            <w:tcW w:w="26" w:type="pct"/>
            <w:shd w:val="clear" w:color="auto" w:fill="auto"/>
          </w:tcPr>
          <w:p w14:paraId="7B670D34" w14:textId="77777777" w:rsidR="0040300B" w:rsidRDefault="0040300B">
            <w:pPr>
              <w:rPr>
                <w:rFonts w:ascii="宋体"/>
              </w:rPr>
            </w:pPr>
          </w:p>
        </w:tc>
        <w:tc>
          <w:tcPr>
            <w:tcW w:w="5" w:type="pct"/>
            <w:shd w:val="clear" w:color="auto" w:fill="auto"/>
          </w:tcPr>
          <w:p w14:paraId="7B670D35" w14:textId="77777777" w:rsidR="0040300B" w:rsidRDefault="0040300B">
            <w:pPr>
              <w:rPr>
                <w:rFonts w:ascii="宋体"/>
              </w:rPr>
            </w:pPr>
          </w:p>
        </w:tc>
        <w:tc>
          <w:tcPr>
            <w:tcW w:w="50" w:type="pct"/>
            <w:shd w:val="clear" w:color="auto" w:fill="auto"/>
          </w:tcPr>
          <w:p w14:paraId="7B670D36" w14:textId="77777777" w:rsidR="0040300B" w:rsidRDefault="0040300B">
            <w:pPr>
              <w:rPr>
                <w:rFonts w:ascii="宋体"/>
              </w:rPr>
            </w:pPr>
          </w:p>
        </w:tc>
        <w:tc>
          <w:tcPr>
            <w:tcW w:w="383" w:type="pct"/>
            <w:shd w:val="clear" w:color="auto" w:fill="auto"/>
          </w:tcPr>
          <w:p w14:paraId="7B670D37" w14:textId="77777777" w:rsidR="0040300B" w:rsidRDefault="0040300B">
            <w:pPr>
              <w:rPr>
                <w:rFonts w:ascii="宋体"/>
              </w:rPr>
            </w:pPr>
          </w:p>
        </w:tc>
        <w:tc>
          <w:tcPr>
            <w:tcW w:w="5" w:type="pct"/>
            <w:shd w:val="clear" w:color="auto" w:fill="auto"/>
          </w:tcPr>
          <w:p w14:paraId="7B670D38" w14:textId="77777777" w:rsidR="0040300B" w:rsidRDefault="0040300B">
            <w:pPr>
              <w:rPr>
                <w:rFonts w:ascii="宋体"/>
              </w:rPr>
            </w:pPr>
          </w:p>
        </w:tc>
        <w:tc>
          <w:tcPr>
            <w:tcW w:w="5" w:type="pct"/>
            <w:shd w:val="clear" w:color="auto" w:fill="auto"/>
          </w:tcPr>
          <w:p w14:paraId="7B670D39" w14:textId="77777777" w:rsidR="0040300B" w:rsidRDefault="0040300B">
            <w:pPr>
              <w:rPr>
                <w:rFonts w:ascii="宋体"/>
              </w:rPr>
            </w:pPr>
          </w:p>
        </w:tc>
        <w:tc>
          <w:tcPr>
            <w:tcW w:w="19" w:type="pct"/>
            <w:shd w:val="clear" w:color="auto" w:fill="auto"/>
          </w:tcPr>
          <w:p w14:paraId="7B670D3A" w14:textId="77777777" w:rsidR="0040300B" w:rsidRDefault="0040300B">
            <w:pPr>
              <w:rPr>
                <w:rFonts w:ascii="宋体"/>
              </w:rPr>
            </w:pPr>
          </w:p>
        </w:tc>
        <w:tc>
          <w:tcPr>
            <w:tcW w:w="5" w:type="pct"/>
            <w:shd w:val="clear" w:color="auto" w:fill="auto"/>
          </w:tcPr>
          <w:p w14:paraId="7B670D3B" w14:textId="77777777" w:rsidR="0040300B" w:rsidRDefault="0040300B">
            <w:pPr>
              <w:rPr>
                <w:rFonts w:ascii="宋体"/>
              </w:rPr>
            </w:pPr>
          </w:p>
        </w:tc>
        <w:tc>
          <w:tcPr>
            <w:tcW w:w="50" w:type="pct"/>
            <w:shd w:val="clear" w:color="auto" w:fill="auto"/>
          </w:tcPr>
          <w:p w14:paraId="7B670D3C" w14:textId="77777777" w:rsidR="0040300B" w:rsidRDefault="0040300B">
            <w:pPr>
              <w:rPr>
                <w:rFonts w:ascii="宋体"/>
              </w:rPr>
            </w:pPr>
          </w:p>
        </w:tc>
        <w:tc>
          <w:tcPr>
            <w:tcW w:w="384" w:type="pct"/>
            <w:shd w:val="clear" w:color="auto" w:fill="auto"/>
          </w:tcPr>
          <w:p w14:paraId="7B670D3D" w14:textId="77777777" w:rsidR="0040300B" w:rsidRDefault="0040300B">
            <w:pPr>
              <w:rPr>
                <w:rFonts w:ascii="宋体"/>
              </w:rPr>
            </w:pPr>
          </w:p>
        </w:tc>
        <w:tc>
          <w:tcPr>
            <w:tcW w:w="5" w:type="pct"/>
            <w:shd w:val="clear" w:color="auto" w:fill="auto"/>
          </w:tcPr>
          <w:p w14:paraId="7B670D3E" w14:textId="77777777" w:rsidR="0040300B" w:rsidRDefault="0040300B">
            <w:pPr>
              <w:rPr>
                <w:rFonts w:ascii="宋体"/>
              </w:rPr>
            </w:pPr>
          </w:p>
        </w:tc>
      </w:tr>
      <w:tr w:rsidR="0040300B" w14:paraId="7B670D45" w14:textId="77777777">
        <w:trPr>
          <w:jc w:val="center"/>
        </w:trPr>
        <w:tc>
          <w:tcPr>
            <w:tcW w:w="0" w:type="auto"/>
            <w:gridSpan w:val="3"/>
            <w:shd w:val="clear" w:color="auto" w:fill="auto"/>
            <w:tcMar>
              <w:top w:w="0" w:type="dxa"/>
              <w:left w:w="20" w:type="dxa"/>
              <w:bottom w:w="0" w:type="dxa"/>
              <w:right w:w="20" w:type="dxa"/>
            </w:tcMar>
          </w:tcPr>
          <w:p w14:paraId="7B670D4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D41"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D4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D43"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0D4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D57" w14:textId="77777777">
        <w:trPr>
          <w:jc w:val="center"/>
        </w:trPr>
        <w:tc>
          <w:tcPr>
            <w:tcW w:w="0" w:type="auto"/>
            <w:gridSpan w:val="3"/>
            <w:shd w:val="clear" w:color="auto" w:fill="auto"/>
            <w:tcMar>
              <w:top w:w="0" w:type="dxa"/>
              <w:left w:w="20" w:type="dxa"/>
              <w:bottom w:w="0" w:type="dxa"/>
              <w:right w:w="20" w:type="dxa"/>
            </w:tcMar>
          </w:tcPr>
          <w:p w14:paraId="7B670D4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D4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4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D4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4A"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D4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4C"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D4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4E"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0D4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5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D5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52"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0D5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54"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0D5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D56"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0D69" w14:textId="77777777">
        <w:trPr>
          <w:jc w:val="center"/>
        </w:trPr>
        <w:tc>
          <w:tcPr>
            <w:tcW w:w="0" w:type="auto"/>
            <w:gridSpan w:val="3"/>
            <w:shd w:val="clear" w:color="auto" w:fill="CCEEFF"/>
            <w:tcMar>
              <w:top w:w="40" w:type="dxa"/>
              <w:left w:w="20" w:type="dxa"/>
              <w:bottom w:w="40" w:type="dxa"/>
              <w:right w:w="20" w:type="dxa"/>
            </w:tcMar>
            <w:vAlign w:val="bottom"/>
          </w:tcPr>
          <w:p w14:paraId="7B670D58" w14:textId="77777777" w:rsidR="0040300B" w:rsidRDefault="00BB2D44">
            <w:pPr>
              <w:textAlignment w:val="bottom"/>
            </w:pPr>
            <w:r>
              <w:rPr>
                <w:rFonts w:ascii="Times New Roman" w:eastAsia="宋体" w:hAnsi="Times New Roman"/>
                <w:color w:val="000000"/>
                <w:sz w:val="20"/>
                <w:szCs w:val="20"/>
              </w:rPr>
              <w:t>Service revenue:</w:t>
            </w:r>
          </w:p>
        </w:tc>
        <w:tc>
          <w:tcPr>
            <w:tcW w:w="0" w:type="auto"/>
            <w:gridSpan w:val="3"/>
            <w:shd w:val="clear" w:color="auto" w:fill="CCEEFF"/>
            <w:tcMar>
              <w:top w:w="0" w:type="dxa"/>
              <w:left w:w="20" w:type="dxa"/>
              <w:bottom w:w="0" w:type="dxa"/>
              <w:right w:w="20" w:type="dxa"/>
            </w:tcMar>
          </w:tcPr>
          <w:p w14:paraId="7B670D5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5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5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5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5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5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5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6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6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6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6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6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6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6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6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D68" w14:textId="77777777" w:rsidR="0040300B" w:rsidRDefault="0040300B">
            <w:pPr>
              <w:rPr>
                <w:rFonts w:ascii="宋体"/>
              </w:rPr>
            </w:pPr>
          </w:p>
        </w:tc>
      </w:tr>
      <w:tr w:rsidR="0040300B" w14:paraId="7B670D89" w14:textId="77777777">
        <w:trPr>
          <w:jc w:val="center"/>
        </w:trPr>
        <w:tc>
          <w:tcPr>
            <w:tcW w:w="0" w:type="auto"/>
            <w:gridSpan w:val="3"/>
            <w:shd w:val="clear" w:color="auto" w:fill="FFFFFF"/>
            <w:tcMar>
              <w:top w:w="40" w:type="dxa"/>
              <w:left w:w="155" w:type="dxa"/>
              <w:bottom w:w="40" w:type="dxa"/>
              <w:right w:w="20" w:type="dxa"/>
            </w:tcMar>
            <w:vAlign w:val="bottom"/>
          </w:tcPr>
          <w:p w14:paraId="7B670D6A" w14:textId="77777777" w:rsidR="0040300B" w:rsidRDefault="00BB2D44">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7B670D6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6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6D" w14:textId="77777777" w:rsidR="0040300B" w:rsidRDefault="00BB2D44">
            <w:pPr>
              <w:jc w:val="right"/>
              <w:textAlignment w:val="bottom"/>
            </w:pPr>
            <w:r>
              <w:rPr>
                <w:rFonts w:ascii="Times New Roman" w:eastAsia="宋体" w:hAnsi="Times New Roman"/>
                <w:color w:val="000000"/>
                <w:sz w:val="20"/>
                <w:szCs w:val="20"/>
              </w:rPr>
              <w:t>2,248 </w:t>
            </w:r>
          </w:p>
        </w:tc>
        <w:tc>
          <w:tcPr>
            <w:tcW w:w="0" w:type="auto"/>
            <w:shd w:val="clear" w:color="auto" w:fill="FFFFFF"/>
            <w:tcMar>
              <w:top w:w="40" w:type="dxa"/>
              <w:left w:w="0" w:type="dxa"/>
              <w:bottom w:w="40" w:type="dxa"/>
              <w:right w:w="20" w:type="dxa"/>
            </w:tcMar>
            <w:vAlign w:val="bottom"/>
          </w:tcPr>
          <w:p w14:paraId="7B670D6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6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7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71" w14:textId="77777777" w:rsidR="0040300B" w:rsidRDefault="00BB2D44">
            <w:pPr>
              <w:jc w:val="right"/>
              <w:textAlignment w:val="bottom"/>
            </w:pPr>
            <w:r>
              <w:rPr>
                <w:rFonts w:ascii="Times New Roman" w:eastAsia="宋体" w:hAnsi="Times New Roman"/>
                <w:color w:val="000000"/>
                <w:sz w:val="20"/>
                <w:szCs w:val="20"/>
              </w:rPr>
              <w:t>2,088 </w:t>
            </w:r>
          </w:p>
        </w:tc>
        <w:tc>
          <w:tcPr>
            <w:tcW w:w="0" w:type="auto"/>
            <w:shd w:val="clear" w:color="auto" w:fill="FFFFFF"/>
            <w:tcMar>
              <w:top w:w="40" w:type="dxa"/>
              <w:left w:w="0" w:type="dxa"/>
              <w:bottom w:w="40" w:type="dxa"/>
              <w:right w:w="20" w:type="dxa"/>
            </w:tcMar>
            <w:vAlign w:val="bottom"/>
          </w:tcPr>
          <w:p w14:paraId="7B670D7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7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7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75" w14:textId="77777777" w:rsidR="0040300B" w:rsidRDefault="00BB2D44">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7B670D7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7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78"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B670D79"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D7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7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7C" w14:textId="77777777" w:rsidR="0040300B" w:rsidRDefault="00BB2D44">
            <w:pPr>
              <w:jc w:val="right"/>
              <w:textAlignment w:val="bottom"/>
            </w:pPr>
            <w:r>
              <w:rPr>
                <w:rFonts w:ascii="Times New Roman" w:eastAsia="宋体" w:hAnsi="Times New Roman"/>
                <w:color w:val="000000"/>
                <w:sz w:val="20"/>
                <w:szCs w:val="20"/>
              </w:rPr>
              <w:t>6,399 </w:t>
            </w:r>
          </w:p>
        </w:tc>
        <w:tc>
          <w:tcPr>
            <w:tcW w:w="0" w:type="auto"/>
            <w:shd w:val="clear" w:color="auto" w:fill="FFFFFF"/>
            <w:tcMar>
              <w:top w:w="40" w:type="dxa"/>
              <w:left w:w="0" w:type="dxa"/>
              <w:bottom w:w="40" w:type="dxa"/>
              <w:right w:w="20" w:type="dxa"/>
            </w:tcMar>
            <w:vAlign w:val="bottom"/>
          </w:tcPr>
          <w:p w14:paraId="7B670D7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7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7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80" w14:textId="77777777" w:rsidR="0040300B" w:rsidRDefault="00BB2D44">
            <w:pPr>
              <w:jc w:val="right"/>
              <w:textAlignment w:val="bottom"/>
            </w:pPr>
            <w:r>
              <w:rPr>
                <w:rFonts w:ascii="Times New Roman" w:eastAsia="宋体" w:hAnsi="Times New Roman"/>
                <w:color w:val="000000"/>
                <w:sz w:val="20"/>
                <w:szCs w:val="20"/>
              </w:rPr>
              <w:t>6,235 </w:t>
            </w:r>
          </w:p>
        </w:tc>
        <w:tc>
          <w:tcPr>
            <w:tcW w:w="0" w:type="auto"/>
            <w:shd w:val="clear" w:color="auto" w:fill="FFFFFF"/>
            <w:tcMar>
              <w:top w:w="40" w:type="dxa"/>
              <w:left w:w="0" w:type="dxa"/>
              <w:bottom w:w="40" w:type="dxa"/>
              <w:right w:w="20" w:type="dxa"/>
            </w:tcMar>
            <w:vAlign w:val="bottom"/>
          </w:tcPr>
          <w:p w14:paraId="7B670D8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8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D8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D84" w14:textId="77777777" w:rsidR="0040300B" w:rsidRDefault="00BB2D44">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7B670D8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8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87"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70D88"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D9F" w14:textId="77777777">
        <w:trPr>
          <w:jc w:val="center"/>
        </w:trPr>
        <w:tc>
          <w:tcPr>
            <w:tcW w:w="0" w:type="auto"/>
            <w:gridSpan w:val="3"/>
            <w:shd w:val="clear" w:color="auto" w:fill="CCEEFF"/>
            <w:tcMar>
              <w:top w:w="40" w:type="dxa"/>
              <w:left w:w="155" w:type="dxa"/>
              <w:bottom w:w="40" w:type="dxa"/>
              <w:right w:w="20" w:type="dxa"/>
            </w:tcMar>
            <w:vAlign w:val="bottom"/>
          </w:tcPr>
          <w:p w14:paraId="7B670D8A" w14:textId="77777777" w:rsidR="0040300B" w:rsidRDefault="00BB2D4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7B670D8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8C" w14:textId="77777777" w:rsidR="0040300B" w:rsidRDefault="00BB2D44">
            <w:pPr>
              <w:jc w:val="right"/>
              <w:textAlignment w:val="bottom"/>
            </w:pPr>
            <w:r>
              <w:rPr>
                <w:rFonts w:ascii="Times New Roman" w:eastAsia="宋体" w:hAnsi="Times New Roman"/>
                <w:i/>
                <w:iCs/>
                <w:color w:val="000000"/>
                <w:sz w:val="18"/>
                <w:szCs w:val="18"/>
              </w:rPr>
              <w:t>61.4 </w:t>
            </w:r>
          </w:p>
        </w:tc>
        <w:tc>
          <w:tcPr>
            <w:tcW w:w="0" w:type="auto"/>
            <w:shd w:val="clear" w:color="auto" w:fill="CCEEFF"/>
            <w:tcMar>
              <w:top w:w="40" w:type="dxa"/>
              <w:left w:w="0" w:type="dxa"/>
              <w:bottom w:w="40" w:type="dxa"/>
              <w:right w:w="20" w:type="dxa"/>
            </w:tcMar>
            <w:vAlign w:val="bottom"/>
          </w:tcPr>
          <w:p w14:paraId="7B670D8D"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8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8F" w14:textId="77777777" w:rsidR="0040300B" w:rsidRDefault="00BB2D44">
            <w:pPr>
              <w:jc w:val="right"/>
              <w:textAlignment w:val="bottom"/>
            </w:pPr>
            <w:r>
              <w:rPr>
                <w:rFonts w:ascii="Times New Roman" w:eastAsia="宋体" w:hAnsi="Times New Roman"/>
                <w:i/>
                <w:iCs/>
                <w:color w:val="000000"/>
                <w:sz w:val="18"/>
                <w:szCs w:val="18"/>
              </w:rPr>
              <w:t>61.7 </w:t>
            </w:r>
          </w:p>
        </w:tc>
        <w:tc>
          <w:tcPr>
            <w:tcW w:w="0" w:type="auto"/>
            <w:shd w:val="clear" w:color="auto" w:fill="CCEEFF"/>
            <w:tcMar>
              <w:top w:w="40" w:type="dxa"/>
              <w:left w:w="0" w:type="dxa"/>
              <w:bottom w:w="40" w:type="dxa"/>
              <w:right w:w="20" w:type="dxa"/>
            </w:tcMar>
            <w:vAlign w:val="bottom"/>
          </w:tcPr>
          <w:p w14:paraId="7B670D90"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9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96" w14:textId="77777777" w:rsidR="0040300B" w:rsidRDefault="00BB2D44">
            <w:pPr>
              <w:jc w:val="right"/>
              <w:textAlignment w:val="bottom"/>
            </w:pPr>
            <w:r>
              <w:rPr>
                <w:rFonts w:ascii="Times New Roman" w:eastAsia="宋体" w:hAnsi="Times New Roman"/>
                <w:i/>
                <w:iCs/>
                <w:color w:val="000000"/>
                <w:sz w:val="18"/>
                <w:szCs w:val="18"/>
              </w:rPr>
              <w:t>61.6 </w:t>
            </w:r>
          </w:p>
        </w:tc>
        <w:tc>
          <w:tcPr>
            <w:tcW w:w="0" w:type="auto"/>
            <w:shd w:val="clear" w:color="auto" w:fill="CCEEFF"/>
            <w:tcMar>
              <w:top w:w="40" w:type="dxa"/>
              <w:left w:w="0" w:type="dxa"/>
              <w:bottom w:w="40" w:type="dxa"/>
              <w:right w:w="20" w:type="dxa"/>
            </w:tcMar>
            <w:vAlign w:val="bottom"/>
          </w:tcPr>
          <w:p w14:paraId="7B670D97"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9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99" w14:textId="77777777" w:rsidR="0040300B" w:rsidRDefault="00BB2D44">
            <w:pPr>
              <w:jc w:val="right"/>
              <w:textAlignment w:val="bottom"/>
            </w:pPr>
            <w:r>
              <w:rPr>
                <w:rFonts w:ascii="Times New Roman" w:eastAsia="宋体" w:hAnsi="Times New Roman"/>
                <w:i/>
                <w:iCs/>
                <w:color w:val="000000"/>
                <w:sz w:val="18"/>
                <w:szCs w:val="18"/>
              </w:rPr>
              <w:t>62.3 </w:t>
            </w:r>
          </w:p>
        </w:tc>
        <w:tc>
          <w:tcPr>
            <w:tcW w:w="0" w:type="auto"/>
            <w:shd w:val="clear" w:color="auto" w:fill="CCEEFF"/>
            <w:tcMar>
              <w:top w:w="40" w:type="dxa"/>
              <w:left w:w="0" w:type="dxa"/>
              <w:bottom w:w="40" w:type="dxa"/>
              <w:right w:w="20" w:type="dxa"/>
            </w:tcMar>
            <w:vAlign w:val="bottom"/>
          </w:tcPr>
          <w:p w14:paraId="7B670D9A"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9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9E" w14:textId="77777777" w:rsidR="0040300B" w:rsidRDefault="0040300B">
            <w:pPr>
              <w:rPr>
                <w:rFonts w:ascii="宋体"/>
              </w:rPr>
            </w:pPr>
          </w:p>
        </w:tc>
      </w:tr>
      <w:tr w:rsidR="0040300B" w14:paraId="7B670DB9" w14:textId="77777777">
        <w:trPr>
          <w:jc w:val="center"/>
        </w:trPr>
        <w:tc>
          <w:tcPr>
            <w:tcW w:w="0" w:type="auto"/>
            <w:gridSpan w:val="3"/>
            <w:shd w:val="clear" w:color="auto" w:fill="FFFFFF"/>
            <w:tcMar>
              <w:top w:w="40" w:type="dxa"/>
              <w:left w:w="155" w:type="dxa"/>
              <w:bottom w:w="40" w:type="dxa"/>
              <w:right w:w="20" w:type="dxa"/>
            </w:tcMar>
            <w:vAlign w:val="bottom"/>
          </w:tcPr>
          <w:p w14:paraId="7B670DA0" w14:textId="77777777" w:rsidR="0040300B" w:rsidRDefault="00BB2D4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tcPr>
          <w:p w14:paraId="7B670DA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A2" w14:textId="77777777" w:rsidR="0040300B" w:rsidRDefault="00BB2D44">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7B670DA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A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A5" w14:textId="77777777" w:rsidR="0040300B" w:rsidRDefault="00BB2D44">
            <w:pPr>
              <w:jc w:val="right"/>
              <w:textAlignment w:val="bottom"/>
            </w:pPr>
            <w:r>
              <w:rPr>
                <w:rFonts w:ascii="Times New Roman" w:eastAsia="宋体" w:hAnsi="Times New Roman"/>
                <w:color w:val="000000"/>
                <w:sz w:val="20"/>
                <w:szCs w:val="20"/>
              </w:rPr>
              <w:t>779 </w:t>
            </w:r>
          </w:p>
        </w:tc>
        <w:tc>
          <w:tcPr>
            <w:tcW w:w="0" w:type="auto"/>
            <w:shd w:val="clear" w:color="auto" w:fill="FFFFFF"/>
            <w:tcMar>
              <w:top w:w="40" w:type="dxa"/>
              <w:left w:w="0" w:type="dxa"/>
              <w:bottom w:w="40" w:type="dxa"/>
              <w:right w:w="20" w:type="dxa"/>
            </w:tcMar>
            <w:vAlign w:val="bottom"/>
          </w:tcPr>
          <w:p w14:paraId="7B670DA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A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A8" w14:textId="77777777" w:rsidR="0040300B" w:rsidRDefault="00BB2D44">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B670DA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A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AB"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B670DAC"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DA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AE" w14:textId="77777777" w:rsidR="0040300B" w:rsidRDefault="00BB2D44">
            <w:pPr>
              <w:jc w:val="right"/>
              <w:textAlignment w:val="bottom"/>
            </w:pPr>
            <w:r>
              <w:rPr>
                <w:rFonts w:ascii="Times New Roman" w:eastAsia="宋体" w:hAnsi="Times New Roman"/>
                <w:color w:val="000000"/>
                <w:sz w:val="20"/>
                <w:szCs w:val="20"/>
              </w:rPr>
              <w:t>2,359 </w:t>
            </w:r>
          </w:p>
        </w:tc>
        <w:tc>
          <w:tcPr>
            <w:tcW w:w="0" w:type="auto"/>
            <w:shd w:val="clear" w:color="auto" w:fill="FFFFFF"/>
            <w:tcMar>
              <w:top w:w="40" w:type="dxa"/>
              <w:left w:w="0" w:type="dxa"/>
              <w:bottom w:w="40" w:type="dxa"/>
              <w:right w:w="20" w:type="dxa"/>
            </w:tcMar>
            <w:vAlign w:val="bottom"/>
          </w:tcPr>
          <w:p w14:paraId="7B670DA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B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B1" w14:textId="77777777" w:rsidR="0040300B" w:rsidRDefault="00BB2D44">
            <w:pPr>
              <w:jc w:val="right"/>
              <w:textAlignment w:val="bottom"/>
            </w:pPr>
            <w:r>
              <w:rPr>
                <w:rFonts w:ascii="Times New Roman" w:eastAsia="宋体" w:hAnsi="Times New Roman"/>
                <w:color w:val="000000"/>
                <w:sz w:val="20"/>
                <w:szCs w:val="20"/>
              </w:rPr>
              <w:t>2,245 </w:t>
            </w:r>
          </w:p>
        </w:tc>
        <w:tc>
          <w:tcPr>
            <w:tcW w:w="0" w:type="auto"/>
            <w:shd w:val="clear" w:color="auto" w:fill="FFFFFF"/>
            <w:tcMar>
              <w:top w:w="40" w:type="dxa"/>
              <w:left w:w="0" w:type="dxa"/>
              <w:bottom w:w="40" w:type="dxa"/>
              <w:right w:w="20" w:type="dxa"/>
            </w:tcMar>
            <w:vAlign w:val="bottom"/>
          </w:tcPr>
          <w:p w14:paraId="7B670DB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B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B4" w14:textId="77777777" w:rsidR="0040300B" w:rsidRDefault="00BB2D44">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7B670DB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B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B7" w14:textId="77777777" w:rsidR="0040300B" w:rsidRDefault="00BB2D4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B670DB8"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DCF" w14:textId="77777777">
        <w:trPr>
          <w:jc w:val="center"/>
        </w:trPr>
        <w:tc>
          <w:tcPr>
            <w:tcW w:w="0" w:type="auto"/>
            <w:gridSpan w:val="3"/>
            <w:shd w:val="clear" w:color="auto" w:fill="CCEEFF"/>
            <w:tcMar>
              <w:top w:w="40" w:type="dxa"/>
              <w:left w:w="155" w:type="dxa"/>
              <w:bottom w:w="40" w:type="dxa"/>
              <w:right w:w="20" w:type="dxa"/>
            </w:tcMar>
            <w:vAlign w:val="bottom"/>
          </w:tcPr>
          <w:p w14:paraId="7B670DBA" w14:textId="77777777" w:rsidR="0040300B" w:rsidRDefault="00BB2D4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7B670DB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BC" w14:textId="77777777" w:rsidR="0040300B" w:rsidRDefault="00BB2D44">
            <w:pPr>
              <w:jc w:val="right"/>
              <w:textAlignment w:val="bottom"/>
            </w:pPr>
            <w:r>
              <w:rPr>
                <w:rFonts w:ascii="Times New Roman" w:eastAsia="宋体" w:hAnsi="Times New Roman"/>
                <w:i/>
                <w:iCs/>
                <w:color w:val="000000"/>
                <w:sz w:val="18"/>
                <w:szCs w:val="18"/>
              </w:rPr>
              <w:t>22.8 </w:t>
            </w:r>
          </w:p>
        </w:tc>
        <w:tc>
          <w:tcPr>
            <w:tcW w:w="0" w:type="auto"/>
            <w:shd w:val="clear" w:color="auto" w:fill="CCEEFF"/>
            <w:tcMar>
              <w:top w:w="40" w:type="dxa"/>
              <w:left w:w="0" w:type="dxa"/>
              <w:bottom w:w="40" w:type="dxa"/>
              <w:right w:w="20" w:type="dxa"/>
            </w:tcMar>
            <w:vAlign w:val="bottom"/>
          </w:tcPr>
          <w:p w14:paraId="7B670DBD"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B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BF" w14:textId="77777777" w:rsidR="0040300B" w:rsidRDefault="00BB2D44">
            <w:pPr>
              <w:jc w:val="right"/>
              <w:textAlignment w:val="bottom"/>
            </w:pPr>
            <w:r>
              <w:rPr>
                <w:rFonts w:ascii="Times New Roman" w:eastAsia="宋体" w:hAnsi="Times New Roman"/>
                <w:i/>
                <w:iCs/>
                <w:color w:val="000000"/>
                <w:sz w:val="18"/>
                <w:szCs w:val="18"/>
              </w:rPr>
              <w:t>23.0 </w:t>
            </w:r>
          </w:p>
        </w:tc>
        <w:tc>
          <w:tcPr>
            <w:tcW w:w="0" w:type="auto"/>
            <w:shd w:val="clear" w:color="auto" w:fill="CCEEFF"/>
            <w:tcMar>
              <w:top w:w="40" w:type="dxa"/>
              <w:left w:w="0" w:type="dxa"/>
              <w:bottom w:w="40" w:type="dxa"/>
              <w:right w:w="20" w:type="dxa"/>
            </w:tcMar>
            <w:vAlign w:val="bottom"/>
          </w:tcPr>
          <w:p w14:paraId="7B670DC0"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C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C6" w14:textId="77777777" w:rsidR="0040300B" w:rsidRDefault="00BB2D44">
            <w:pPr>
              <w:jc w:val="right"/>
              <w:textAlignment w:val="bottom"/>
            </w:pPr>
            <w:r>
              <w:rPr>
                <w:rFonts w:ascii="Times New Roman" w:eastAsia="宋体" w:hAnsi="Times New Roman"/>
                <w:i/>
                <w:iCs/>
                <w:color w:val="000000"/>
                <w:sz w:val="18"/>
                <w:szCs w:val="18"/>
              </w:rPr>
              <w:t>22.7 </w:t>
            </w:r>
          </w:p>
        </w:tc>
        <w:tc>
          <w:tcPr>
            <w:tcW w:w="0" w:type="auto"/>
            <w:shd w:val="clear" w:color="auto" w:fill="CCEEFF"/>
            <w:tcMar>
              <w:top w:w="40" w:type="dxa"/>
              <w:left w:w="0" w:type="dxa"/>
              <w:bottom w:w="40" w:type="dxa"/>
              <w:right w:w="20" w:type="dxa"/>
            </w:tcMar>
            <w:vAlign w:val="bottom"/>
          </w:tcPr>
          <w:p w14:paraId="7B670DC7"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C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C9" w14:textId="77777777" w:rsidR="0040300B" w:rsidRDefault="00BB2D44">
            <w:pPr>
              <w:jc w:val="right"/>
              <w:textAlignment w:val="bottom"/>
            </w:pPr>
            <w:r>
              <w:rPr>
                <w:rFonts w:ascii="Times New Roman" w:eastAsia="宋体" w:hAnsi="Times New Roman"/>
                <w:i/>
                <w:iCs/>
                <w:color w:val="000000"/>
                <w:sz w:val="18"/>
                <w:szCs w:val="18"/>
              </w:rPr>
              <w:t>22.4 </w:t>
            </w:r>
          </w:p>
        </w:tc>
        <w:tc>
          <w:tcPr>
            <w:tcW w:w="0" w:type="auto"/>
            <w:shd w:val="clear" w:color="auto" w:fill="CCEEFF"/>
            <w:tcMar>
              <w:top w:w="40" w:type="dxa"/>
              <w:left w:w="0" w:type="dxa"/>
              <w:bottom w:w="40" w:type="dxa"/>
              <w:right w:w="20" w:type="dxa"/>
            </w:tcMar>
            <w:vAlign w:val="bottom"/>
          </w:tcPr>
          <w:p w14:paraId="7B670DCA"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C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CE" w14:textId="77777777" w:rsidR="0040300B" w:rsidRDefault="0040300B">
            <w:pPr>
              <w:rPr>
                <w:rFonts w:ascii="宋体"/>
              </w:rPr>
            </w:pPr>
          </w:p>
        </w:tc>
      </w:tr>
      <w:tr w:rsidR="0040300B" w14:paraId="7B670DE9" w14:textId="77777777">
        <w:trPr>
          <w:jc w:val="center"/>
        </w:trPr>
        <w:tc>
          <w:tcPr>
            <w:tcW w:w="0" w:type="auto"/>
            <w:gridSpan w:val="3"/>
            <w:shd w:val="clear" w:color="auto" w:fill="FFFFFF"/>
            <w:tcMar>
              <w:top w:w="40" w:type="dxa"/>
              <w:left w:w="155" w:type="dxa"/>
              <w:bottom w:w="40" w:type="dxa"/>
              <w:right w:w="20" w:type="dxa"/>
            </w:tcMar>
            <w:vAlign w:val="bottom"/>
          </w:tcPr>
          <w:p w14:paraId="7B670DD0" w14:textId="77777777" w:rsidR="0040300B" w:rsidRDefault="00BB2D4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tcPr>
          <w:p w14:paraId="7B670DD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D2" w14:textId="77777777" w:rsidR="0040300B" w:rsidRDefault="00BB2D44">
            <w:pPr>
              <w:jc w:val="right"/>
              <w:textAlignment w:val="bottom"/>
            </w:pPr>
            <w:r>
              <w:rPr>
                <w:rFonts w:ascii="Times New Roman" w:eastAsia="宋体" w:hAnsi="Times New Roman"/>
                <w:color w:val="000000"/>
                <w:sz w:val="20"/>
                <w:szCs w:val="20"/>
              </w:rPr>
              <w:t>579 </w:t>
            </w:r>
          </w:p>
        </w:tc>
        <w:tc>
          <w:tcPr>
            <w:tcW w:w="0" w:type="auto"/>
            <w:shd w:val="clear" w:color="auto" w:fill="FFFFFF"/>
            <w:tcMar>
              <w:top w:w="40" w:type="dxa"/>
              <w:left w:w="0" w:type="dxa"/>
              <w:bottom w:w="40" w:type="dxa"/>
              <w:right w:w="20" w:type="dxa"/>
            </w:tcMar>
            <w:vAlign w:val="bottom"/>
          </w:tcPr>
          <w:p w14:paraId="7B670DD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D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D5" w14:textId="77777777" w:rsidR="0040300B" w:rsidRDefault="00BB2D44">
            <w:pPr>
              <w:jc w:val="right"/>
              <w:textAlignment w:val="bottom"/>
            </w:pPr>
            <w:r>
              <w:rPr>
                <w:rFonts w:ascii="Times New Roman" w:eastAsia="宋体" w:hAnsi="Times New Roman"/>
                <w:color w:val="000000"/>
                <w:sz w:val="20"/>
                <w:szCs w:val="20"/>
              </w:rPr>
              <w:t>520 </w:t>
            </w:r>
          </w:p>
        </w:tc>
        <w:tc>
          <w:tcPr>
            <w:tcW w:w="0" w:type="auto"/>
            <w:shd w:val="clear" w:color="auto" w:fill="FFFFFF"/>
            <w:tcMar>
              <w:top w:w="40" w:type="dxa"/>
              <w:left w:w="0" w:type="dxa"/>
              <w:bottom w:w="40" w:type="dxa"/>
              <w:right w:w="20" w:type="dxa"/>
            </w:tcMar>
            <w:vAlign w:val="bottom"/>
          </w:tcPr>
          <w:p w14:paraId="7B670DD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D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D8" w14:textId="77777777" w:rsidR="0040300B" w:rsidRDefault="00BB2D44">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7B670DD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D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DB" w14:textId="77777777" w:rsidR="0040300B" w:rsidRDefault="00BB2D4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B670DDC"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DD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DE" w14:textId="77777777" w:rsidR="0040300B" w:rsidRDefault="00BB2D44">
            <w:pPr>
              <w:jc w:val="right"/>
              <w:textAlignment w:val="bottom"/>
            </w:pPr>
            <w:r>
              <w:rPr>
                <w:rFonts w:ascii="Times New Roman" w:eastAsia="宋体" w:hAnsi="Times New Roman"/>
                <w:color w:val="000000"/>
                <w:sz w:val="20"/>
                <w:szCs w:val="20"/>
              </w:rPr>
              <w:t>1,636 </w:t>
            </w:r>
          </w:p>
        </w:tc>
        <w:tc>
          <w:tcPr>
            <w:tcW w:w="0" w:type="auto"/>
            <w:shd w:val="clear" w:color="auto" w:fill="FFFFFF"/>
            <w:tcMar>
              <w:top w:w="40" w:type="dxa"/>
              <w:left w:w="0" w:type="dxa"/>
              <w:bottom w:w="40" w:type="dxa"/>
              <w:right w:w="20" w:type="dxa"/>
            </w:tcMar>
            <w:vAlign w:val="bottom"/>
          </w:tcPr>
          <w:p w14:paraId="7B670DD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E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E1" w14:textId="77777777" w:rsidR="0040300B" w:rsidRDefault="00BB2D44">
            <w:pPr>
              <w:jc w:val="right"/>
              <w:textAlignment w:val="bottom"/>
            </w:pPr>
            <w:r>
              <w:rPr>
                <w:rFonts w:ascii="Times New Roman" w:eastAsia="宋体" w:hAnsi="Times New Roman"/>
                <w:color w:val="000000"/>
                <w:sz w:val="20"/>
                <w:szCs w:val="20"/>
              </w:rPr>
              <w:t>1,521 </w:t>
            </w:r>
          </w:p>
        </w:tc>
        <w:tc>
          <w:tcPr>
            <w:tcW w:w="0" w:type="auto"/>
            <w:shd w:val="clear" w:color="auto" w:fill="FFFFFF"/>
            <w:tcMar>
              <w:top w:w="40" w:type="dxa"/>
              <w:left w:w="0" w:type="dxa"/>
              <w:bottom w:w="40" w:type="dxa"/>
              <w:right w:w="20" w:type="dxa"/>
            </w:tcMar>
            <w:vAlign w:val="bottom"/>
          </w:tcPr>
          <w:p w14:paraId="7B670DE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E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E4" w14:textId="77777777" w:rsidR="0040300B" w:rsidRDefault="00BB2D44">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7B670DE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DE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DE7"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B670DE8"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DFF" w14:textId="77777777">
        <w:trPr>
          <w:jc w:val="center"/>
        </w:trPr>
        <w:tc>
          <w:tcPr>
            <w:tcW w:w="0" w:type="auto"/>
            <w:gridSpan w:val="3"/>
            <w:shd w:val="clear" w:color="auto" w:fill="CCEEFF"/>
            <w:tcMar>
              <w:top w:w="40" w:type="dxa"/>
              <w:left w:w="155" w:type="dxa"/>
              <w:bottom w:w="40" w:type="dxa"/>
              <w:right w:w="20" w:type="dxa"/>
            </w:tcMar>
            <w:vAlign w:val="bottom"/>
          </w:tcPr>
          <w:p w14:paraId="7B670DEA" w14:textId="77777777" w:rsidR="0040300B" w:rsidRDefault="00BB2D4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tcPr>
          <w:p w14:paraId="7B670DE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EC" w14:textId="77777777" w:rsidR="0040300B" w:rsidRDefault="00BB2D44">
            <w:pPr>
              <w:jc w:val="right"/>
              <w:textAlignment w:val="bottom"/>
            </w:pPr>
            <w:r>
              <w:rPr>
                <w:rFonts w:ascii="Times New Roman" w:eastAsia="宋体" w:hAnsi="Times New Roman"/>
                <w:i/>
                <w:iCs/>
                <w:color w:val="000000"/>
                <w:sz w:val="18"/>
                <w:szCs w:val="18"/>
              </w:rPr>
              <w:t>15.8 </w:t>
            </w:r>
          </w:p>
        </w:tc>
        <w:tc>
          <w:tcPr>
            <w:tcW w:w="0" w:type="auto"/>
            <w:shd w:val="clear" w:color="auto" w:fill="CCEEFF"/>
            <w:tcMar>
              <w:top w:w="40" w:type="dxa"/>
              <w:left w:w="0" w:type="dxa"/>
              <w:bottom w:w="40" w:type="dxa"/>
              <w:right w:w="20" w:type="dxa"/>
            </w:tcMar>
            <w:vAlign w:val="bottom"/>
          </w:tcPr>
          <w:p w14:paraId="7B670DED"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E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EF" w14:textId="77777777" w:rsidR="0040300B" w:rsidRDefault="00BB2D44">
            <w:pPr>
              <w:jc w:val="right"/>
              <w:textAlignment w:val="bottom"/>
            </w:pPr>
            <w:r>
              <w:rPr>
                <w:rFonts w:ascii="Times New Roman" w:eastAsia="宋体" w:hAnsi="Times New Roman"/>
                <w:i/>
                <w:iCs/>
                <w:color w:val="000000"/>
                <w:sz w:val="18"/>
                <w:szCs w:val="18"/>
              </w:rPr>
              <w:t>15.3 </w:t>
            </w:r>
          </w:p>
        </w:tc>
        <w:tc>
          <w:tcPr>
            <w:tcW w:w="0" w:type="auto"/>
            <w:shd w:val="clear" w:color="auto" w:fill="CCEEFF"/>
            <w:tcMar>
              <w:top w:w="40" w:type="dxa"/>
              <w:left w:w="0" w:type="dxa"/>
              <w:bottom w:w="40" w:type="dxa"/>
              <w:right w:w="20" w:type="dxa"/>
            </w:tcMar>
            <w:vAlign w:val="bottom"/>
          </w:tcPr>
          <w:p w14:paraId="7B670DF0"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F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F6" w14:textId="77777777" w:rsidR="0040300B" w:rsidRDefault="00BB2D44">
            <w:pPr>
              <w:jc w:val="right"/>
              <w:textAlignment w:val="bottom"/>
            </w:pPr>
            <w:r>
              <w:rPr>
                <w:rFonts w:ascii="Times New Roman" w:eastAsia="宋体" w:hAnsi="Times New Roman"/>
                <w:i/>
                <w:iCs/>
                <w:color w:val="000000"/>
                <w:sz w:val="18"/>
                <w:szCs w:val="18"/>
              </w:rPr>
              <w:t>15.7 </w:t>
            </w:r>
          </w:p>
        </w:tc>
        <w:tc>
          <w:tcPr>
            <w:tcW w:w="0" w:type="auto"/>
            <w:shd w:val="clear" w:color="auto" w:fill="CCEEFF"/>
            <w:tcMar>
              <w:top w:w="40" w:type="dxa"/>
              <w:left w:w="0" w:type="dxa"/>
              <w:bottom w:w="40" w:type="dxa"/>
              <w:right w:w="20" w:type="dxa"/>
            </w:tcMar>
            <w:vAlign w:val="bottom"/>
          </w:tcPr>
          <w:p w14:paraId="7B670DF7"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F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DF9" w14:textId="77777777" w:rsidR="0040300B" w:rsidRDefault="00BB2D44">
            <w:pPr>
              <w:jc w:val="right"/>
              <w:textAlignment w:val="bottom"/>
            </w:pPr>
            <w:r>
              <w:rPr>
                <w:rFonts w:ascii="Times New Roman" w:eastAsia="宋体" w:hAnsi="Times New Roman"/>
                <w:i/>
                <w:iCs/>
                <w:color w:val="000000"/>
                <w:sz w:val="18"/>
                <w:szCs w:val="18"/>
              </w:rPr>
              <w:t>15.3 </w:t>
            </w:r>
          </w:p>
        </w:tc>
        <w:tc>
          <w:tcPr>
            <w:tcW w:w="0" w:type="auto"/>
            <w:shd w:val="clear" w:color="auto" w:fill="CCEEFF"/>
            <w:tcMar>
              <w:top w:w="40" w:type="dxa"/>
              <w:left w:w="0" w:type="dxa"/>
              <w:bottom w:w="40" w:type="dxa"/>
              <w:right w:w="20" w:type="dxa"/>
            </w:tcMar>
            <w:vAlign w:val="bottom"/>
          </w:tcPr>
          <w:p w14:paraId="7B670DFA"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tcPr>
          <w:p w14:paraId="7B670DF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DFE" w14:textId="77777777" w:rsidR="0040300B" w:rsidRDefault="0040300B">
            <w:pPr>
              <w:rPr>
                <w:rFonts w:ascii="宋体"/>
              </w:rPr>
            </w:pPr>
          </w:p>
        </w:tc>
      </w:tr>
      <w:tr w:rsidR="0040300B" w14:paraId="7B670E1F" w14:textId="77777777">
        <w:trPr>
          <w:jc w:val="center"/>
        </w:trPr>
        <w:tc>
          <w:tcPr>
            <w:tcW w:w="0" w:type="auto"/>
            <w:gridSpan w:val="3"/>
            <w:shd w:val="clear" w:color="auto" w:fill="FFFFFF"/>
            <w:tcMar>
              <w:top w:w="40" w:type="dxa"/>
              <w:left w:w="380" w:type="dxa"/>
              <w:bottom w:w="40" w:type="dxa"/>
              <w:right w:w="20" w:type="dxa"/>
            </w:tcMar>
            <w:vAlign w:val="bottom"/>
          </w:tcPr>
          <w:p w14:paraId="7B670E00"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0E01"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0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03" w14:textId="77777777" w:rsidR="0040300B" w:rsidRDefault="00BB2D44">
            <w:pPr>
              <w:jc w:val="right"/>
              <w:textAlignment w:val="bottom"/>
            </w:pPr>
            <w:r>
              <w:rPr>
                <w:rFonts w:ascii="Times New Roman" w:eastAsia="宋体" w:hAnsi="Times New Roman"/>
                <w:color w:val="000000"/>
                <w:sz w:val="20"/>
                <w:szCs w:val="20"/>
              </w:rPr>
              <w:t>3,664 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0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05"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0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07" w14:textId="77777777" w:rsidR="0040300B" w:rsidRDefault="00BB2D44">
            <w:pPr>
              <w:jc w:val="right"/>
              <w:textAlignment w:val="bottom"/>
            </w:pPr>
            <w:r>
              <w:rPr>
                <w:rFonts w:ascii="Times New Roman" w:eastAsia="宋体" w:hAnsi="Times New Roman"/>
                <w:color w:val="000000"/>
                <w:sz w:val="20"/>
                <w:szCs w:val="20"/>
              </w:rPr>
              <w:t>3,386 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0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0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0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0B" w14:textId="77777777" w:rsidR="0040300B" w:rsidRDefault="00BB2D44">
            <w:pPr>
              <w:jc w:val="right"/>
              <w:textAlignment w:val="bottom"/>
            </w:pPr>
            <w:r>
              <w:rPr>
                <w:rFonts w:ascii="Times New Roman" w:eastAsia="宋体" w:hAnsi="Times New Roman"/>
                <w:color w:val="000000"/>
                <w:sz w:val="20"/>
                <w:szCs w:val="20"/>
              </w:rPr>
              <w:t>278 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0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0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0E"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7B670E0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10"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1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12" w14:textId="77777777" w:rsidR="0040300B" w:rsidRDefault="00BB2D44">
            <w:pPr>
              <w:jc w:val="right"/>
              <w:textAlignment w:val="bottom"/>
            </w:pPr>
            <w:r>
              <w:rPr>
                <w:rFonts w:ascii="Times New Roman" w:eastAsia="宋体" w:hAnsi="Times New Roman"/>
                <w:color w:val="000000"/>
                <w:sz w:val="20"/>
                <w:szCs w:val="20"/>
              </w:rPr>
              <w:t>10,394 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1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14"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1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16" w14:textId="77777777" w:rsidR="0040300B" w:rsidRDefault="00BB2D44">
            <w:pPr>
              <w:jc w:val="right"/>
              <w:textAlignment w:val="bottom"/>
            </w:pPr>
            <w:r>
              <w:rPr>
                <w:rFonts w:ascii="Times New Roman" w:eastAsia="宋体" w:hAnsi="Times New Roman"/>
                <w:color w:val="000000"/>
                <w:sz w:val="20"/>
                <w:szCs w:val="20"/>
              </w:rPr>
              <w:t>10,001 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1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18"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1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1A" w14:textId="77777777" w:rsidR="0040300B" w:rsidRDefault="00BB2D44">
            <w:pPr>
              <w:jc w:val="right"/>
              <w:textAlignment w:val="bottom"/>
            </w:pPr>
            <w:r>
              <w:rPr>
                <w:rFonts w:ascii="Times New Roman" w:eastAsia="宋体" w:hAnsi="Times New Roman"/>
                <w:color w:val="000000"/>
                <w:sz w:val="20"/>
                <w:szCs w:val="20"/>
              </w:rPr>
              <w:t>393 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1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1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1D"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7B670E1E" w14:textId="77777777" w:rsidR="0040300B" w:rsidRDefault="00BB2D44">
            <w:pPr>
              <w:jc w:val="right"/>
              <w:textAlignment w:val="bottom"/>
            </w:pPr>
            <w:r>
              <w:rPr>
                <w:rFonts w:ascii="Times New Roman" w:eastAsia="宋体" w:hAnsi="Times New Roman"/>
                <w:color w:val="000000"/>
                <w:sz w:val="20"/>
                <w:szCs w:val="20"/>
              </w:rPr>
              <w:t>%</w:t>
            </w:r>
          </w:p>
        </w:tc>
      </w:tr>
    </w:tbl>
    <w:p w14:paraId="7B670E20" w14:textId="77777777" w:rsidR="0040300B" w:rsidRDefault="00BB2D44">
      <w:pPr>
        <w:spacing w:before="120"/>
        <w:jc w:val="both"/>
      </w:pPr>
      <w:r>
        <w:rPr>
          <w:rFonts w:ascii="Times New Roman" w:eastAsia="宋体" w:hAnsi="Times New Roman"/>
          <w:color w:val="000000"/>
          <w:sz w:val="20"/>
          <w:szCs w:val="20"/>
        </w:rPr>
        <w:t xml:space="preserve">Amounts may not </w:t>
      </w:r>
      <w:r>
        <w:rPr>
          <w:rFonts w:ascii="Times New Roman" w:eastAsia="宋体" w:hAnsi="Times New Roman"/>
          <w:color w:val="000000"/>
          <w:sz w:val="20"/>
          <w:szCs w:val="20"/>
        </w:rPr>
        <w:t xml:space="preserve">sum and percentages may not recalculate due to rounding. </w:t>
      </w:r>
    </w:p>
    <w:p w14:paraId="7B670E21" w14:textId="77777777" w:rsidR="0040300B" w:rsidRDefault="00BB2D44">
      <w:pPr>
        <w:spacing w:before="120"/>
        <w:jc w:val="both"/>
      </w:pPr>
      <w:r>
        <w:rPr>
          <w:rFonts w:ascii="Times New Roman" w:eastAsia="宋体" w:hAnsi="Times New Roman"/>
          <w:color w:val="000000"/>
          <w:sz w:val="20"/>
          <w:szCs w:val="20"/>
        </w:rPr>
        <w:t xml:space="preserve">Service revenue increased 8% in the third quarter of fiscal 2021 and increased 4% in the first nine months of fiscal 2021 compared to the corresponding periods of fiscal 2020. The increases in both </w:t>
      </w:r>
      <w:r>
        <w:rPr>
          <w:rFonts w:ascii="Times New Roman" w:eastAsia="宋体" w:hAnsi="Times New Roman"/>
          <w:color w:val="000000"/>
          <w:sz w:val="20"/>
          <w:szCs w:val="20"/>
        </w:rPr>
        <w:t>periods were driven by revenue growth in our maintenance business and solution support offerings. Service revenue increased across all geographic segments. Service revenue benefited from the extra week in the third quarter of fiscal 2021.</w:t>
      </w:r>
    </w:p>
    <w:p w14:paraId="7B670E22" w14:textId="77777777" w:rsidR="0040300B" w:rsidRDefault="00BB2D44">
      <w:pPr>
        <w:jc w:val="center"/>
      </w:pPr>
      <w:r>
        <w:rPr>
          <w:rFonts w:ascii="Times New Roman" w:eastAsia="宋体" w:hAnsi="Times New Roman"/>
          <w:color w:val="000000"/>
          <w:sz w:val="20"/>
          <w:szCs w:val="20"/>
        </w:rPr>
        <w:t>53</w:t>
      </w:r>
    </w:p>
    <w:p w14:paraId="7B670E23" w14:textId="77777777" w:rsidR="0040300B" w:rsidRDefault="00BB2D44">
      <w:r>
        <w:pict w14:anchorId="7B671C45">
          <v:rect id="_x0000_i1077" style="width:415.3pt;height:1.5pt" o:hralign="center" o:hrstd="t" o:hr="t" fillcolor="#a0a0a0" stroked="f"/>
        </w:pict>
      </w:r>
    </w:p>
    <w:p w14:paraId="7B670E24" w14:textId="77777777" w:rsidR="0040300B" w:rsidRDefault="00BB2D44">
      <w:hyperlink r:id="rId99"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E25" w14:textId="77777777" w:rsidR="0040300B" w:rsidRDefault="00BB2D44">
      <w:pPr>
        <w:jc w:val="center"/>
      </w:pPr>
      <w:r>
        <w:rPr>
          <w:rFonts w:ascii="Times New Roman" w:eastAsia="宋体" w:hAnsi="Times New Roman"/>
          <w:b/>
          <w:bCs/>
          <w:color w:val="000000"/>
          <w:sz w:val="18"/>
          <w:szCs w:val="18"/>
        </w:rPr>
        <w:t>CISCO SYSTEMS, INC.</w:t>
      </w:r>
    </w:p>
    <w:p w14:paraId="7B670E26"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RESULTS OF </w:t>
      </w:r>
      <w:r>
        <w:rPr>
          <w:rFonts w:ascii="Times New Roman" w:eastAsia="宋体" w:hAnsi="Times New Roman"/>
          <w:b/>
          <w:bCs/>
          <w:color w:val="000000"/>
          <w:sz w:val="18"/>
          <w:szCs w:val="18"/>
        </w:rPr>
        <w:t>OPERATIONS (Continued)</w:t>
      </w:r>
    </w:p>
    <w:p w14:paraId="7B670E27" w14:textId="77777777" w:rsidR="0040300B" w:rsidRDefault="0040300B">
      <w:pPr>
        <w:jc w:val="center"/>
      </w:pPr>
    </w:p>
    <w:p w14:paraId="7B670E28" w14:textId="77777777" w:rsidR="0040300B" w:rsidRDefault="00BB2D44">
      <w:r>
        <w:rPr>
          <w:rFonts w:ascii="Times New Roman" w:eastAsia="宋体" w:hAnsi="Times New Roman"/>
          <w:b/>
          <w:bCs/>
          <w:color w:val="000000"/>
          <w:sz w:val="20"/>
          <w:szCs w:val="20"/>
        </w:rPr>
        <w:t>Gross Margin</w:t>
      </w:r>
    </w:p>
    <w:p w14:paraId="7B670E29" w14:textId="77777777" w:rsidR="0040300B" w:rsidRDefault="00BB2D44">
      <w:pPr>
        <w:spacing w:before="120"/>
        <w:jc w:val="both"/>
      </w:pPr>
      <w:r>
        <w:rPr>
          <w:rFonts w:ascii="Times New Roman" w:eastAsia="宋体" w:hAnsi="Times New Roman"/>
          <w:color w:val="000000"/>
          <w:sz w:val="20"/>
          <w:szCs w:val="20"/>
        </w:rPr>
        <w:t>The following table presents the gross margin for products and services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62"/>
        <w:gridCol w:w="1393"/>
        <w:gridCol w:w="38"/>
        <w:gridCol w:w="36"/>
        <w:gridCol w:w="36"/>
        <w:gridCol w:w="36"/>
        <w:gridCol w:w="120"/>
        <w:gridCol w:w="549"/>
        <w:gridCol w:w="36"/>
        <w:gridCol w:w="36"/>
        <w:gridCol w:w="36"/>
        <w:gridCol w:w="36"/>
        <w:gridCol w:w="120"/>
        <w:gridCol w:w="550"/>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4"/>
        <w:gridCol w:w="188"/>
        <w:gridCol w:w="36"/>
        <w:gridCol w:w="36"/>
        <w:gridCol w:w="36"/>
        <w:gridCol w:w="62"/>
        <w:gridCol w:w="514"/>
        <w:gridCol w:w="187"/>
      </w:tblGrid>
      <w:tr w:rsidR="0040300B" w14:paraId="7B670E5D" w14:textId="77777777">
        <w:tc>
          <w:tcPr>
            <w:tcW w:w="50" w:type="pct"/>
            <w:shd w:val="clear" w:color="auto" w:fill="auto"/>
          </w:tcPr>
          <w:p w14:paraId="7B670E2A" w14:textId="77777777" w:rsidR="0040300B" w:rsidRDefault="0040300B">
            <w:pPr>
              <w:rPr>
                <w:rFonts w:ascii="宋体"/>
              </w:rPr>
            </w:pPr>
          </w:p>
        </w:tc>
        <w:tc>
          <w:tcPr>
            <w:tcW w:w="909" w:type="pct"/>
            <w:shd w:val="clear" w:color="auto" w:fill="auto"/>
          </w:tcPr>
          <w:p w14:paraId="7B670E2B" w14:textId="77777777" w:rsidR="0040300B" w:rsidRDefault="0040300B">
            <w:pPr>
              <w:rPr>
                <w:rFonts w:ascii="宋体"/>
              </w:rPr>
            </w:pPr>
          </w:p>
        </w:tc>
        <w:tc>
          <w:tcPr>
            <w:tcW w:w="5" w:type="pct"/>
            <w:shd w:val="clear" w:color="auto" w:fill="auto"/>
          </w:tcPr>
          <w:p w14:paraId="7B670E2C" w14:textId="77777777" w:rsidR="0040300B" w:rsidRDefault="0040300B">
            <w:pPr>
              <w:rPr>
                <w:rFonts w:ascii="宋体"/>
              </w:rPr>
            </w:pPr>
          </w:p>
        </w:tc>
        <w:tc>
          <w:tcPr>
            <w:tcW w:w="5" w:type="pct"/>
            <w:shd w:val="clear" w:color="auto" w:fill="auto"/>
          </w:tcPr>
          <w:p w14:paraId="7B670E2D" w14:textId="77777777" w:rsidR="0040300B" w:rsidRDefault="0040300B">
            <w:pPr>
              <w:rPr>
                <w:rFonts w:ascii="宋体"/>
              </w:rPr>
            </w:pPr>
          </w:p>
        </w:tc>
        <w:tc>
          <w:tcPr>
            <w:tcW w:w="26" w:type="pct"/>
            <w:shd w:val="clear" w:color="auto" w:fill="auto"/>
          </w:tcPr>
          <w:p w14:paraId="7B670E2E" w14:textId="77777777" w:rsidR="0040300B" w:rsidRDefault="0040300B">
            <w:pPr>
              <w:rPr>
                <w:rFonts w:ascii="宋体"/>
              </w:rPr>
            </w:pPr>
          </w:p>
        </w:tc>
        <w:tc>
          <w:tcPr>
            <w:tcW w:w="5" w:type="pct"/>
            <w:shd w:val="clear" w:color="auto" w:fill="auto"/>
          </w:tcPr>
          <w:p w14:paraId="7B670E2F" w14:textId="77777777" w:rsidR="0040300B" w:rsidRDefault="0040300B">
            <w:pPr>
              <w:rPr>
                <w:rFonts w:ascii="宋体"/>
              </w:rPr>
            </w:pPr>
          </w:p>
        </w:tc>
        <w:tc>
          <w:tcPr>
            <w:tcW w:w="50" w:type="pct"/>
            <w:shd w:val="clear" w:color="auto" w:fill="auto"/>
          </w:tcPr>
          <w:p w14:paraId="7B670E30" w14:textId="77777777" w:rsidR="0040300B" w:rsidRDefault="0040300B">
            <w:pPr>
              <w:rPr>
                <w:rFonts w:ascii="宋体"/>
              </w:rPr>
            </w:pPr>
          </w:p>
        </w:tc>
        <w:tc>
          <w:tcPr>
            <w:tcW w:w="412" w:type="pct"/>
            <w:shd w:val="clear" w:color="auto" w:fill="auto"/>
          </w:tcPr>
          <w:p w14:paraId="7B670E31" w14:textId="77777777" w:rsidR="0040300B" w:rsidRDefault="0040300B">
            <w:pPr>
              <w:rPr>
                <w:rFonts w:ascii="宋体"/>
              </w:rPr>
            </w:pPr>
          </w:p>
        </w:tc>
        <w:tc>
          <w:tcPr>
            <w:tcW w:w="5" w:type="pct"/>
            <w:shd w:val="clear" w:color="auto" w:fill="auto"/>
          </w:tcPr>
          <w:p w14:paraId="7B670E32" w14:textId="77777777" w:rsidR="0040300B" w:rsidRDefault="0040300B">
            <w:pPr>
              <w:rPr>
                <w:rFonts w:ascii="宋体"/>
              </w:rPr>
            </w:pPr>
          </w:p>
        </w:tc>
        <w:tc>
          <w:tcPr>
            <w:tcW w:w="5" w:type="pct"/>
            <w:shd w:val="clear" w:color="auto" w:fill="auto"/>
          </w:tcPr>
          <w:p w14:paraId="7B670E33" w14:textId="77777777" w:rsidR="0040300B" w:rsidRDefault="0040300B">
            <w:pPr>
              <w:rPr>
                <w:rFonts w:ascii="宋体"/>
              </w:rPr>
            </w:pPr>
          </w:p>
        </w:tc>
        <w:tc>
          <w:tcPr>
            <w:tcW w:w="26" w:type="pct"/>
            <w:shd w:val="clear" w:color="auto" w:fill="auto"/>
          </w:tcPr>
          <w:p w14:paraId="7B670E34" w14:textId="77777777" w:rsidR="0040300B" w:rsidRDefault="0040300B">
            <w:pPr>
              <w:rPr>
                <w:rFonts w:ascii="宋体"/>
              </w:rPr>
            </w:pPr>
          </w:p>
        </w:tc>
        <w:tc>
          <w:tcPr>
            <w:tcW w:w="5" w:type="pct"/>
            <w:shd w:val="clear" w:color="auto" w:fill="auto"/>
          </w:tcPr>
          <w:p w14:paraId="7B670E35" w14:textId="77777777" w:rsidR="0040300B" w:rsidRDefault="0040300B">
            <w:pPr>
              <w:rPr>
                <w:rFonts w:ascii="宋体"/>
              </w:rPr>
            </w:pPr>
          </w:p>
        </w:tc>
        <w:tc>
          <w:tcPr>
            <w:tcW w:w="50" w:type="pct"/>
            <w:shd w:val="clear" w:color="auto" w:fill="auto"/>
          </w:tcPr>
          <w:p w14:paraId="7B670E36" w14:textId="77777777" w:rsidR="0040300B" w:rsidRDefault="0040300B">
            <w:pPr>
              <w:rPr>
                <w:rFonts w:ascii="宋体"/>
              </w:rPr>
            </w:pPr>
          </w:p>
        </w:tc>
        <w:tc>
          <w:tcPr>
            <w:tcW w:w="412" w:type="pct"/>
            <w:shd w:val="clear" w:color="auto" w:fill="auto"/>
          </w:tcPr>
          <w:p w14:paraId="7B670E37" w14:textId="77777777" w:rsidR="0040300B" w:rsidRDefault="0040300B">
            <w:pPr>
              <w:rPr>
                <w:rFonts w:ascii="宋体"/>
              </w:rPr>
            </w:pPr>
          </w:p>
        </w:tc>
        <w:tc>
          <w:tcPr>
            <w:tcW w:w="5" w:type="pct"/>
            <w:shd w:val="clear" w:color="auto" w:fill="auto"/>
          </w:tcPr>
          <w:p w14:paraId="7B670E38" w14:textId="77777777" w:rsidR="0040300B" w:rsidRDefault="0040300B">
            <w:pPr>
              <w:rPr>
                <w:rFonts w:ascii="宋体"/>
              </w:rPr>
            </w:pPr>
          </w:p>
        </w:tc>
        <w:tc>
          <w:tcPr>
            <w:tcW w:w="5" w:type="pct"/>
            <w:shd w:val="clear" w:color="auto" w:fill="auto"/>
          </w:tcPr>
          <w:p w14:paraId="7B670E39" w14:textId="77777777" w:rsidR="0040300B" w:rsidRDefault="0040300B">
            <w:pPr>
              <w:rPr>
                <w:rFonts w:ascii="宋体"/>
              </w:rPr>
            </w:pPr>
          </w:p>
        </w:tc>
        <w:tc>
          <w:tcPr>
            <w:tcW w:w="26" w:type="pct"/>
            <w:shd w:val="clear" w:color="auto" w:fill="auto"/>
          </w:tcPr>
          <w:p w14:paraId="7B670E3A" w14:textId="77777777" w:rsidR="0040300B" w:rsidRDefault="0040300B">
            <w:pPr>
              <w:rPr>
                <w:rFonts w:ascii="宋体"/>
              </w:rPr>
            </w:pPr>
          </w:p>
        </w:tc>
        <w:tc>
          <w:tcPr>
            <w:tcW w:w="5" w:type="pct"/>
            <w:shd w:val="clear" w:color="auto" w:fill="auto"/>
          </w:tcPr>
          <w:p w14:paraId="7B670E3B" w14:textId="77777777" w:rsidR="0040300B" w:rsidRDefault="0040300B">
            <w:pPr>
              <w:rPr>
                <w:rFonts w:ascii="宋体"/>
              </w:rPr>
            </w:pPr>
          </w:p>
        </w:tc>
        <w:tc>
          <w:tcPr>
            <w:tcW w:w="50" w:type="pct"/>
            <w:shd w:val="clear" w:color="auto" w:fill="auto"/>
          </w:tcPr>
          <w:p w14:paraId="7B670E3C" w14:textId="77777777" w:rsidR="0040300B" w:rsidRDefault="0040300B">
            <w:pPr>
              <w:rPr>
                <w:rFonts w:ascii="宋体"/>
              </w:rPr>
            </w:pPr>
          </w:p>
        </w:tc>
        <w:tc>
          <w:tcPr>
            <w:tcW w:w="412" w:type="pct"/>
            <w:shd w:val="clear" w:color="auto" w:fill="auto"/>
          </w:tcPr>
          <w:p w14:paraId="7B670E3D" w14:textId="77777777" w:rsidR="0040300B" w:rsidRDefault="0040300B">
            <w:pPr>
              <w:rPr>
                <w:rFonts w:ascii="宋体"/>
              </w:rPr>
            </w:pPr>
          </w:p>
        </w:tc>
        <w:tc>
          <w:tcPr>
            <w:tcW w:w="5" w:type="pct"/>
            <w:shd w:val="clear" w:color="auto" w:fill="auto"/>
          </w:tcPr>
          <w:p w14:paraId="7B670E3E" w14:textId="77777777" w:rsidR="0040300B" w:rsidRDefault="0040300B">
            <w:pPr>
              <w:rPr>
                <w:rFonts w:ascii="宋体"/>
              </w:rPr>
            </w:pPr>
          </w:p>
        </w:tc>
        <w:tc>
          <w:tcPr>
            <w:tcW w:w="5" w:type="pct"/>
            <w:shd w:val="clear" w:color="auto" w:fill="auto"/>
          </w:tcPr>
          <w:p w14:paraId="7B670E3F" w14:textId="77777777" w:rsidR="0040300B" w:rsidRDefault="0040300B">
            <w:pPr>
              <w:rPr>
                <w:rFonts w:ascii="宋体"/>
              </w:rPr>
            </w:pPr>
          </w:p>
        </w:tc>
        <w:tc>
          <w:tcPr>
            <w:tcW w:w="26" w:type="pct"/>
            <w:shd w:val="clear" w:color="auto" w:fill="auto"/>
          </w:tcPr>
          <w:p w14:paraId="7B670E40" w14:textId="77777777" w:rsidR="0040300B" w:rsidRDefault="0040300B">
            <w:pPr>
              <w:rPr>
                <w:rFonts w:ascii="宋体"/>
              </w:rPr>
            </w:pPr>
          </w:p>
        </w:tc>
        <w:tc>
          <w:tcPr>
            <w:tcW w:w="5" w:type="pct"/>
            <w:shd w:val="clear" w:color="auto" w:fill="auto"/>
          </w:tcPr>
          <w:p w14:paraId="7B670E41" w14:textId="77777777" w:rsidR="0040300B" w:rsidRDefault="0040300B">
            <w:pPr>
              <w:rPr>
                <w:rFonts w:ascii="宋体"/>
              </w:rPr>
            </w:pPr>
          </w:p>
        </w:tc>
        <w:tc>
          <w:tcPr>
            <w:tcW w:w="50" w:type="pct"/>
            <w:shd w:val="clear" w:color="auto" w:fill="auto"/>
          </w:tcPr>
          <w:p w14:paraId="7B670E42" w14:textId="77777777" w:rsidR="0040300B" w:rsidRDefault="0040300B">
            <w:pPr>
              <w:rPr>
                <w:rFonts w:ascii="宋体"/>
              </w:rPr>
            </w:pPr>
          </w:p>
        </w:tc>
        <w:tc>
          <w:tcPr>
            <w:tcW w:w="412" w:type="pct"/>
            <w:shd w:val="clear" w:color="auto" w:fill="auto"/>
          </w:tcPr>
          <w:p w14:paraId="7B670E43" w14:textId="77777777" w:rsidR="0040300B" w:rsidRDefault="0040300B">
            <w:pPr>
              <w:rPr>
                <w:rFonts w:ascii="宋体"/>
              </w:rPr>
            </w:pPr>
          </w:p>
        </w:tc>
        <w:tc>
          <w:tcPr>
            <w:tcW w:w="5" w:type="pct"/>
            <w:shd w:val="clear" w:color="auto" w:fill="auto"/>
          </w:tcPr>
          <w:p w14:paraId="7B670E44" w14:textId="77777777" w:rsidR="0040300B" w:rsidRDefault="0040300B">
            <w:pPr>
              <w:rPr>
                <w:rFonts w:ascii="宋体"/>
              </w:rPr>
            </w:pPr>
          </w:p>
        </w:tc>
        <w:tc>
          <w:tcPr>
            <w:tcW w:w="5" w:type="pct"/>
            <w:shd w:val="clear" w:color="auto" w:fill="auto"/>
          </w:tcPr>
          <w:p w14:paraId="7B670E45" w14:textId="77777777" w:rsidR="0040300B" w:rsidRDefault="0040300B">
            <w:pPr>
              <w:rPr>
                <w:rFonts w:ascii="宋体"/>
              </w:rPr>
            </w:pPr>
          </w:p>
        </w:tc>
        <w:tc>
          <w:tcPr>
            <w:tcW w:w="26" w:type="pct"/>
            <w:shd w:val="clear" w:color="auto" w:fill="auto"/>
          </w:tcPr>
          <w:p w14:paraId="7B670E46" w14:textId="77777777" w:rsidR="0040300B" w:rsidRDefault="0040300B">
            <w:pPr>
              <w:rPr>
                <w:rFonts w:ascii="宋体"/>
              </w:rPr>
            </w:pPr>
          </w:p>
        </w:tc>
        <w:tc>
          <w:tcPr>
            <w:tcW w:w="5" w:type="pct"/>
            <w:shd w:val="clear" w:color="auto" w:fill="auto"/>
          </w:tcPr>
          <w:p w14:paraId="7B670E47" w14:textId="77777777" w:rsidR="0040300B" w:rsidRDefault="0040300B">
            <w:pPr>
              <w:rPr>
                <w:rFonts w:ascii="宋体"/>
              </w:rPr>
            </w:pPr>
          </w:p>
        </w:tc>
        <w:tc>
          <w:tcPr>
            <w:tcW w:w="50" w:type="pct"/>
            <w:shd w:val="clear" w:color="auto" w:fill="auto"/>
          </w:tcPr>
          <w:p w14:paraId="7B670E48" w14:textId="77777777" w:rsidR="0040300B" w:rsidRDefault="0040300B">
            <w:pPr>
              <w:rPr>
                <w:rFonts w:ascii="宋体"/>
              </w:rPr>
            </w:pPr>
          </w:p>
        </w:tc>
        <w:tc>
          <w:tcPr>
            <w:tcW w:w="412" w:type="pct"/>
            <w:shd w:val="clear" w:color="auto" w:fill="auto"/>
          </w:tcPr>
          <w:p w14:paraId="7B670E49" w14:textId="77777777" w:rsidR="0040300B" w:rsidRDefault="0040300B">
            <w:pPr>
              <w:rPr>
                <w:rFonts w:ascii="宋体"/>
              </w:rPr>
            </w:pPr>
          </w:p>
        </w:tc>
        <w:tc>
          <w:tcPr>
            <w:tcW w:w="5" w:type="pct"/>
            <w:shd w:val="clear" w:color="auto" w:fill="auto"/>
          </w:tcPr>
          <w:p w14:paraId="7B670E4A" w14:textId="77777777" w:rsidR="0040300B" w:rsidRDefault="0040300B">
            <w:pPr>
              <w:rPr>
                <w:rFonts w:ascii="宋体"/>
              </w:rPr>
            </w:pPr>
          </w:p>
        </w:tc>
        <w:tc>
          <w:tcPr>
            <w:tcW w:w="5" w:type="pct"/>
            <w:shd w:val="clear" w:color="auto" w:fill="auto"/>
          </w:tcPr>
          <w:p w14:paraId="7B670E4B" w14:textId="77777777" w:rsidR="0040300B" w:rsidRDefault="0040300B">
            <w:pPr>
              <w:rPr>
                <w:rFonts w:ascii="宋体"/>
              </w:rPr>
            </w:pPr>
          </w:p>
        </w:tc>
        <w:tc>
          <w:tcPr>
            <w:tcW w:w="26" w:type="pct"/>
            <w:shd w:val="clear" w:color="auto" w:fill="auto"/>
          </w:tcPr>
          <w:p w14:paraId="7B670E4C" w14:textId="77777777" w:rsidR="0040300B" w:rsidRDefault="0040300B">
            <w:pPr>
              <w:rPr>
                <w:rFonts w:ascii="宋体"/>
              </w:rPr>
            </w:pPr>
          </w:p>
        </w:tc>
        <w:tc>
          <w:tcPr>
            <w:tcW w:w="5" w:type="pct"/>
            <w:shd w:val="clear" w:color="auto" w:fill="auto"/>
          </w:tcPr>
          <w:p w14:paraId="7B670E4D" w14:textId="77777777" w:rsidR="0040300B" w:rsidRDefault="0040300B">
            <w:pPr>
              <w:rPr>
                <w:rFonts w:ascii="宋体"/>
              </w:rPr>
            </w:pPr>
          </w:p>
        </w:tc>
        <w:tc>
          <w:tcPr>
            <w:tcW w:w="50" w:type="pct"/>
            <w:shd w:val="clear" w:color="auto" w:fill="auto"/>
          </w:tcPr>
          <w:p w14:paraId="7B670E4E" w14:textId="77777777" w:rsidR="0040300B" w:rsidRDefault="0040300B">
            <w:pPr>
              <w:rPr>
                <w:rFonts w:ascii="宋体"/>
              </w:rPr>
            </w:pPr>
          </w:p>
        </w:tc>
        <w:tc>
          <w:tcPr>
            <w:tcW w:w="412" w:type="pct"/>
            <w:shd w:val="clear" w:color="auto" w:fill="auto"/>
          </w:tcPr>
          <w:p w14:paraId="7B670E4F" w14:textId="77777777" w:rsidR="0040300B" w:rsidRDefault="0040300B">
            <w:pPr>
              <w:rPr>
                <w:rFonts w:ascii="宋体"/>
              </w:rPr>
            </w:pPr>
          </w:p>
        </w:tc>
        <w:tc>
          <w:tcPr>
            <w:tcW w:w="5" w:type="pct"/>
            <w:shd w:val="clear" w:color="auto" w:fill="auto"/>
          </w:tcPr>
          <w:p w14:paraId="7B670E50" w14:textId="77777777" w:rsidR="0040300B" w:rsidRDefault="0040300B">
            <w:pPr>
              <w:rPr>
                <w:rFonts w:ascii="宋体"/>
              </w:rPr>
            </w:pPr>
          </w:p>
        </w:tc>
        <w:tc>
          <w:tcPr>
            <w:tcW w:w="5" w:type="pct"/>
            <w:shd w:val="clear" w:color="auto" w:fill="auto"/>
          </w:tcPr>
          <w:p w14:paraId="7B670E51" w14:textId="77777777" w:rsidR="0040300B" w:rsidRDefault="0040300B">
            <w:pPr>
              <w:rPr>
                <w:rFonts w:ascii="宋体"/>
              </w:rPr>
            </w:pPr>
          </w:p>
        </w:tc>
        <w:tc>
          <w:tcPr>
            <w:tcW w:w="26" w:type="pct"/>
            <w:shd w:val="clear" w:color="auto" w:fill="auto"/>
          </w:tcPr>
          <w:p w14:paraId="7B670E52" w14:textId="77777777" w:rsidR="0040300B" w:rsidRDefault="0040300B">
            <w:pPr>
              <w:rPr>
                <w:rFonts w:ascii="宋体"/>
              </w:rPr>
            </w:pPr>
          </w:p>
        </w:tc>
        <w:tc>
          <w:tcPr>
            <w:tcW w:w="5" w:type="pct"/>
            <w:shd w:val="clear" w:color="auto" w:fill="auto"/>
          </w:tcPr>
          <w:p w14:paraId="7B670E53" w14:textId="77777777" w:rsidR="0040300B" w:rsidRDefault="0040300B">
            <w:pPr>
              <w:rPr>
                <w:rFonts w:ascii="宋体"/>
              </w:rPr>
            </w:pPr>
          </w:p>
        </w:tc>
        <w:tc>
          <w:tcPr>
            <w:tcW w:w="50" w:type="pct"/>
            <w:shd w:val="clear" w:color="auto" w:fill="auto"/>
          </w:tcPr>
          <w:p w14:paraId="7B670E54" w14:textId="77777777" w:rsidR="0040300B" w:rsidRDefault="0040300B">
            <w:pPr>
              <w:rPr>
                <w:rFonts w:ascii="宋体"/>
              </w:rPr>
            </w:pPr>
          </w:p>
        </w:tc>
        <w:tc>
          <w:tcPr>
            <w:tcW w:w="412" w:type="pct"/>
            <w:shd w:val="clear" w:color="auto" w:fill="auto"/>
          </w:tcPr>
          <w:p w14:paraId="7B670E55" w14:textId="77777777" w:rsidR="0040300B" w:rsidRDefault="0040300B">
            <w:pPr>
              <w:rPr>
                <w:rFonts w:ascii="宋体"/>
              </w:rPr>
            </w:pPr>
          </w:p>
        </w:tc>
        <w:tc>
          <w:tcPr>
            <w:tcW w:w="5" w:type="pct"/>
            <w:shd w:val="clear" w:color="auto" w:fill="auto"/>
          </w:tcPr>
          <w:p w14:paraId="7B670E56" w14:textId="77777777" w:rsidR="0040300B" w:rsidRDefault="0040300B">
            <w:pPr>
              <w:rPr>
                <w:rFonts w:ascii="宋体"/>
              </w:rPr>
            </w:pPr>
          </w:p>
        </w:tc>
        <w:tc>
          <w:tcPr>
            <w:tcW w:w="5" w:type="pct"/>
            <w:shd w:val="clear" w:color="auto" w:fill="auto"/>
          </w:tcPr>
          <w:p w14:paraId="7B670E57" w14:textId="77777777" w:rsidR="0040300B" w:rsidRDefault="0040300B">
            <w:pPr>
              <w:rPr>
                <w:rFonts w:ascii="宋体"/>
              </w:rPr>
            </w:pPr>
          </w:p>
        </w:tc>
        <w:tc>
          <w:tcPr>
            <w:tcW w:w="26" w:type="pct"/>
            <w:shd w:val="clear" w:color="auto" w:fill="auto"/>
          </w:tcPr>
          <w:p w14:paraId="7B670E58" w14:textId="77777777" w:rsidR="0040300B" w:rsidRDefault="0040300B">
            <w:pPr>
              <w:rPr>
                <w:rFonts w:ascii="宋体"/>
              </w:rPr>
            </w:pPr>
          </w:p>
        </w:tc>
        <w:tc>
          <w:tcPr>
            <w:tcW w:w="5" w:type="pct"/>
            <w:shd w:val="clear" w:color="auto" w:fill="auto"/>
          </w:tcPr>
          <w:p w14:paraId="7B670E59" w14:textId="77777777" w:rsidR="0040300B" w:rsidRDefault="0040300B">
            <w:pPr>
              <w:rPr>
                <w:rFonts w:ascii="宋体"/>
              </w:rPr>
            </w:pPr>
          </w:p>
        </w:tc>
        <w:tc>
          <w:tcPr>
            <w:tcW w:w="50" w:type="pct"/>
            <w:shd w:val="clear" w:color="auto" w:fill="auto"/>
          </w:tcPr>
          <w:p w14:paraId="7B670E5A" w14:textId="77777777" w:rsidR="0040300B" w:rsidRDefault="0040300B">
            <w:pPr>
              <w:rPr>
                <w:rFonts w:ascii="宋体"/>
              </w:rPr>
            </w:pPr>
          </w:p>
        </w:tc>
        <w:tc>
          <w:tcPr>
            <w:tcW w:w="413" w:type="pct"/>
            <w:shd w:val="clear" w:color="auto" w:fill="auto"/>
          </w:tcPr>
          <w:p w14:paraId="7B670E5B" w14:textId="77777777" w:rsidR="0040300B" w:rsidRDefault="0040300B">
            <w:pPr>
              <w:rPr>
                <w:rFonts w:ascii="宋体"/>
              </w:rPr>
            </w:pPr>
          </w:p>
        </w:tc>
        <w:tc>
          <w:tcPr>
            <w:tcW w:w="5" w:type="pct"/>
            <w:shd w:val="clear" w:color="auto" w:fill="auto"/>
          </w:tcPr>
          <w:p w14:paraId="7B670E5C" w14:textId="77777777" w:rsidR="0040300B" w:rsidRDefault="0040300B">
            <w:pPr>
              <w:rPr>
                <w:rFonts w:ascii="宋体"/>
              </w:rPr>
            </w:pPr>
          </w:p>
        </w:tc>
      </w:tr>
      <w:tr w:rsidR="0040300B" w14:paraId="7B670E63" w14:textId="77777777">
        <w:tc>
          <w:tcPr>
            <w:tcW w:w="0" w:type="auto"/>
            <w:gridSpan w:val="3"/>
            <w:shd w:val="clear" w:color="auto" w:fill="auto"/>
            <w:tcMar>
              <w:top w:w="0" w:type="dxa"/>
              <w:left w:w="20" w:type="dxa"/>
              <w:bottom w:w="0" w:type="dxa"/>
              <w:right w:w="20" w:type="dxa"/>
            </w:tcMar>
          </w:tcPr>
          <w:p w14:paraId="7B670E5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E5F"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E60"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E61"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E62"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E6D" w14:textId="77777777">
        <w:tc>
          <w:tcPr>
            <w:tcW w:w="0" w:type="auto"/>
            <w:gridSpan w:val="3"/>
            <w:shd w:val="clear" w:color="auto" w:fill="auto"/>
            <w:tcMar>
              <w:top w:w="40" w:type="dxa"/>
              <w:left w:w="20" w:type="dxa"/>
              <w:bottom w:w="40" w:type="dxa"/>
              <w:right w:w="20" w:type="dxa"/>
            </w:tcMar>
            <w:vAlign w:val="bottom"/>
          </w:tcPr>
          <w:p w14:paraId="7B670E64"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tcPr>
          <w:p w14:paraId="7B670E65"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E66"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0E67"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E68" w14:textId="77777777" w:rsidR="0040300B" w:rsidRDefault="00BB2D44">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tcPr>
          <w:p w14:paraId="7B670E69"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E6A"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0E6B"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E6C" w14:textId="77777777" w:rsidR="0040300B" w:rsidRDefault="00BB2D44">
            <w:pPr>
              <w:jc w:val="center"/>
              <w:textAlignment w:val="bottom"/>
            </w:pPr>
            <w:r>
              <w:rPr>
                <w:rFonts w:ascii="Times New Roman" w:eastAsia="宋体" w:hAnsi="Times New Roman"/>
                <w:color w:val="000000"/>
                <w:sz w:val="18"/>
                <w:szCs w:val="18"/>
              </w:rPr>
              <w:t>PERCENTAGE</w:t>
            </w:r>
          </w:p>
        </w:tc>
      </w:tr>
      <w:tr w:rsidR="0040300B" w14:paraId="7B670E7F" w14:textId="77777777">
        <w:tc>
          <w:tcPr>
            <w:tcW w:w="0" w:type="auto"/>
            <w:gridSpan w:val="3"/>
            <w:shd w:val="clear" w:color="auto" w:fill="auto"/>
            <w:tcMar>
              <w:top w:w="0" w:type="dxa"/>
              <w:left w:w="20" w:type="dxa"/>
              <w:bottom w:w="0" w:type="dxa"/>
              <w:right w:w="20" w:type="dxa"/>
            </w:tcMar>
          </w:tcPr>
          <w:p w14:paraId="7B670E6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E6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E7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2"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E7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4"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E7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6"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E7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E7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A"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E7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C"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E7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E7E"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E91" w14:textId="77777777">
        <w:tc>
          <w:tcPr>
            <w:tcW w:w="0" w:type="auto"/>
            <w:gridSpan w:val="3"/>
            <w:shd w:val="clear" w:color="auto" w:fill="CCEEFF"/>
            <w:tcMar>
              <w:top w:w="40" w:type="dxa"/>
              <w:left w:w="20" w:type="dxa"/>
              <w:bottom w:w="40" w:type="dxa"/>
              <w:right w:w="20" w:type="dxa"/>
            </w:tcMar>
            <w:vAlign w:val="bottom"/>
          </w:tcPr>
          <w:p w14:paraId="7B670E80" w14:textId="77777777" w:rsidR="0040300B" w:rsidRDefault="00BB2D44">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tcPr>
          <w:p w14:paraId="7B670E81"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D"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8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E8F"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E90" w14:textId="77777777" w:rsidR="0040300B" w:rsidRDefault="0040300B">
            <w:pPr>
              <w:rPr>
                <w:rFonts w:ascii="宋体"/>
              </w:rPr>
            </w:pPr>
          </w:p>
        </w:tc>
      </w:tr>
      <w:tr w:rsidR="0040300B" w14:paraId="7B670EAF" w14:textId="77777777">
        <w:tc>
          <w:tcPr>
            <w:tcW w:w="0" w:type="auto"/>
            <w:gridSpan w:val="3"/>
            <w:shd w:val="clear" w:color="auto" w:fill="FFFFFF"/>
            <w:tcMar>
              <w:top w:w="40" w:type="dxa"/>
              <w:left w:w="380" w:type="dxa"/>
              <w:bottom w:w="40" w:type="dxa"/>
              <w:right w:w="20" w:type="dxa"/>
            </w:tcMar>
            <w:vAlign w:val="bottom"/>
          </w:tcPr>
          <w:p w14:paraId="7B670E92" w14:textId="77777777" w:rsidR="0040300B" w:rsidRDefault="00BB2D44">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tcPr>
          <w:p w14:paraId="7B670E9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E9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E95" w14:textId="77777777" w:rsidR="0040300B" w:rsidRDefault="00BB2D44">
            <w:pPr>
              <w:jc w:val="right"/>
              <w:textAlignment w:val="bottom"/>
            </w:pPr>
            <w:r>
              <w:rPr>
                <w:rFonts w:ascii="Times New Roman" w:eastAsia="宋体" w:hAnsi="Times New Roman"/>
                <w:color w:val="000000"/>
                <w:sz w:val="20"/>
                <w:szCs w:val="20"/>
              </w:rPr>
              <w:t>5,717 </w:t>
            </w:r>
          </w:p>
        </w:tc>
        <w:tc>
          <w:tcPr>
            <w:tcW w:w="0" w:type="auto"/>
            <w:shd w:val="clear" w:color="auto" w:fill="FFFFFF"/>
            <w:tcMar>
              <w:top w:w="40" w:type="dxa"/>
              <w:left w:w="0" w:type="dxa"/>
              <w:bottom w:w="40" w:type="dxa"/>
              <w:right w:w="20" w:type="dxa"/>
            </w:tcMar>
            <w:vAlign w:val="bottom"/>
          </w:tcPr>
          <w:p w14:paraId="7B670E9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97"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E9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E99" w14:textId="77777777" w:rsidR="0040300B" w:rsidRDefault="00BB2D44">
            <w:pPr>
              <w:jc w:val="right"/>
              <w:textAlignment w:val="bottom"/>
            </w:pPr>
            <w:r>
              <w:rPr>
                <w:rFonts w:ascii="Times New Roman" w:eastAsia="宋体" w:hAnsi="Times New Roman"/>
                <w:color w:val="000000"/>
                <w:sz w:val="20"/>
                <w:szCs w:val="20"/>
              </w:rPr>
              <w:t>5,477 </w:t>
            </w:r>
          </w:p>
        </w:tc>
        <w:tc>
          <w:tcPr>
            <w:tcW w:w="0" w:type="auto"/>
            <w:shd w:val="clear" w:color="auto" w:fill="FFFFFF"/>
            <w:tcMar>
              <w:top w:w="40" w:type="dxa"/>
              <w:left w:w="0" w:type="dxa"/>
              <w:bottom w:w="40" w:type="dxa"/>
              <w:right w:w="20" w:type="dxa"/>
            </w:tcMar>
            <w:vAlign w:val="bottom"/>
          </w:tcPr>
          <w:p w14:paraId="7B670E9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9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9C" w14:textId="77777777" w:rsidR="0040300B" w:rsidRDefault="00BB2D44">
            <w:pPr>
              <w:jc w:val="right"/>
              <w:textAlignment w:val="bottom"/>
            </w:pPr>
            <w:r>
              <w:rPr>
                <w:rFonts w:ascii="Times New Roman" w:eastAsia="宋体" w:hAnsi="Times New Roman"/>
                <w:color w:val="000000"/>
                <w:sz w:val="20"/>
                <w:szCs w:val="20"/>
              </w:rPr>
              <w:t>62.6 </w:t>
            </w:r>
          </w:p>
        </w:tc>
        <w:tc>
          <w:tcPr>
            <w:tcW w:w="0" w:type="auto"/>
            <w:shd w:val="clear" w:color="auto" w:fill="FFFFFF"/>
            <w:tcMar>
              <w:top w:w="40" w:type="dxa"/>
              <w:left w:w="0" w:type="dxa"/>
              <w:bottom w:w="40" w:type="dxa"/>
              <w:right w:w="20" w:type="dxa"/>
            </w:tcMar>
            <w:vAlign w:val="bottom"/>
          </w:tcPr>
          <w:p w14:paraId="7B670E9D"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9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9F" w14:textId="77777777" w:rsidR="0040300B" w:rsidRDefault="00BB2D44">
            <w:pPr>
              <w:jc w:val="right"/>
              <w:textAlignment w:val="bottom"/>
            </w:pPr>
            <w:r>
              <w:rPr>
                <w:rFonts w:ascii="Times New Roman" w:eastAsia="宋体" w:hAnsi="Times New Roman"/>
                <w:color w:val="000000"/>
                <w:sz w:val="20"/>
                <w:szCs w:val="20"/>
              </w:rPr>
              <w:t>63.7 </w:t>
            </w:r>
          </w:p>
        </w:tc>
        <w:tc>
          <w:tcPr>
            <w:tcW w:w="0" w:type="auto"/>
            <w:shd w:val="clear" w:color="auto" w:fill="FFFFFF"/>
            <w:tcMar>
              <w:top w:w="40" w:type="dxa"/>
              <w:left w:w="0" w:type="dxa"/>
              <w:bottom w:w="40" w:type="dxa"/>
              <w:right w:w="20" w:type="dxa"/>
            </w:tcMar>
            <w:vAlign w:val="bottom"/>
          </w:tcPr>
          <w:p w14:paraId="7B670EA0"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A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EA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EA3" w14:textId="77777777" w:rsidR="0040300B" w:rsidRDefault="00BB2D44">
            <w:pPr>
              <w:jc w:val="right"/>
              <w:textAlignment w:val="bottom"/>
            </w:pPr>
            <w:r>
              <w:rPr>
                <w:rFonts w:ascii="Times New Roman" w:eastAsia="宋体" w:hAnsi="Times New Roman"/>
                <w:color w:val="000000"/>
                <w:sz w:val="20"/>
                <w:szCs w:val="20"/>
              </w:rPr>
              <w:t>16,626 </w:t>
            </w:r>
          </w:p>
        </w:tc>
        <w:tc>
          <w:tcPr>
            <w:tcW w:w="0" w:type="auto"/>
            <w:shd w:val="clear" w:color="auto" w:fill="FFFFFF"/>
            <w:tcMar>
              <w:top w:w="40" w:type="dxa"/>
              <w:left w:w="0" w:type="dxa"/>
              <w:bottom w:w="40" w:type="dxa"/>
              <w:right w:w="20" w:type="dxa"/>
            </w:tcMar>
            <w:vAlign w:val="bottom"/>
          </w:tcPr>
          <w:p w14:paraId="7B670EA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A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EA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EA7" w14:textId="77777777" w:rsidR="0040300B" w:rsidRDefault="00BB2D44">
            <w:pPr>
              <w:jc w:val="right"/>
              <w:textAlignment w:val="bottom"/>
            </w:pPr>
            <w:r>
              <w:rPr>
                <w:rFonts w:ascii="Times New Roman" w:eastAsia="宋体" w:hAnsi="Times New Roman"/>
                <w:color w:val="000000"/>
                <w:sz w:val="20"/>
                <w:szCs w:val="20"/>
              </w:rPr>
              <w:t>17,376 </w:t>
            </w:r>
          </w:p>
        </w:tc>
        <w:tc>
          <w:tcPr>
            <w:tcW w:w="0" w:type="auto"/>
            <w:shd w:val="clear" w:color="auto" w:fill="FFFFFF"/>
            <w:tcMar>
              <w:top w:w="40" w:type="dxa"/>
              <w:left w:w="0" w:type="dxa"/>
              <w:bottom w:w="40" w:type="dxa"/>
              <w:right w:w="20" w:type="dxa"/>
            </w:tcMar>
            <w:vAlign w:val="bottom"/>
          </w:tcPr>
          <w:p w14:paraId="7B670EA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A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AA" w14:textId="77777777" w:rsidR="0040300B" w:rsidRDefault="00BB2D44">
            <w:pPr>
              <w:jc w:val="right"/>
              <w:textAlignment w:val="bottom"/>
            </w:pPr>
            <w:r>
              <w:rPr>
                <w:rFonts w:ascii="Times New Roman" w:eastAsia="宋体" w:hAnsi="Times New Roman"/>
                <w:color w:val="000000"/>
                <w:sz w:val="20"/>
                <w:szCs w:val="20"/>
              </w:rPr>
              <w:t>63.2 </w:t>
            </w:r>
          </w:p>
        </w:tc>
        <w:tc>
          <w:tcPr>
            <w:tcW w:w="0" w:type="auto"/>
            <w:shd w:val="clear" w:color="auto" w:fill="FFFFFF"/>
            <w:tcMar>
              <w:top w:w="40" w:type="dxa"/>
              <w:left w:w="0" w:type="dxa"/>
              <w:bottom w:w="40" w:type="dxa"/>
              <w:right w:w="20" w:type="dxa"/>
            </w:tcMar>
            <w:vAlign w:val="bottom"/>
          </w:tcPr>
          <w:p w14:paraId="7B670EA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A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AD" w14:textId="77777777" w:rsidR="0040300B" w:rsidRDefault="00BB2D44">
            <w:pPr>
              <w:jc w:val="right"/>
              <w:textAlignment w:val="bottom"/>
            </w:pPr>
            <w:r>
              <w:rPr>
                <w:rFonts w:ascii="Times New Roman" w:eastAsia="宋体" w:hAnsi="Times New Roman"/>
                <w:color w:val="000000"/>
                <w:sz w:val="20"/>
                <w:szCs w:val="20"/>
              </w:rPr>
              <w:t>64.0 </w:t>
            </w:r>
          </w:p>
        </w:tc>
        <w:tc>
          <w:tcPr>
            <w:tcW w:w="0" w:type="auto"/>
            <w:shd w:val="clear" w:color="auto" w:fill="FFFFFF"/>
            <w:tcMar>
              <w:top w:w="40" w:type="dxa"/>
              <w:left w:w="0" w:type="dxa"/>
              <w:bottom w:w="40" w:type="dxa"/>
              <w:right w:w="20" w:type="dxa"/>
            </w:tcMar>
            <w:vAlign w:val="bottom"/>
          </w:tcPr>
          <w:p w14:paraId="7B670EAE"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EC9" w14:textId="77777777">
        <w:tc>
          <w:tcPr>
            <w:tcW w:w="0" w:type="auto"/>
            <w:gridSpan w:val="3"/>
            <w:shd w:val="clear" w:color="auto" w:fill="CCEEFF"/>
            <w:tcMar>
              <w:top w:w="40" w:type="dxa"/>
              <w:left w:w="380" w:type="dxa"/>
              <w:bottom w:w="40" w:type="dxa"/>
              <w:right w:w="20" w:type="dxa"/>
            </w:tcMar>
            <w:vAlign w:val="bottom"/>
          </w:tcPr>
          <w:p w14:paraId="7B670EB0"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tcPr>
          <w:p w14:paraId="7B670EB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B2" w14:textId="77777777" w:rsidR="0040300B" w:rsidRDefault="00BB2D44">
            <w:pPr>
              <w:jc w:val="right"/>
              <w:textAlignment w:val="bottom"/>
            </w:pPr>
            <w:r>
              <w:rPr>
                <w:rFonts w:ascii="Times New Roman" w:eastAsia="宋体" w:hAnsi="Times New Roman"/>
                <w:color w:val="000000"/>
                <w:sz w:val="20"/>
                <w:szCs w:val="20"/>
              </w:rPr>
              <w:t>2,468 </w:t>
            </w:r>
          </w:p>
        </w:tc>
        <w:tc>
          <w:tcPr>
            <w:tcW w:w="0" w:type="auto"/>
            <w:shd w:val="clear" w:color="auto" w:fill="CCEEFF"/>
            <w:tcMar>
              <w:top w:w="40" w:type="dxa"/>
              <w:left w:w="0" w:type="dxa"/>
              <w:bottom w:w="40" w:type="dxa"/>
              <w:right w:w="20" w:type="dxa"/>
            </w:tcMar>
            <w:vAlign w:val="bottom"/>
          </w:tcPr>
          <w:p w14:paraId="7B670EB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EB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B5" w14:textId="77777777" w:rsidR="0040300B" w:rsidRDefault="00BB2D44">
            <w:pPr>
              <w:jc w:val="right"/>
              <w:textAlignment w:val="bottom"/>
            </w:pPr>
            <w:r>
              <w:rPr>
                <w:rFonts w:ascii="Times New Roman" w:eastAsia="宋体" w:hAnsi="Times New Roman"/>
                <w:color w:val="000000"/>
                <w:sz w:val="20"/>
                <w:szCs w:val="20"/>
              </w:rPr>
              <w:t>2,294 </w:t>
            </w:r>
          </w:p>
        </w:tc>
        <w:tc>
          <w:tcPr>
            <w:tcW w:w="0" w:type="auto"/>
            <w:shd w:val="clear" w:color="auto" w:fill="CCEEFF"/>
            <w:tcMar>
              <w:top w:w="40" w:type="dxa"/>
              <w:left w:w="0" w:type="dxa"/>
              <w:bottom w:w="40" w:type="dxa"/>
              <w:right w:w="20" w:type="dxa"/>
            </w:tcMar>
            <w:vAlign w:val="bottom"/>
          </w:tcPr>
          <w:p w14:paraId="7B670EB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EB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B8" w14:textId="77777777" w:rsidR="0040300B" w:rsidRDefault="00BB2D44">
            <w:pPr>
              <w:jc w:val="right"/>
              <w:textAlignment w:val="bottom"/>
            </w:pPr>
            <w:r>
              <w:rPr>
                <w:rFonts w:ascii="Times New Roman" w:eastAsia="宋体" w:hAnsi="Times New Roman"/>
                <w:color w:val="000000"/>
                <w:sz w:val="20"/>
                <w:szCs w:val="20"/>
              </w:rPr>
              <w:t>67.4 </w:t>
            </w:r>
          </w:p>
        </w:tc>
        <w:tc>
          <w:tcPr>
            <w:tcW w:w="0" w:type="auto"/>
            <w:shd w:val="clear" w:color="auto" w:fill="CCEEFF"/>
            <w:tcMar>
              <w:top w:w="40" w:type="dxa"/>
              <w:left w:w="0" w:type="dxa"/>
              <w:bottom w:w="40" w:type="dxa"/>
              <w:right w:w="20" w:type="dxa"/>
            </w:tcMar>
            <w:vAlign w:val="bottom"/>
          </w:tcPr>
          <w:p w14:paraId="7B670EB9"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EB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BB" w14:textId="77777777" w:rsidR="0040300B" w:rsidRDefault="00BB2D44">
            <w:pPr>
              <w:jc w:val="right"/>
              <w:textAlignment w:val="bottom"/>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bottom"/>
          </w:tcPr>
          <w:p w14:paraId="7B670EBC"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EB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BE" w14:textId="77777777" w:rsidR="0040300B" w:rsidRDefault="00BB2D44">
            <w:pPr>
              <w:jc w:val="right"/>
              <w:textAlignment w:val="bottom"/>
            </w:pPr>
            <w:r>
              <w:rPr>
                <w:rFonts w:ascii="Times New Roman" w:eastAsia="宋体" w:hAnsi="Times New Roman"/>
                <w:color w:val="000000"/>
                <w:sz w:val="20"/>
                <w:szCs w:val="20"/>
              </w:rPr>
              <w:t>6,924 </w:t>
            </w:r>
          </w:p>
        </w:tc>
        <w:tc>
          <w:tcPr>
            <w:tcW w:w="0" w:type="auto"/>
            <w:shd w:val="clear" w:color="auto" w:fill="CCEEFF"/>
            <w:tcMar>
              <w:top w:w="40" w:type="dxa"/>
              <w:left w:w="0" w:type="dxa"/>
              <w:bottom w:w="40" w:type="dxa"/>
              <w:right w:w="20" w:type="dxa"/>
            </w:tcMar>
            <w:vAlign w:val="bottom"/>
          </w:tcPr>
          <w:p w14:paraId="7B670E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EC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C1" w14:textId="77777777" w:rsidR="0040300B" w:rsidRDefault="00BB2D44">
            <w:pPr>
              <w:jc w:val="right"/>
              <w:textAlignment w:val="bottom"/>
            </w:pPr>
            <w:r>
              <w:rPr>
                <w:rFonts w:ascii="Times New Roman" w:eastAsia="宋体" w:hAnsi="Times New Roman"/>
                <w:color w:val="000000"/>
                <w:sz w:val="20"/>
                <w:szCs w:val="20"/>
              </w:rPr>
              <w:t>6,623 </w:t>
            </w:r>
          </w:p>
        </w:tc>
        <w:tc>
          <w:tcPr>
            <w:tcW w:w="0" w:type="auto"/>
            <w:shd w:val="clear" w:color="auto" w:fill="CCEEFF"/>
            <w:tcMar>
              <w:top w:w="40" w:type="dxa"/>
              <w:left w:w="0" w:type="dxa"/>
              <w:bottom w:w="40" w:type="dxa"/>
              <w:right w:w="20" w:type="dxa"/>
            </w:tcMar>
            <w:vAlign w:val="bottom"/>
          </w:tcPr>
          <w:p w14:paraId="7B670EC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E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C4" w14:textId="77777777" w:rsidR="0040300B" w:rsidRDefault="00BB2D44">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7B670EC5"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EC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EC7" w14:textId="77777777" w:rsidR="0040300B" w:rsidRDefault="00BB2D44">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7B670EC8"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EE7" w14:textId="77777777">
        <w:tc>
          <w:tcPr>
            <w:tcW w:w="0" w:type="auto"/>
            <w:gridSpan w:val="3"/>
            <w:shd w:val="clear" w:color="auto" w:fill="FFFFFF"/>
            <w:tcMar>
              <w:top w:w="40" w:type="dxa"/>
              <w:left w:w="740" w:type="dxa"/>
              <w:bottom w:w="40" w:type="dxa"/>
              <w:right w:w="20" w:type="dxa"/>
            </w:tcMar>
            <w:vAlign w:val="bottom"/>
          </w:tcPr>
          <w:p w14:paraId="7B670ECA" w14:textId="77777777" w:rsidR="0040300B" w:rsidRDefault="00BB2D4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0ECB"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C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CD" w14:textId="77777777" w:rsidR="0040300B" w:rsidRDefault="00BB2D44">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C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CF"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D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D1" w14:textId="77777777" w:rsidR="0040300B" w:rsidRDefault="00BB2D44">
            <w:pPr>
              <w:jc w:val="right"/>
              <w:textAlignment w:val="bottom"/>
            </w:pPr>
            <w:r>
              <w:rPr>
                <w:rFonts w:ascii="Times New Roman" w:eastAsia="宋体" w:hAnsi="Times New Roman"/>
                <w:color w:val="000000"/>
                <w:sz w:val="20"/>
                <w:szCs w:val="20"/>
              </w:rPr>
              <w:t>7,771 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D4" w14:textId="77777777" w:rsidR="0040300B" w:rsidRDefault="00BB2D44">
            <w:pPr>
              <w:jc w:val="right"/>
              <w:textAlignment w:val="bottom"/>
            </w:pPr>
            <w:r>
              <w:rPr>
                <w:rFonts w:ascii="Times New Roman" w:eastAsia="宋体" w:hAnsi="Times New Roman"/>
                <w:color w:val="000000"/>
                <w:sz w:val="20"/>
                <w:szCs w:val="20"/>
              </w:rPr>
              <w:t>63.9 </w:t>
            </w:r>
          </w:p>
        </w:tc>
        <w:tc>
          <w:tcPr>
            <w:tcW w:w="0" w:type="auto"/>
            <w:shd w:val="clear" w:color="auto" w:fill="FFFFFF"/>
            <w:tcMar>
              <w:top w:w="40" w:type="dxa"/>
              <w:left w:w="0" w:type="dxa"/>
              <w:bottom w:w="40" w:type="dxa"/>
              <w:right w:w="20" w:type="dxa"/>
            </w:tcMar>
            <w:vAlign w:val="bottom"/>
          </w:tcPr>
          <w:p w14:paraId="7B670ED5"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D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D7" w14:textId="77777777" w:rsidR="0040300B" w:rsidRDefault="00BB2D44">
            <w:pPr>
              <w:jc w:val="right"/>
              <w:textAlignment w:val="bottom"/>
            </w:pPr>
            <w:r>
              <w:rPr>
                <w:rFonts w:ascii="Times New Roman" w:eastAsia="宋体" w:hAnsi="Times New Roman"/>
                <w:color w:val="000000"/>
                <w:sz w:val="20"/>
                <w:szCs w:val="20"/>
              </w:rPr>
              <w:t>64.9 </w:t>
            </w:r>
          </w:p>
        </w:tc>
        <w:tc>
          <w:tcPr>
            <w:tcW w:w="0" w:type="auto"/>
            <w:shd w:val="clear" w:color="auto" w:fill="FFFFFF"/>
            <w:tcMar>
              <w:top w:w="40" w:type="dxa"/>
              <w:left w:w="0" w:type="dxa"/>
              <w:bottom w:w="40" w:type="dxa"/>
              <w:right w:w="20" w:type="dxa"/>
            </w:tcMar>
            <w:vAlign w:val="bottom"/>
          </w:tcPr>
          <w:p w14:paraId="7B670ED8"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D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DB" w14:textId="77777777" w:rsidR="0040300B" w:rsidRDefault="00BB2D44">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D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D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0E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0EDF" w14:textId="77777777" w:rsidR="0040300B" w:rsidRDefault="00BB2D44">
            <w:pPr>
              <w:jc w:val="right"/>
              <w:textAlignment w:val="bottom"/>
            </w:pPr>
            <w:r>
              <w:rPr>
                <w:rFonts w:ascii="Times New Roman" w:eastAsia="宋体" w:hAnsi="Times New Roman"/>
                <w:color w:val="000000"/>
                <w:sz w:val="20"/>
                <w:szCs w:val="20"/>
              </w:rPr>
              <w:t>23,999 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0E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EE1"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E2" w14:textId="77777777" w:rsidR="0040300B" w:rsidRDefault="00BB2D44">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7B670EE3"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EE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EE5" w14:textId="77777777" w:rsidR="0040300B" w:rsidRDefault="00BB2D44">
            <w:pPr>
              <w:jc w:val="right"/>
              <w:textAlignment w:val="bottom"/>
            </w:pPr>
            <w:r>
              <w:rPr>
                <w:rFonts w:ascii="Times New Roman" w:eastAsia="宋体" w:hAnsi="Times New Roman"/>
                <w:color w:val="000000"/>
                <w:sz w:val="20"/>
                <w:szCs w:val="20"/>
              </w:rPr>
              <w:t>64.6 </w:t>
            </w:r>
          </w:p>
        </w:tc>
        <w:tc>
          <w:tcPr>
            <w:tcW w:w="0" w:type="auto"/>
            <w:shd w:val="clear" w:color="auto" w:fill="FFFFFF"/>
            <w:tcMar>
              <w:top w:w="40" w:type="dxa"/>
              <w:left w:w="0" w:type="dxa"/>
              <w:bottom w:w="40" w:type="dxa"/>
              <w:right w:w="20" w:type="dxa"/>
            </w:tcMar>
            <w:vAlign w:val="bottom"/>
          </w:tcPr>
          <w:p w14:paraId="7B670EE6" w14:textId="77777777" w:rsidR="0040300B" w:rsidRDefault="00BB2D44">
            <w:pPr>
              <w:jc w:val="right"/>
              <w:textAlignment w:val="bottom"/>
            </w:pPr>
            <w:r>
              <w:rPr>
                <w:rFonts w:ascii="Times New Roman" w:eastAsia="宋体" w:hAnsi="Times New Roman"/>
                <w:color w:val="000000"/>
                <w:sz w:val="20"/>
                <w:szCs w:val="20"/>
              </w:rPr>
              <w:t>%</w:t>
            </w:r>
          </w:p>
        </w:tc>
      </w:tr>
    </w:tbl>
    <w:p w14:paraId="7B670EE8" w14:textId="77777777" w:rsidR="0040300B" w:rsidRDefault="00BB2D44">
      <w:pPr>
        <w:spacing w:before="120"/>
      </w:pPr>
      <w:r>
        <w:rPr>
          <w:rFonts w:ascii="Times New Roman" w:eastAsia="宋体" w:hAnsi="Times New Roman"/>
          <w:b/>
          <w:bCs/>
          <w:color w:val="000000"/>
          <w:sz w:val="20"/>
          <w:szCs w:val="20"/>
        </w:rPr>
        <w:t>Product Gross Margin</w:t>
      </w:r>
    </w:p>
    <w:p w14:paraId="7B670EE9" w14:textId="77777777" w:rsidR="0040300B" w:rsidRDefault="00BB2D44">
      <w:pPr>
        <w:spacing w:before="120"/>
        <w:jc w:val="both"/>
      </w:pPr>
      <w:r>
        <w:rPr>
          <w:rFonts w:ascii="Times New Roman" w:eastAsia="宋体" w:hAnsi="Times New Roman"/>
          <w:color w:val="000000"/>
          <w:sz w:val="20"/>
          <w:szCs w:val="20"/>
        </w:rPr>
        <w:t>The following table summarizes the key factors that contrib</w:t>
      </w:r>
      <w:r>
        <w:rPr>
          <w:rFonts w:ascii="Times New Roman" w:eastAsia="宋体" w:hAnsi="Times New Roman"/>
          <w:color w:val="000000"/>
          <w:sz w:val="20"/>
          <w:szCs w:val="20"/>
        </w:rPr>
        <w:t xml:space="preserve">uted to the change in product gross margin percentage for the third quarter and first nine months of fiscal 2021, as compared with the corresponding periods in fiscal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23"/>
        <w:gridCol w:w="37"/>
        <w:gridCol w:w="36"/>
        <w:gridCol w:w="36"/>
        <w:gridCol w:w="36"/>
        <w:gridCol w:w="38"/>
        <w:gridCol w:w="833"/>
        <w:gridCol w:w="188"/>
        <w:gridCol w:w="37"/>
        <w:gridCol w:w="36"/>
        <w:gridCol w:w="36"/>
        <w:gridCol w:w="37"/>
        <w:gridCol w:w="836"/>
        <w:gridCol w:w="187"/>
      </w:tblGrid>
      <w:tr w:rsidR="0040300B" w14:paraId="7B670EF9" w14:textId="77777777">
        <w:trPr>
          <w:jc w:val="center"/>
        </w:trPr>
        <w:tc>
          <w:tcPr>
            <w:tcW w:w="50" w:type="pct"/>
            <w:shd w:val="clear" w:color="auto" w:fill="auto"/>
          </w:tcPr>
          <w:p w14:paraId="7B670EEA" w14:textId="77777777" w:rsidR="0040300B" w:rsidRDefault="0040300B">
            <w:pPr>
              <w:rPr>
                <w:rFonts w:ascii="宋体"/>
              </w:rPr>
            </w:pPr>
          </w:p>
        </w:tc>
        <w:tc>
          <w:tcPr>
            <w:tcW w:w="3599" w:type="pct"/>
            <w:shd w:val="clear" w:color="auto" w:fill="auto"/>
          </w:tcPr>
          <w:p w14:paraId="7B670EEB" w14:textId="77777777" w:rsidR="0040300B" w:rsidRDefault="0040300B">
            <w:pPr>
              <w:rPr>
                <w:rFonts w:ascii="宋体"/>
              </w:rPr>
            </w:pPr>
          </w:p>
        </w:tc>
        <w:tc>
          <w:tcPr>
            <w:tcW w:w="5" w:type="pct"/>
            <w:shd w:val="clear" w:color="auto" w:fill="auto"/>
          </w:tcPr>
          <w:p w14:paraId="7B670EEC" w14:textId="77777777" w:rsidR="0040300B" w:rsidRDefault="0040300B">
            <w:pPr>
              <w:rPr>
                <w:rFonts w:ascii="宋体"/>
              </w:rPr>
            </w:pPr>
          </w:p>
        </w:tc>
        <w:tc>
          <w:tcPr>
            <w:tcW w:w="5" w:type="pct"/>
            <w:shd w:val="clear" w:color="auto" w:fill="auto"/>
          </w:tcPr>
          <w:p w14:paraId="7B670EED" w14:textId="77777777" w:rsidR="0040300B" w:rsidRDefault="0040300B">
            <w:pPr>
              <w:rPr>
                <w:rFonts w:ascii="宋体"/>
              </w:rPr>
            </w:pPr>
          </w:p>
        </w:tc>
        <w:tc>
          <w:tcPr>
            <w:tcW w:w="26" w:type="pct"/>
            <w:shd w:val="clear" w:color="auto" w:fill="auto"/>
          </w:tcPr>
          <w:p w14:paraId="7B670EEE" w14:textId="77777777" w:rsidR="0040300B" w:rsidRDefault="0040300B">
            <w:pPr>
              <w:rPr>
                <w:rFonts w:ascii="宋体"/>
              </w:rPr>
            </w:pPr>
          </w:p>
        </w:tc>
        <w:tc>
          <w:tcPr>
            <w:tcW w:w="5" w:type="pct"/>
            <w:shd w:val="clear" w:color="auto" w:fill="auto"/>
          </w:tcPr>
          <w:p w14:paraId="7B670EEF" w14:textId="77777777" w:rsidR="0040300B" w:rsidRDefault="0040300B">
            <w:pPr>
              <w:rPr>
                <w:rFonts w:ascii="宋体"/>
              </w:rPr>
            </w:pPr>
          </w:p>
        </w:tc>
        <w:tc>
          <w:tcPr>
            <w:tcW w:w="50" w:type="pct"/>
            <w:shd w:val="clear" w:color="auto" w:fill="auto"/>
          </w:tcPr>
          <w:p w14:paraId="7B670EF0" w14:textId="77777777" w:rsidR="0040300B" w:rsidRDefault="0040300B">
            <w:pPr>
              <w:rPr>
                <w:rFonts w:ascii="宋体"/>
              </w:rPr>
            </w:pPr>
          </w:p>
        </w:tc>
        <w:tc>
          <w:tcPr>
            <w:tcW w:w="580" w:type="pct"/>
            <w:shd w:val="clear" w:color="auto" w:fill="auto"/>
          </w:tcPr>
          <w:p w14:paraId="7B670EF1" w14:textId="77777777" w:rsidR="0040300B" w:rsidRDefault="0040300B">
            <w:pPr>
              <w:rPr>
                <w:rFonts w:ascii="宋体"/>
              </w:rPr>
            </w:pPr>
          </w:p>
        </w:tc>
        <w:tc>
          <w:tcPr>
            <w:tcW w:w="5" w:type="pct"/>
            <w:shd w:val="clear" w:color="auto" w:fill="auto"/>
          </w:tcPr>
          <w:p w14:paraId="7B670EF2" w14:textId="77777777" w:rsidR="0040300B" w:rsidRDefault="0040300B">
            <w:pPr>
              <w:rPr>
                <w:rFonts w:ascii="宋体"/>
              </w:rPr>
            </w:pPr>
          </w:p>
        </w:tc>
        <w:tc>
          <w:tcPr>
            <w:tcW w:w="5" w:type="pct"/>
            <w:shd w:val="clear" w:color="auto" w:fill="auto"/>
          </w:tcPr>
          <w:p w14:paraId="7B670EF3" w14:textId="77777777" w:rsidR="0040300B" w:rsidRDefault="0040300B">
            <w:pPr>
              <w:rPr>
                <w:rFonts w:ascii="宋体"/>
              </w:rPr>
            </w:pPr>
          </w:p>
        </w:tc>
        <w:tc>
          <w:tcPr>
            <w:tcW w:w="26" w:type="pct"/>
            <w:shd w:val="clear" w:color="auto" w:fill="auto"/>
          </w:tcPr>
          <w:p w14:paraId="7B670EF4" w14:textId="77777777" w:rsidR="0040300B" w:rsidRDefault="0040300B">
            <w:pPr>
              <w:rPr>
                <w:rFonts w:ascii="宋体"/>
              </w:rPr>
            </w:pPr>
          </w:p>
        </w:tc>
        <w:tc>
          <w:tcPr>
            <w:tcW w:w="5" w:type="pct"/>
            <w:shd w:val="clear" w:color="auto" w:fill="auto"/>
          </w:tcPr>
          <w:p w14:paraId="7B670EF5" w14:textId="77777777" w:rsidR="0040300B" w:rsidRDefault="0040300B">
            <w:pPr>
              <w:rPr>
                <w:rFonts w:ascii="宋体"/>
              </w:rPr>
            </w:pPr>
          </w:p>
        </w:tc>
        <w:tc>
          <w:tcPr>
            <w:tcW w:w="50" w:type="pct"/>
            <w:shd w:val="clear" w:color="auto" w:fill="auto"/>
          </w:tcPr>
          <w:p w14:paraId="7B670EF6" w14:textId="77777777" w:rsidR="0040300B" w:rsidRDefault="0040300B">
            <w:pPr>
              <w:rPr>
                <w:rFonts w:ascii="宋体"/>
              </w:rPr>
            </w:pPr>
          </w:p>
        </w:tc>
        <w:tc>
          <w:tcPr>
            <w:tcW w:w="581" w:type="pct"/>
            <w:shd w:val="clear" w:color="auto" w:fill="auto"/>
          </w:tcPr>
          <w:p w14:paraId="7B670EF7" w14:textId="77777777" w:rsidR="0040300B" w:rsidRDefault="0040300B">
            <w:pPr>
              <w:rPr>
                <w:rFonts w:ascii="宋体"/>
              </w:rPr>
            </w:pPr>
          </w:p>
        </w:tc>
        <w:tc>
          <w:tcPr>
            <w:tcW w:w="5" w:type="pct"/>
            <w:shd w:val="clear" w:color="auto" w:fill="auto"/>
          </w:tcPr>
          <w:p w14:paraId="7B670EF8" w14:textId="77777777" w:rsidR="0040300B" w:rsidRDefault="0040300B">
            <w:pPr>
              <w:rPr>
                <w:rFonts w:ascii="宋体"/>
              </w:rPr>
            </w:pPr>
          </w:p>
        </w:tc>
      </w:tr>
      <w:tr w:rsidR="0040300B" w14:paraId="7B670EFD" w14:textId="77777777">
        <w:trPr>
          <w:jc w:val="center"/>
        </w:trPr>
        <w:tc>
          <w:tcPr>
            <w:tcW w:w="0" w:type="auto"/>
            <w:gridSpan w:val="3"/>
            <w:shd w:val="clear" w:color="auto" w:fill="auto"/>
            <w:tcMar>
              <w:top w:w="40" w:type="dxa"/>
              <w:left w:w="20" w:type="dxa"/>
              <w:bottom w:w="40" w:type="dxa"/>
              <w:right w:w="20" w:type="dxa"/>
            </w:tcMar>
            <w:vAlign w:val="bottom"/>
          </w:tcPr>
          <w:p w14:paraId="7B670EFA"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0EFB"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0EFC" w14:textId="77777777" w:rsidR="0040300B" w:rsidRDefault="00BB2D44">
            <w:pPr>
              <w:jc w:val="center"/>
              <w:textAlignment w:val="bottom"/>
            </w:pPr>
            <w:r>
              <w:rPr>
                <w:rFonts w:ascii="Times New Roman" w:eastAsia="宋体" w:hAnsi="Times New Roman"/>
                <w:color w:val="000000"/>
                <w:sz w:val="18"/>
                <w:szCs w:val="18"/>
              </w:rPr>
              <w:t>Product Gross Margin Percentage</w:t>
            </w:r>
          </w:p>
        </w:tc>
      </w:tr>
      <w:tr w:rsidR="0040300B" w14:paraId="7B670F03" w14:textId="77777777">
        <w:trPr>
          <w:jc w:val="center"/>
        </w:trPr>
        <w:tc>
          <w:tcPr>
            <w:tcW w:w="0" w:type="auto"/>
            <w:gridSpan w:val="3"/>
            <w:shd w:val="clear" w:color="auto" w:fill="auto"/>
            <w:tcMar>
              <w:top w:w="0" w:type="dxa"/>
              <w:left w:w="20" w:type="dxa"/>
              <w:bottom w:w="0" w:type="dxa"/>
              <w:right w:w="20" w:type="dxa"/>
            </w:tcMar>
          </w:tcPr>
          <w:p w14:paraId="7B670EF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0EF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00"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tcBorders>
              <w:top w:val="single" w:sz="8" w:space="0" w:color="000000"/>
            </w:tcBorders>
            <w:shd w:val="clear" w:color="auto" w:fill="auto"/>
            <w:tcMar>
              <w:top w:w="0" w:type="dxa"/>
              <w:left w:w="20" w:type="dxa"/>
              <w:bottom w:w="0" w:type="dxa"/>
              <w:right w:w="20" w:type="dxa"/>
            </w:tcMar>
          </w:tcPr>
          <w:p w14:paraId="7B670F0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02"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F0B" w14:textId="77777777">
        <w:trPr>
          <w:jc w:val="center"/>
        </w:trPr>
        <w:tc>
          <w:tcPr>
            <w:tcW w:w="0" w:type="auto"/>
            <w:gridSpan w:val="3"/>
            <w:shd w:val="clear" w:color="auto" w:fill="CCEEFF"/>
            <w:tcMar>
              <w:top w:w="40" w:type="dxa"/>
              <w:left w:w="20" w:type="dxa"/>
              <w:bottom w:w="40" w:type="dxa"/>
              <w:right w:w="20" w:type="dxa"/>
            </w:tcMar>
            <w:vAlign w:val="bottom"/>
          </w:tcPr>
          <w:p w14:paraId="7B670F04" w14:textId="77777777" w:rsidR="0040300B" w:rsidRDefault="00BB2D44">
            <w:pPr>
              <w:textAlignment w:val="bottom"/>
            </w:pPr>
            <w:r>
              <w:rPr>
                <w:rFonts w:ascii="Times New Roman" w:eastAsia="宋体" w:hAnsi="Times New Roman"/>
                <w:b/>
                <w:bCs/>
                <w:color w:val="000000"/>
                <w:sz w:val="20"/>
                <w:szCs w:val="20"/>
              </w:rPr>
              <w:t>Fiscal 2020</w:t>
            </w:r>
          </w:p>
        </w:tc>
        <w:tc>
          <w:tcPr>
            <w:tcW w:w="0" w:type="auto"/>
            <w:gridSpan w:val="3"/>
            <w:shd w:val="clear" w:color="auto" w:fill="CCEEFF"/>
            <w:tcMar>
              <w:top w:w="0" w:type="dxa"/>
              <w:left w:w="20" w:type="dxa"/>
              <w:bottom w:w="0" w:type="dxa"/>
              <w:right w:w="20" w:type="dxa"/>
            </w:tcMar>
          </w:tcPr>
          <w:p w14:paraId="7B670F05"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F06" w14:textId="77777777" w:rsidR="0040300B" w:rsidRDefault="00BB2D44">
            <w:pPr>
              <w:jc w:val="right"/>
              <w:textAlignment w:val="bottom"/>
            </w:pPr>
            <w:r>
              <w:rPr>
                <w:rFonts w:ascii="Times New Roman" w:eastAsia="宋体" w:hAnsi="Times New Roman"/>
                <w:color w:val="000000"/>
                <w:sz w:val="20"/>
                <w:szCs w:val="20"/>
              </w:rPr>
              <w:t>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F0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08"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0F09" w14:textId="77777777" w:rsidR="0040300B" w:rsidRDefault="00BB2D44">
            <w:pPr>
              <w:jc w:val="right"/>
              <w:textAlignment w:val="bottom"/>
            </w:pPr>
            <w:r>
              <w:rPr>
                <w:rFonts w:ascii="Times New Roman" w:eastAsia="宋体" w:hAnsi="Times New Roman"/>
                <w:color w:val="000000"/>
                <w:sz w:val="20"/>
                <w:szCs w:val="20"/>
              </w:rPr>
              <w:t>64.0 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0F0A"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13" w14:textId="77777777">
        <w:trPr>
          <w:jc w:val="center"/>
        </w:trPr>
        <w:tc>
          <w:tcPr>
            <w:tcW w:w="0" w:type="auto"/>
            <w:gridSpan w:val="3"/>
            <w:shd w:val="clear" w:color="auto" w:fill="FFFFFF"/>
            <w:tcMar>
              <w:top w:w="40" w:type="dxa"/>
              <w:left w:w="20" w:type="dxa"/>
              <w:bottom w:w="40" w:type="dxa"/>
              <w:right w:w="20" w:type="dxa"/>
            </w:tcMar>
            <w:vAlign w:val="bottom"/>
          </w:tcPr>
          <w:p w14:paraId="7B670F0C" w14:textId="77777777" w:rsidR="0040300B" w:rsidRDefault="00BB2D44">
            <w:pPr>
              <w:textAlignment w:val="bottom"/>
            </w:pPr>
            <w:r>
              <w:rPr>
                <w:rFonts w:ascii="Times New Roman" w:eastAsia="宋体" w:hAnsi="Times New Roman"/>
                <w:color w:val="000000"/>
                <w:sz w:val="20"/>
                <w:szCs w:val="20"/>
              </w:rPr>
              <w:t xml:space="preserve">Productivity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tcPr>
          <w:p w14:paraId="7B670F0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0E" w14:textId="77777777" w:rsidR="0040300B" w:rsidRDefault="00BB2D44">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7B670F0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1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11" w14:textId="77777777" w:rsidR="0040300B" w:rsidRDefault="00BB2D44">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7B670F12"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1B" w14:textId="77777777">
        <w:trPr>
          <w:jc w:val="center"/>
        </w:trPr>
        <w:tc>
          <w:tcPr>
            <w:tcW w:w="0" w:type="auto"/>
            <w:gridSpan w:val="3"/>
            <w:shd w:val="clear" w:color="auto" w:fill="CCEEFF"/>
            <w:tcMar>
              <w:top w:w="40" w:type="dxa"/>
              <w:left w:w="20" w:type="dxa"/>
              <w:bottom w:w="40" w:type="dxa"/>
              <w:right w:w="20" w:type="dxa"/>
            </w:tcMar>
            <w:vAlign w:val="bottom"/>
          </w:tcPr>
          <w:p w14:paraId="7B670F14" w14:textId="77777777" w:rsidR="0040300B" w:rsidRDefault="00BB2D44">
            <w:pPr>
              <w:textAlignment w:val="bottom"/>
            </w:pPr>
            <w:r>
              <w:rPr>
                <w:rFonts w:ascii="Times New Roman" w:eastAsia="宋体" w:hAnsi="Times New Roman"/>
                <w:color w:val="000000"/>
                <w:sz w:val="20"/>
                <w:szCs w:val="20"/>
              </w:rPr>
              <w:t>Product pricing</w:t>
            </w:r>
          </w:p>
        </w:tc>
        <w:tc>
          <w:tcPr>
            <w:tcW w:w="0" w:type="auto"/>
            <w:gridSpan w:val="3"/>
            <w:shd w:val="clear" w:color="auto" w:fill="CCEEFF"/>
            <w:tcMar>
              <w:top w:w="0" w:type="dxa"/>
              <w:left w:w="20" w:type="dxa"/>
              <w:bottom w:w="0" w:type="dxa"/>
              <w:right w:w="20" w:type="dxa"/>
            </w:tcMar>
          </w:tcPr>
          <w:p w14:paraId="7B670F1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16" w14:textId="77777777" w:rsidR="0040300B" w:rsidRDefault="00BB2D44">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7B670F1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1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19" w14:textId="77777777" w:rsidR="0040300B" w:rsidRDefault="00BB2D44">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7B670F1A"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23" w14:textId="77777777">
        <w:trPr>
          <w:jc w:val="center"/>
        </w:trPr>
        <w:tc>
          <w:tcPr>
            <w:tcW w:w="0" w:type="auto"/>
            <w:gridSpan w:val="3"/>
            <w:shd w:val="clear" w:color="auto" w:fill="FFFFFF"/>
            <w:tcMar>
              <w:top w:w="40" w:type="dxa"/>
              <w:left w:w="20" w:type="dxa"/>
              <w:bottom w:w="40" w:type="dxa"/>
              <w:right w:w="20" w:type="dxa"/>
            </w:tcMar>
            <w:vAlign w:val="bottom"/>
          </w:tcPr>
          <w:p w14:paraId="7B670F1C" w14:textId="77777777" w:rsidR="0040300B" w:rsidRDefault="00BB2D44">
            <w:pPr>
              <w:textAlignment w:val="bottom"/>
            </w:pPr>
            <w:r>
              <w:rPr>
                <w:rFonts w:ascii="Times New Roman" w:eastAsia="宋体" w:hAnsi="Times New Roman"/>
                <w:color w:val="000000"/>
                <w:sz w:val="20"/>
                <w:szCs w:val="20"/>
              </w:rPr>
              <w:t>Mix of products sold</w:t>
            </w:r>
          </w:p>
        </w:tc>
        <w:tc>
          <w:tcPr>
            <w:tcW w:w="0" w:type="auto"/>
            <w:gridSpan w:val="3"/>
            <w:shd w:val="clear" w:color="auto" w:fill="FFFFFF"/>
            <w:tcMar>
              <w:top w:w="0" w:type="dxa"/>
              <w:left w:w="20" w:type="dxa"/>
              <w:bottom w:w="0" w:type="dxa"/>
              <w:right w:w="20" w:type="dxa"/>
            </w:tcMar>
          </w:tcPr>
          <w:p w14:paraId="7B670F1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1E" w14:textId="77777777" w:rsidR="0040300B" w:rsidRDefault="00BB2D44">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7B670F1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2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21" w14:textId="77777777" w:rsidR="0040300B" w:rsidRDefault="00BB2D4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B670F22"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2B" w14:textId="77777777">
        <w:trPr>
          <w:jc w:val="center"/>
        </w:trPr>
        <w:tc>
          <w:tcPr>
            <w:tcW w:w="0" w:type="auto"/>
            <w:gridSpan w:val="3"/>
            <w:shd w:val="clear" w:color="auto" w:fill="CCEEFF"/>
            <w:tcMar>
              <w:top w:w="40" w:type="dxa"/>
              <w:left w:w="20" w:type="dxa"/>
              <w:bottom w:w="40" w:type="dxa"/>
              <w:right w:w="20" w:type="dxa"/>
            </w:tcMar>
            <w:vAlign w:val="bottom"/>
          </w:tcPr>
          <w:p w14:paraId="7B670F24" w14:textId="77777777" w:rsidR="0040300B" w:rsidRDefault="00BB2D44">
            <w:pPr>
              <w:textAlignment w:val="bottom"/>
            </w:pPr>
            <w:r>
              <w:rPr>
                <w:rFonts w:ascii="Times New Roman" w:eastAsia="宋体" w:hAnsi="Times New Roman"/>
                <w:color w:val="000000"/>
                <w:sz w:val="20"/>
                <w:szCs w:val="20"/>
              </w:rPr>
              <w:t>Legal and indemnification charge</w:t>
            </w:r>
          </w:p>
        </w:tc>
        <w:tc>
          <w:tcPr>
            <w:tcW w:w="0" w:type="auto"/>
            <w:gridSpan w:val="3"/>
            <w:shd w:val="clear" w:color="auto" w:fill="CCEEFF"/>
            <w:tcMar>
              <w:top w:w="0" w:type="dxa"/>
              <w:left w:w="20" w:type="dxa"/>
              <w:bottom w:w="0" w:type="dxa"/>
              <w:right w:w="20" w:type="dxa"/>
            </w:tcMar>
          </w:tcPr>
          <w:p w14:paraId="7B670F2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2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0F2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2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29" w14:textId="77777777" w:rsidR="0040300B" w:rsidRDefault="00BB2D44">
            <w:pPr>
              <w:jc w:val="right"/>
              <w:textAlignment w:val="bottom"/>
            </w:pPr>
            <w:r>
              <w:rPr>
                <w:rFonts w:ascii="Times New Roman" w:eastAsia="宋体" w:hAnsi="Times New Roman"/>
                <w:color w:val="000000"/>
                <w:sz w:val="20"/>
                <w:szCs w:val="20"/>
              </w:rPr>
              <w:t>(0.1)</w:t>
            </w:r>
          </w:p>
        </w:tc>
        <w:tc>
          <w:tcPr>
            <w:tcW w:w="0" w:type="auto"/>
            <w:shd w:val="clear" w:color="auto" w:fill="CCEEFF"/>
            <w:tcMar>
              <w:top w:w="40" w:type="dxa"/>
              <w:left w:w="0" w:type="dxa"/>
              <w:bottom w:w="40" w:type="dxa"/>
              <w:right w:w="20" w:type="dxa"/>
            </w:tcMar>
            <w:vAlign w:val="bottom"/>
          </w:tcPr>
          <w:p w14:paraId="7B670F2A"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33" w14:textId="77777777">
        <w:trPr>
          <w:jc w:val="center"/>
        </w:trPr>
        <w:tc>
          <w:tcPr>
            <w:tcW w:w="0" w:type="auto"/>
            <w:gridSpan w:val="3"/>
            <w:shd w:val="clear" w:color="auto" w:fill="FFFFFF"/>
            <w:tcMar>
              <w:top w:w="40" w:type="dxa"/>
              <w:left w:w="20" w:type="dxa"/>
              <w:bottom w:w="40" w:type="dxa"/>
              <w:right w:w="20" w:type="dxa"/>
            </w:tcMar>
            <w:vAlign w:val="bottom"/>
          </w:tcPr>
          <w:p w14:paraId="7B670F2C" w14:textId="77777777" w:rsidR="0040300B" w:rsidRDefault="00BB2D44">
            <w:pPr>
              <w:textAlignment w:val="bottom"/>
            </w:pPr>
            <w:r>
              <w:rPr>
                <w:rFonts w:ascii="Times New Roman" w:eastAsia="宋体" w:hAnsi="Times New Roman"/>
                <w:color w:val="000000"/>
                <w:sz w:val="20"/>
                <w:szCs w:val="20"/>
              </w:rPr>
              <w:t>Others</w:t>
            </w:r>
          </w:p>
        </w:tc>
        <w:tc>
          <w:tcPr>
            <w:tcW w:w="0" w:type="auto"/>
            <w:gridSpan w:val="3"/>
            <w:shd w:val="clear" w:color="auto" w:fill="FFFFFF"/>
            <w:tcMar>
              <w:top w:w="0" w:type="dxa"/>
              <w:left w:w="20" w:type="dxa"/>
              <w:bottom w:w="0" w:type="dxa"/>
              <w:right w:w="20" w:type="dxa"/>
            </w:tcMar>
          </w:tcPr>
          <w:p w14:paraId="7B670F2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2E" w14:textId="77777777" w:rsidR="0040300B" w:rsidRDefault="00BB2D44">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7B670F2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3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31" w14:textId="77777777" w:rsidR="0040300B" w:rsidRDefault="00BB2D44">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7B670F32"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3B" w14:textId="77777777">
        <w:trPr>
          <w:jc w:val="center"/>
        </w:trPr>
        <w:tc>
          <w:tcPr>
            <w:tcW w:w="0" w:type="auto"/>
            <w:gridSpan w:val="3"/>
            <w:shd w:val="clear" w:color="auto" w:fill="CCEEFF"/>
            <w:tcMar>
              <w:top w:w="40" w:type="dxa"/>
              <w:left w:w="20" w:type="dxa"/>
              <w:bottom w:w="40" w:type="dxa"/>
              <w:right w:w="20" w:type="dxa"/>
            </w:tcMar>
            <w:vAlign w:val="bottom"/>
          </w:tcPr>
          <w:p w14:paraId="7B670F34" w14:textId="77777777" w:rsidR="0040300B" w:rsidRDefault="00BB2D44">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tcPr>
          <w:p w14:paraId="7B670F35" w14:textId="77777777" w:rsidR="0040300B" w:rsidRDefault="0040300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F36" w14:textId="77777777" w:rsidR="0040300B" w:rsidRDefault="00BB2D44">
            <w:pPr>
              <w:jc w:val="right"/>
              <w:textAlignment w:val="bottom"/>
            </w:pPr>
            <w:r>
              <w:rPr>
                <w:rFonts w:ascii="Times New Roman" w:eastAsia="宋体" w:hAnsi="Times New Roman"/>
                <w:color w:val="000000"/>
                <w:sz w:val="20"/>
                <w:szCs w:val="20"/>
              </w:rPr>
              <w:t>62.6 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F37"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38" w14:textId="77777777" w:rsidR="0040300B" w:rsidRDefault="0040300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0F39" w14:textId="77777777" w:rsidR="0040300B" w:rsidRDefault="00BB2D44">
            <w:pPr>
              <w:jc w:val="right"/>
              <w:textAlignment w:val="bottom"/>
            </w:pPr>
            <w:r>
              <w:rPr>
                <w:rFonts w:ascii="Times New Roman" w:eastAsia="宋体" w:hAnsi="Times New Roman"/>
                <w:color w:val="000000"/>
                <w:sz w:val="20"/>
                <w:szCs w:val="20"/>
              </w:rPr>
              <w:t>63.2 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0F3A" w14:textId="77777777" w:rsidR="0040300B" w:rsidRDefault="00BB2D44">
            <w:pPr>
              <w:jc w:val="right"/>
              <w:textAlignment w:val="bottom"/>
            </w:pPr>
            <w:r>
              <w:rPr>
                <w:rFonts w:ascii="Times New Roman" w:eastAsia="宋体" w:hAnsi="Times New Roman"/>
                <w:color w:val="000000"/>
                <w:sz w:val="20"/>
                <w:szCs w:val="20"/>
              </w:rPr>
              <w:t>%</w:t>
            </w:r>
          </w:p>
        </w:tc>
      </w:tr>
    </w:tbl>
    <w:p w14:paraId="7B670F3C" w14:textId="77777777" w:rsidR="0040300B" w:rsidRDefault="00BB2D44">
      <w:pPr>
        <w:spacing w:before="120"/>
        <w:jc w:val="both"/>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Productivity includes overall manufacturing-related costs, such as component costs, warranty expense, provision for inventory, freight, logistics, shipment volume, and other items not categorized elsewhere.</w:t>
      </w:r>
    </w:p>
    <w:p w14:paraId="7B670F3D" w14:textId="77777777" w:rsidR="0040300B" w:rsidRDefault="00BB2D44">
      <w:pPr>
        <w:spacing w:before="120"/>
        <w:jc w:val="both"/>
      </w:pPr>
      <w:r>
        <w:rPr>
          <w:rFonts w:ascii="Times New Roman" w:eastAsia="宋体" w:hAnsi="Times New Roman"/>
          <w:i/>
          <w:iCs/>
          <w:color w:val="000000"/>
          <w:sz w:val="20"/>
          <w:szCs w:val="20"/>
          <w:u w:val="single"/>
        </w:rPr>
        <w:t xml:space="preserve">Three Months Ended May 1, </w:t>
      </w:r>
      <w:r>
        <w:rPr>
          <w:rFonts w:ascii="Times New Roman" w:eastAsia="宋体" w:hAnsi="Times New Roman"/>
          <w:i/>
          <w:iCs/>
          <w:color w:val="000000"/>
          <w:sz w:val="20"/>
          <w:szCs w:val="20"/>
          <w:u w:val="single"/>
        </w:rPr>
        <w:t>2021 Compared with Three Months Ended April 25, 2020</w:t>
      </w:r>
    </w:p>
    <w:p w14:paraId="7B670F3E" w14:textId="77777777" w:rsidR="0040300B" w:rsidRDefault="00BB2D44">
      <w:pPr>
        <w:spacing w:before="120"/>
        <w:jc w:val="both"/>
      </w:pPr>
      <w:r>
        <w:rPr>
          <w:rFonts w:ascii="Times New Roman" w:eastAsia="宋体" w:hAnsi="Times New Roman"/>
          <w:color w:val="000000"/>
          <w:sz w:val="20"/>
          <w:szCs w:val="20"/>
        </w:rPr>
        <w:t>Product gross margin decreased by 1.1 percentage points largely driven by ongoing costs related to supply chain constraints. The effect of pricing erosion was moderate, partially offset by favorable prod</w:t>
      </w:r>
      <w:r>
        <w:rPr>
          <w:rFonts w:ascii="Times New Roman" w:eastAsia="宋体" w:hAnsi="Times New Roman"/>
          <w:color w:val="000000"/>
          <w:sz w:val="20"/>
          <w:szCs w:val="20"/>
        </w:rPr>
        <w:t xml:space="preserve">uct mix. We also experienced pricing erosion that was driven by typical market factors and impacted each of our geographic segments. The favorable mix was driven by changes in the proportion of products sold from each of our product categories as compared </w:t>
      </w:r>
      <w:r>
        <w:rPr>
          <w:rFonts w:ascii="Times New Roman" w:eastAsia="宋体" w:hAnsi="Times New Roman"/>
          <w:color w:val="000000"/>
          <w:sz w:val="20"/>
          <w:szCs w:val="20"/>
        </w:rPr>
        <w:t xml:space="preserve">to the corresponding period of fiscal 2020. </w:t>
      </w:r>
    </w:p>
    <w:p w14:paraId="7B670F3F" w14:textId="77777777" w:rsidR="0040300B" w:rsidRDefault="00BB2D44">
      <w:pPr>
        <w:spacing w:before="120"/>
        <w:jc w:val="both"/>
      </w:pPr>
      <w:r>
        <w:rPr>
          <w:rFonts w:ascii="Times New Roman" w:eastAsia="宋体" w:hAnsi="Times New Roman"/>
          <w:color w:val="000000"/>
          <w:sz w:val="20"/>
          <w:szCs w:val="20"/>
        </w:rPr>
        <w:t xml:space="preserve">During the third quarter of 2021, we continued to manage through supply chain challenges seen industry wide due to component shortages, caused in part by the COVID-19 pandemic. These challenges resulted in </w:t>
      </w:r>
      <w:r>
        <w:rPr>
          <w:rFonts w:ascii="Times New Roman" w:eastAsia="宋体" w:hAnsi="Times New Roman"/>
          <w:color w:val="000000"/>
          <w:sz w:val="20"/>
          <w:szCs w:val="20"/>
        </w:rPr>
        <w:t>increased costs (i.e. component costs, broker fees, expedited freight and overtime) which had a negative impact on product gross margin, and extended lead times to us and our customers. We are partnering with several of our key suppliers utilizing our volu</w:t>
      </w:r>
      <w:r>
        <w:rPr>
          <w:rFonts w:ascii="Times New Roman" w:eastAsia="宋体" w:hAnsi="Times New Roman"/>
          <w:color w:val="000000"/>
          <w:sz w:val="20"/>
          <w:szCs w:val="20"/>
        </w:rPr>
        <w:t>me purchasing and extending supply coverage, including revising supplier arrangements, to address supply chain challenges. We believe these actions will enable us to optimize our access to critical components, including semiconductors. We expect these supp</w:t>
      </w:r>
      <w:r>
        <w:rPr>
          <w:rFonts w:ascii="Times New Roman" w:eastAsia="宋体" w:hAnsi="Times New Roman"/>
          <w:color w:val="000000"/>
          <w:sz w:val="20"/>
          <w:szCs w:val="20"/>
        </w:rPr>
        <w:t>ly chain challenges to continue through at least the end of calendar year 2021.</w:t>
      </w:r>
    </w:p>
    <w:p w14:paraId="7B670F40"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0F41" w14:textId="77777777" w:rsidR="0040300B" w:rsidRDefault="00BB2D44">
      <w:pPr>
        <w:spacing w:before="120"/>
        <w:jc w:val="both"/>
      </w:pPr>
      <w:r>
        <w:rPr>
          <w:rFonts w:ascii="Times New Roman" w:eastAsia="宋体" w:hAnsi="Times New Roman"/>
          <w:color w:val="000000"/>
          <w:sz w:val="20"/>
          <w:szCs w:val="20"/>
        </w:rPr>
        <w:t>Product gross margin decreased by 0.8 percentage points driven by pricing erosion, partially offset</w:t>
      </w:r>
      <w:r>
        <w:rPr>
          <w:rFonts w:ascii="Times New Roman" w:eastAsia="宋体" w:hAnsi="Times New Roman"/>
          <w:color w:val="000000"/>
          <w:sz w:val="20"/>
          <w:szCs w:val="20"/>
        </w:rPr>
        <w:t xml:space="preserve"> by favorable impacts from product mix. In the first nine months of fiscal 2021, as a result of the COVID-19 pandemic, we incurred additional logistics costs, such as freight, which had a negative impact on product gross margin.</w:t>
      </w:r>
    </w:p>
    <w:p w14:paraId="7B670F42" w14:textId="77777777" w:rsidR="0040300B" w:rsidRDefault="00BB2D44">
      <w:pPr>
        <w:spacing w:before="120"/>
        <w:jc w:val="both"/>
      </w:pPr>
      <w:r>
        <w:rPr>
          <w:rFonts w:ascii="Times New Roman" w:eastAsia="宋体" w:hAnsi="Times New Roman"/>
          <w:b/>
          <w:bCs/>
          <w:color w:val="000000"/>
          <w:sz w:val="20"/>
          <w:szCs w:val="20"/>
        </w:rPr>
        <w:t>Service Gross Margin</w:t>
      </w:r>
    </w:p>
    <w:p w14:paraId="7B670F43" w14:textId="77777777" w:rsidR="0040300B" w:rsidRDefault="00BB2D44">
      <w:pPr>
        <w:spacing w:before="120"/>
        <w:jc w:val="both"/>
      </w:pPr>
      <w:r>
        <w:rPr>
          <w:rFonts w:ascii="Times New Roman" w:eastAsia="宋体" w:hAnsi="Times New Roman"/>
          <w:i/>
          <w:iCs/>
          <w:color w:val="000000"/>
          <w:sz w:val="20"/>
          <w:szCs w:val="20"/>
          <w:u w:val="single"/>
        </w:rPr>
        <w:t xml:space="preserve">Three </w:t>
      </w:r>
      <w:r>
        <w:rPr>
          <w:rFonts w:ascii="Times New Roman" w:eastAsia="宋体" w:hAnsi="Times New Roman"/>
          <w:i/>
          <w:iCs/>
          <w:color w:val="000000"/>
          <w:sz w:val="20"/>
          <w:szCs w:val="20"/>
          <w:u w:val="single"/>
        </w:rPr>
        <w:t>Months Ended May 1, 2021 Compared with Three Months Ended April 25, 2020</w:t>
      </w:r>
    </w:p>
    <w:p w14:paraId="7B670F44" w14:textId="77777777" w:rsidR="0040300B" w:rsidRDefault="00BB2D44">
      <w:pPr>
        <w:spacing w:before="120"/>
        <w:jc w:val="both"/>
      </w:pPr>
      <w:r>
        <w:rPr>
          <w:rFonts w:ascii="Times New Roman" w:eastAsia="宋体" w:hAnsi="Times New Roman"/>
          <w:color w:val="000000"/>
          <w:sz w:val="20"/>
          <w:szCs w:val="20"/>
        </w:rPr>
        <w:t>Our service gross margin percentage decreased by 0.3 percentage points primarily due to higher headcount-related and delivery costs, partially offset by higher sales volume and to a l</w:t>
      </w:r>
      <w:r>
        <w:rPr>
          <w:rFonts w:ascii="Times New Roman" w:eastAsia="宋体" w:hAnsi="Times New Roman"/>
          <w:color w:val="000000"/>
          <w:sz w:val="20"/>
          <w:szCs w:val="20"/>
        </w:rPr>
        <w:t>esser extent, favorable mix of service offerings.</w:t>
      </w:r>
    </w:p>
    <w:p w14:paraId="7B670F45" w14:textId="77777777" w:rsidR="0040300B" w:rsidRDefault="00BB2D44">
      <w:pPr>
        <w:jc w:val="center"/>
      </w:pPr>
      <w:r>
        <w:rPr>
          <w:rFonts w:ascii="Times New Roman" w:eastAsia="宋体" w:hAnsi="Times New Roman"/>
          <w:color w:val="000000"/>
          <w:sz w:val="20"/>
          <w:szCs w:val="20"/>
        </w:rPr>
        <w:t>54</w:t>
      </w:r>
    </w:p>
    <w:p w14:paraId="7B670F46" w14:textId="77777777" w:rsidR="0040300B" w:rsidRDefault="00BB2D44">
      <w:r>
        <w:pict w14:anchorId="7B671C46">
          <v:rect id="_x0000_i1078" style="width:415.3pt;height:1.5pt" o:hralign="center" o:hrstd="t" o:hr="t" fillcolor="#a0a0a0" stroked="f"/>
        </w:pict>
      </w:r>
    </w:p>
    <w:p w14:paraId="7B670F47" w14:textId="77777777" w:rsidR="0040300B" w:rsidRDefault="00BB2D44">
      <w:hyperlink r:id="rId100"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0F48" w14:textId="77777777" w:rsidR="0040300B" w:rsidRDefault="00BB2D44">
      <w:pPr>
        <w:jc w:val="center"/>
      </w:pPr>
      <w:r>
        <w:rPr>
          <w:rFonts w:ascii="Times New Roman" w:eastAsia="宋体" w:hAnsi="Times New Roman"/>
          <w:b/>
          <w:bCs/>
          <w:color w:val="000000"/>
          <w:sz w:val="18"/>
          <w:szCs w:val="18"/>
        </w:rPr>
        <w:t>CISCO SYSTEMS, INC.</w:t>
      </w:r>
    </w:p>
    <w:p w14:paraId="7B670F49"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7B670F4A" w14:textId="77777777" w:rsidR="0040300B" w:rsidRDefault="0040300B">
      <w:pPr>
        <w:jc w:val="center"/>
      </w:pPr>
    </w:p>
    <w:p w14:paraId="7B670F4B" w14:textId="77777777" w:rsidR="0040300B" w:rsidRDefault="00BB2D44">
      <w:pPr>
        <w:spacing w:before="120"/>
        <w:jc w:val="both"/>
      </w:pPr>
      <w:r>
        <w:rPr>
          <w:rFonts w:ascii="Times New Roman" w:eastAsia="宋体" w:hAnsi="Times New Roman"/>
          <w:color w:val="000000"/>
          <w:sz w:val="20"/>
          <w:szCs w:val="20"/>
        </w:rPr>
        <w:t>Our service gross margin normally experiences some fluctuations due to various factors such as the timing of contract initiations in our renewals, our strategic investments in headcount, and the resources we deploy to support</w:t>
      </w:r>
      <w:r>
        <w:rPr>
          <w:rFonts w:ascii="Times New Roman" w:eastAsia="宋体" w:hAnsi="Times New Roman"/>
          <w:color w:val="000000"/>
          <w:sz w:val="20"/>
          <w:szCs w:val="20"/>
        </w:rPr>
        <w:t xml:space="preserve"> the overall service business. Other factors include the mix of service offerings, as the gross margin from our advanced services is typically lower than the gross margin from technical support services.</w:t>
      </w:r>
    </w:p>
    <w:p w14:paraId="7B670F4C"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w:t>
      </w:r>
      <w:r>
        <w:rPr>
          <w:rFonts w:ascii="Times New Roman" w:eastAsia="宋体" w:hAnsi="Times New Roman"/>
          <w:i/>
          <w:iCs/>
          <w:color w:val="000000"/>
          <w:sz w:val="20"/>
          <w:szCs w:val="20"/>
          <w:u w:val="single"/>
        </w:rPr>
        <w:t>ths Ended April 25, 2020</w:t>
      </w:r>
    </w:p>
    <w:p w14:paraId="7B670F4D" w14:textId="77777777" w:rsidR="0040300B" w:rsidRDefault="00BB2D44">
      <w:pPr>
        <w:spacing w:before="120"/>
        <w:jc w:val="both"/>
      </w:pPr>
      <w:r>
        <w:rPr>
          <w:rFonts w:ascii="Times New Roman" w:eastAsia="宋体" w:hAnsi="Times New Roman"/>
          <w:color w:val="000000"/>
          <w:sz w:val="20"/>
          <w:szCs w:val="20"/>
        </w:rPr>
        <w:t>Service gross margin percentage increased by 0.4 percentage points due to higher sales volume and favorable mix of service offerings, partially offset by increased headcount-related and delivery costs.</w:t>
      </w:r>
    </w:p>
    <w:p w14:paraId="7B670F4E" w14:textId="77777777" w:rsidR="0040300B" w:rsidRDefault="00BB2D44">
      <w:pPr>
        <w:spacing w:before="120"/>
      </w:pPr>
      <w:r>
        <w:rPr>
          <w:rFonts w:ascii="Times New Roman" w:eastAsia="宋体" w:hAnsi="Times New Roman"/>
          <w:b/>
          <w:bCs/>
          <w:color w:val="000000"/>
          <w:sz w:val="20"/>
          <w:szCs w:val="20"/>
        </w:rPr>
        <w:t>Gross Margin by Segment</w:t>
      </w:r>
    </w:p>
    <w:p w14:paraId="7B670F4F" w14:textId="77777777" w:rsidR="0040300B" w:rsidRDefault="00BB2D44">
      <w:pPr>
        <w:spacing w:before="120"/>
        <w:jc w:val="both"/>
      </w:pPr>
      <w:r>
        <w:rPr>
          <w:rFonts w:ascii="Times New Roman" w:eastAsia="宋体" w:hAnsi="Times New Roman"/>
          <w:color w:val="000000"/>
          <w:sz w:val="20"/>
          <w:szCs w:val="20"/>
        </w:rPr>
        <w:t>The f</w:t>
      </w:r>
      <w:r>
        <w:rPr>
          <w:rFonts w:ascii="Times New Roman" w:eastAsia="宋体" w:hAnsi="Times New Roman"/>
          <w:color w:val="000000"/>
          <w:sz w:val="20"/>
          <w:szCs w:val="20"/>
        </w:rPr>
        <w:t>ollowing table presents the 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1466"/>
        <w:gridCol w:w="38"/>
        <w:gridCol w:w="120"/>
        <w:gridCol w:w="600"/>
        <w:gridCol w:w="36"/>
        <w:gridCol w:w="36"/>
        <w:gridCol w:w="36"/>
        <w:gridCol w:w="36"/>
        <w:gridCol w:w="120"/>
        <w:gridCol w:w="537"/>
        <w:gridCol w:w="36"/>
        <w:gridCol w:w="36"/>
        <w:gridCol w:w="36"/>
        <w:gridCol w:w="36"/>
        <w:gridCol w:w="63"/>
        <w:gridCol w:w="514"/>
        <w:gridCol w:w="188"/>
        <w:gridCol w:w="37"/>
        <w:gridCol w:w="36"/>
        <w:gridCol w:w="36"/>
        <w:gridCol w:w="62"/>
        <w:gridCol w:w="513"/>
        <w:gridCol w:w="187"/>
        <w:gridCol w:w="36"/>
        <w:gridCol w:w="36"/>
        <w:gridCol w:w="36"/>
        <w:gridCol w:w="120"/>
        <w:gridCol w:w="600"/>
        <w:gridCol w:w="36"/>
        <w:gridCol w:w="36"/>
        <w:gridCol w:w="36"/>
        <w:gridCol w:w="36"/>
        <w:gridCol w:w="120"/>
        <w:gridCol w:w="600"/>
        <w:gridCol w:w="36"/>
        <w:gridCol w:w="36"/>
        <w:gridCol w:w="36"/>
        <w:gridCol w:w="36"/>
        <w:gridCol w:w="63"/>
        <w:gridCol w:w="518"/>
        <w:gridCol w:w="188"/>
        <w:gridCol w:w="37"/>
        <w:gridCol w:w="36"/>
        <w:gridCol w:w="36"/>
        <w:gridCol w:w="62"/>
        <w:gridCol w:w="518"/>
        <w:gridCol w:w="187"/>
      </w:tblGrid>
      <w:tr w:rsidR="0040300B" w14:paraId="7B670F80" w14:textId="77777777">
        <w:trPr>
          <w:jc w:val="center"/>
        </w:trPr>
        <w:tc>
          <w:tcPr>
            <w:tcW w:w="50" w:type="pct"/>
            <w:shd w:val="clear" w:color="auto" w:fill="auto"/>
          </w:tcPr>
          <w:p w14:paraId="7B670F50" w14:textId="77777777" w:rsidR="0040300B" w:rsidRDefault="0040300B">
            <w:pPr>
              <w:rPr>
                <w:rFonts w:ascii="宋体"/>
              </w:rPr>
            </w:pPr>
          </w:p>
        </w:tc>
        <w:tc>
          <w:tcPr>
            <w:tcW w:w="953" w:type="pct"/>
            <w:shd w:val="clear" w:color="auto" w:fill="auto"/>
          </w:tcPr>
          <w:p w14:paraId="7B670F51" w14:textId="77777777" w:rsidR="0040300B" w:rsidRDefault="0040300B">
            <w:pPr>
              <w:rPr>
                <w:rFonts w:ascii="宋体"/>
              </w:rPr>
            </w:pPr>
          </w:p>
        </w:tc>
        <w:tc>
          <w:tcPr>
            <w:tcW w:w="5" w:type="pct"/>
            <w:shd w:val="clear" w:color="auto" w:fill="auto"/>
          </w:tcPr>
          <w:p w14:paraId="7B670F52" w14:textId="77777777" w:rsidR="0040300B" w:rsidRDefault="0040300B">
            <w:pPr>
              <w:rPr>
                <w:rFonts w:ascii="宋体"/>
              </w:rPr>
            </w:pPr>
          </w:p>
        </w:tc>
        <w:tc>
          <w:tcPr>
            <w:tcW w:w="50" w:type="pct"/>
            <w:shd w:val="clear" w:color="auto" w:fill="auto"/>
          </w:tcPr>
          <w:p w14:paraId="7B670F53" w14:textId="77777777" w:rsidR="0040300B" w:rsidRDefault="0040300B">
            <w:pPr>
              <w:rPr>
                <w:rFonts w:ascii="宋体"/>
              </w:rPr>
            </w:pPr>
          </w:p>
        </w:tc>
        <w:tc>
          <w:tcPr>
            <w:tcW w:w="412" w:type="pct"/>
            <w:shd w:val="clear" w:color="auto" w:fill="auto"/>
          </w:tcPr>
          <w:p w14:paraId="7B670F54" w14:textId="77777777" w:rsidR="0040300B" w:rsidRDefault="0040300B">
            <w:pPr>
              <w:rPr>
                <w:rFonts w:ascii="宋体"/>
              </w:rPr>
            </w:pPr>
          </w:p>
        </w:tc>
        <w:tc>
          <w:tcPr>
            <w:tcW w:w="5" w:type="pct"/>
            <w:shd w:val="clear" w:color="auto" w:fill="auto"/>
          </w:tcPr>
          <w:p w14:paraId="7B670F55" w14:textId="77777777" w:rsidR="0040300B" w:rsidRDefault="0040300B">
            <w:pPr>
              <w:rPr>
                <w:rFonts w:ascii="宋体"/>
              </w:rPr>
            </w:pPr>
          </w:p>
        </w:tc>
        <w:tc>
          <w:tcPr>
            <w:tcW w:w="5" w:type="pct"/>
            <w:shd w:val="clear" w:color="auto" w:fill="auto"/>
          </w:tcPr>
          <w:p w14:paraId="7B670F56" w14:textId="77777777" w:rsidR="0040300B" w:rsidRDefault="0040300B">
            <w:pPr>
              <w:rPr>
                <w:rFonts w:ascii="宋体"/>
              </w:rPr>
            </w:pPr>
          </w:p>
        </w:tc>
        <w:tc>
          <w:tcPr>
            <w:tcW w:w="26" w:type="pct"/>
            <w:shd w:val="clear" w:color="auto" w:fill="auto"/>
          </w:tcPr>
          <w:p w14:paraId="7B670F57" w14:textId="77777777" w:rsidR="0040300B" w:rsidRDefault="0040300B">
            <w:pPr>
              <w:rPr>
                <w:rFonts w:ascii="宋体"/>
              </w:rPr>
            </w:pPr>
          </w:p>
        </w:tc>
        <w:tc>
          <w:tcPr>
            <w:tcW w:w="5" w:type="pct"/>
            <w:shd w:val="clear" w:color="auto" w:fill="auto"/>
          </w:tcPr>
          <w:p w14:paraId="7B670F58" w14:textId="77777777" w:rsidR="0040300B" w:rsidRDefault="0040300B">
            <w:pPr>
              <w:rPr>
                <w:rFonts w:ascii="宋体"/>
              </w:rPr>
            </w:pPr>
          </w:p>
        </w:tc>
        <w:tc>
          <w:tcPr>
            <w:tcW w:w="50" w:type="pct"/>
            <w:shd w:val="clear" w:color="auto" w:fill="auto"/>
          </w:tcPr>
          <w:p w14:paraId="7B670F59" w14:textId="77777777" w:rsidR="0040300B" w:rsidRDefault="0040300B">
            <w:pPr>
              <w:rPr>
                <w:rFonts w:ascii="宋体"/>
              </w:rPr>
            </w:pPr>
          </w:p>
        </w:tc>
        <w:tc>
          <w:tcPr>
            <w:tcW w:w="412" w:type="pct"/>
            <w:shd w:val="clear" w:color="auto" w:fill="auto"/>
          </w:tcPr>
          <w:p w14:paraId="7B670F5A" w14:textId="77777777" w:rsidR="0040300B" w:rsidRDefault="0040300B">
            <w:pPr>
              <w:rPr>
                <w:rFonts w:ascii="宋体"/>
              </w:rPr>
            </w:pPr>
          </w:p>
        </w:tc>
        <w:tc>
          <w:tcPr>
            <w:tcW w:w="5" w:type="pct"/>
            <w:shd w:val="clear" w:color="auto" w:fill="auto"/>
          </w:tcPr>
          <w:p w14:paraId="7B670F5B" w14:textId="77777777" w:rsidR="0040300B" w:rsidRDefault="0040300B">
            <w:pPr>
              <w:rPr>
                <w:rFonts w:ascii="宋体"/>
              </w:rPr>
            </w:pPr>
          </w:p>
        </w:tc>
        <w:tc>
          <w:tcPr>
            <w:tcW w:w="5" w:type="pct"/>
            <w:shd w:val="clear" w:color="auto" w:fill="auto"/>
          </w:tcPr>
          <w:p w14:paraId="7B670F5C" w14:textId="77777777" w:rsidR="0040300B" w:rsidRDefault="0040300B">
            <w:pPr>
              <w:rPr>
                <w:rFonts w:ascii="宋体"/>
              </w:rPr>
            </w:pPr>
          </w:p>
        </w:tc>
        <w:tc>
          <w:tcPr>
            <w:tcW w:w="26" w:type="pct"/>
            <w:shd w:val="clear" w:color="auto" w:fill="auto"/>
          </w:tcPr>
          <w:p w14:paraId="7B670F5D" w14:textId="77777777" w:rsidR="0040300B" w:rsidRDefault="0040300B">
            <w:pPr>
              <w:rPr>
                <w:rFonts w:ascii="宋体"/>
              </w:rPr>
            </w:pPr>
          </w:p>
        </w:tc>
        <w:tc>
          <w:tcPr>
            <w:tcW w:w="5" w:type="pct"/>
            <w:shd w:val="clear" w:color="auto" w:fill="auto"/>
          </w:tcPr>
          <w:p w14:paraId="7B670F5E" w14:textId="77777777" w:rsidR="0040300B" w:rsidRDefault="0040300B">
            <w:pPr>
              <w:rPr>
                <w:rFonts w:ascii="宋体"/>
              </w:rPr>
            </w:pPr>
          </w:p>
        </w:tc>
        <w:tc>
          <w:tcPr>
            <w:tcW w:w="50" w:type="pct"/>
            <w:shd w:val="clear" w:color="auto" w:fill="auto"/>
          </w:tcPr>
          <w:p w14:paraId="7B670F5F" w14:textId="77777777" w:rsidR="0040300B" w:rsidRDefault="0040300B">
            <w:pPr>
              <w:rPr>
                <w:rFonts w:ascii="宋体"/>
              </w:rPr>
            </w:pPr>
          </w:p>
        </w:tc>
        <w:tc>
          <w:tcPr>
            <w:tcW w:w="412" w:type="pct"/>
            <w:shd w:val="clear" w:color="auto" w:fill="auto"/>
          </w:tcPr>
          <w:p w14:paraId="7B670F60" w14:textId="77777777" w:rsidR="0040300B" w:rsidRDefault="0040300B">
            <w:pPr>
              <w:rPr>
                <w:rFonts w:ascii="宋体"/>
              </w:rPr>
            </w:pPr>
          </w:p>
        </w:tc>
        <w:tc>
          <w:tcPr>
            <w:tcW w:w="5" w:type="pct"/>
            <w:shd w:val="clear" w:color="auto" w:fill="auto"/>
          </w:tcPr>
          <w:p w14:paraId="7B670F61" w14:textId="77777777" w:rsidR="0040300B" w:rsidRDefault="0040300B">
            <w:pPr>
              <w:rPr>
                <w:rFonts w:ascii="宋体"/>
              </w:rPr>
            </w:pPr>
          </w:p>
        </w:tc>
        <w:tc>
          <w:tcPr>
            <w:tcW w:w="5" w:type="pct"/>
            <w:shd w:val="clear" w:color="auto" w:fill="auto"/>
          </w:tcPr>
          <w:p w14:paraId="7B670F62" w14:textId="77777777" w:rsidR="0040300B" w:rsidRDefault="0040300B">
            <w:pPr>
              <w:rPr>
                <w:rFonts w:ascii="宋体"/>
              </w:rPr>
            </w:pPr>
          </w:p>
        </w:tc>
        <w:tc>
          <w:tcPr>
            <w:tcW w:w="26" w:type="pct"/>
            <w:shd w:val="clear" w:color="auto" w:fill="auto"/>
          </w:tcPr>
          <w:p w14:paraId="7B670F63" w14:textId="77777777" w:rsidR="0040300B" w:rsidRDefault="0040300B">
            <w:pPr>
              <w:rPr>
                <w:rFonts w:ascii="宋体"/>
              </w:rPr>
            </w:pPr>
          </w:p>
        </w:tc>
        <w:tc>
          <w:tcPr>
            <w:tcW w:w="5" w:type="pct"/>
            <w:shd w:val="clear" w:color="auto" w:fill="auto"/>
          </w:tcPr>
          <w:p w14:paraId="7B670F64" w14:textId="77777777" w:rsidR="0040300B" w:rsidRDefault="0040300B">
            <w:pPr>
              <w:rPr>
                <w:rFonts w:ascii="宋体"/>
              </w:rPr>
            </w:pPr>
          </w:p>
        </w:tc>
        <w:tc>
          <w:tcPr>
            <w:tcW w:w="50" w:type="pct"/>
            <w:shd w:val="clear" w:color="auto" w:fill="auto"/>
          </w:tcPr>
          <w:p w14:paraId="7B670F65" w14:textId="77777777" w:rsidR="0040300B" w:rsidRDefault="0040300B">
            <w:pPr>
              <w:rPr>
                <w:rFonts w:ascii="宋体"/>
              </w:rPr>
            </w:pPr>
          </w:p>
        </w:tc>
        <w:tc>
          <w:tcPr>
            <w:tcW w:w="412" w:type="pct"/>
            <w:shd w:val="clear" w:color="auto" w:fill="auto"/>
          </w:tcPr>
          <w:p w14:paraId="7B670F66" w14:textId="77777777" w:rsidR="0040300B" w:rsidRDefault="0040300B">
            <w:pPr>
              <w:rPr>
                <w:rFonts w:ascii="宋体"/>
              </w:rPr>
            </w:pPr>
          </w:p>
        </w:tc>
        <w:tc>
          <w:tcPr>
            <w:tcW w:w="5" w:type="pct"/>
            <w:shd w:val="clear" w:color="auto" w:fill="auto"/>
          </w:tcPr>
          <w:p w14:paraId="7B670F67" w14:textId="77777777" w:rsidR="0040300B" w:rsidRDefault="0040300B">
            <w:pPr>
              <w:rPr>
                <w:rFonts w:ascii="宋体"/>
              </w:rPr>
            </w:pPr>
          </w:p>
        </w:tc>
        <w:tc>
          <w:tcPr>
            <w:tcW w:w="5" w:type="pct"/>
            <w:shd w:val="clear" w:color="auto" w:fill="auto"/>
          </w:tcPr>
          <w:p w14:paraId="7B670F68" w14:textId="77777777" w:rsidR="0040300B" w:rsidRDefault="0040300B">
            <w:pPr>
              <w:rPr>
                <w:rFonts w:ascii="宋体"/>
              </w:rPr>
            </w:pPr>
          </w:p>
        </w:tc>
        <w:tc>
          <w:tcPr>
            <w:tcW w:w="26" w:type="pct"/>
            <w:shd w:val="clear" w:color="auto" w:fill="auto"/>
          </w:tcPr>
          <w:p w14:paraId="7B670F69" w14:textId="77777777" w:rsidR="0040300B" w:rsidRDefault="0040300B">
            <w:pPr>
              <w:rPr>
                <w:rFonts w:ascii="宋体"/>
              </w:rPr>
            </w:pPr>
          </w:p>
        </w:tc>
        <w:tc>
          <w:tcPr>
            <w:tcW w:w="5" w:type="pct"/>
            <w:shd w:val="clear" w:color="auto" w:fill="auto"/>
          </w:tcPr>
          <w:p w14:paraId="7B670F6A" w14:textId="77777777" w:rsidR="0040300B" w:rsidRDefault="0040300B">
            <w:pPr>
              <w:rPr>
                <w:rFonts w:ascii="宋体"/>
              </w:rPr>
            </w:pPr>
          </w:p>
        </w:tc>
        <w:tc>
          <w:tcPr>
            <w:tcW w:w="50" w:type="pct"/>
            <w:shd w:val="clear" w:color="auto" w:fill="auto"/>
          </w:tcPr>
          <w:p w14:paraId="7B670F6B" w14:textId="77777777" w:rsidR="0040300B" w:rsidRDefault="0040300B">
            <w:pPr>
              <w:rPr>
                <w:rFonts w:ascii="宋体"/>
              </w:rPr>
            </w:pPr>
          </w:p>
        </w:tc>
        <w:tc>
          <w:tcPr>
            <w:tcW w:w="412" w:type="pct"/>
            <w:shd w:val="clear" w:color="auto" w:fill="auto"/>
          </w:tcPr>
          <w:p w14:paraId="7B670F6C" w14:textId="77777777" w:rsidR="0040300B" w:rsidRDefault="0040300B">
            <w:pPr>
              <w:rPr>
                <w:rFonts w:ascii="宋体"/>
              </w:rPr>
            </w:pPr>
          </w:p>
        </w:tc>
        <w:tc>
          <w:tcPr>
            <w:tcW w:w="5" w:type="pct"/>
            <w:shd w:val="clear" w:color="auto" w:fill="auto"/>
          </w:tcPr>
          <w:p w14:paraId="7B670F6D" w14:textId="77777777" w:rsidR="0040300B" w:rsidRDefault="0040300B">
            <w:pPr>
              <w:rPr>
                <w:rFonts w:ascii="宋体"/>
              </w:rPr>
            </w:pPr>
          </w:p>
        </w:tc>
        <w:tc>
          <w:tcPr>
            <w:tcW w:w="5" w:type="pct"/>
            <w:shd w:val="clear" w:color="auto" w:fill="auto"/>
          </w:tcPr>
          <w:p w14:paraId="7B670F6E" w14:textId="77777777" w:rsidR="0040300B" w:rsidRDefault="0040300B">
            <w:pPr>
              <w:rPr>
                <w:rFonts w:ascii="宋体"/>
              </w:rPr>
            </w:pPr>
          </w:p>
        </w:tc>
        <w:tc>
          <w:tcPr>
            <w:tcW w:w="26" w:type="pct"/>
            <w:shd w:val="clear" w:color="auto" w:fill="auto"/>
          </w:tcPr>
          <w:p w14:paraId="7B670F6F" w14:textId="77777777" w:rsidR="0040300B" w:rsidRDefault="0040300B">
            <w:pPr>
              <w:rPr>
                <w:rFonts w:ascii="宋体"/>
              </w:rPr>
            </w:pPr>
          </w:p>
        </w:tc>
        <w:tc>
          <w:tcPr>
            <w:tcW w:w="5" w:type="pct"/>
            <w:shd w:val="clear" w:color="auto" w:fill="auto"/>
          </w:tcPr>
          <w:p w14:paraId="7B670F70" w14:textId="77777777" w:rsidR="0040300B" w:rsidRDefault="0040300B">
            <w:pPr>
              <w:rPr>
                <w:rFonts w:ascii="宋体"/>
              </w:rPr>
            </w:pPr>
          </w:p>
        </w:tc>
        <w:tc>
          <w:tcPr>
            <w:tcW w:w="50" w:type="pct"/>
            <w:shd w:val="clear" w:color="auto" w:fill="auto"/>
          </w:tcPr>
          <w:p w14:paraId="7B670F71" w14:textId="77777777" w:rsidR="0040300B" w:rsidRDefault="0040300B">
            <w:pPr>
              <w:rPr>
                <w:rFonts w:ascii="宋体"/>
              </w:rPr>
            </w:pPr>
          </w:p>
        </w:tc>
        <w:tc>
          <w:tcPr>
            <w:tcW w:w="412" w:type="pct"/>
            <w:shd w:val="clear" w:color="auto" w:fill="auto"/>
          </w:tcPr>
          <w:p w14:paraId="7B670F72" w14:textId="77777777" w:rsidR="0040300B" w:rsidRDefault="0040300B">
            <w:pPr>
              <w:rPr>
                <w:rFonts w:ascii="宋体"/>
              </w:rPr>
            </w:pPr>
          </w:p>
        </w:tc>
        <w:tc>
          <w:tcPr>
            <w:tcW w:w="5" w:type="pct"/>
            <w:shd w:val="clear" w:color="auto" w:fill="auto"/>
          </w:tcPr>
          <w:p w14:paraId="7B670F73" w14:textId="77777777" w:rsidR="0040300B" w:rsidRDefault="0040300B">
            <w:pPr>
              <w:rPr>
                <w:rFonts w:ascii="宋体"/>
              </w:rPr>
            </w:pPr>
          </w:p>
        </w:tc>
        <w:tc>
          <w:tcPr>
            <w:tcW w:w="5" w:type="pct"/>
            <w:shd w:val="clear" w:color="auto" w:fill="auto"/>
          </w:tcPr>
          <w:p w14:paraId="7B670F74" w14:textId="77777777" w:rsidR="0040300B" w:rsidRDefault="0040300B">
            <w:pPr>
              <w:rPr>
                <w:rFonts w:ascii="宋体"/>
              </w:rPr>
            </w:pPr>
          </w:p>
        </w:tc>
        <w:tc>
          <w:tcPr>
            <w:tcW w:w="26" w:type="pct"/>
            <w:shd w:val="clear" w:color="auto" w:fill="auto"/>
          </w:tcPr>
          <w:p w14:paraId="7B670F75" w14:textId="77777777" w:rsidR="0040300B" w:rsidRDefault="0040300B">
            <w:pPr>
              <w:rPr>
                <w:rFonts w:ascii="宋体"/>
              </w:rPr>
            </w:pPr>
          </w:p>
        </w:tc>
        <w:tc>
          <w:tcPr>
            <w:tcW w:w="5" w:type="pct"/>
            <w:shd w:val="clear" w:color="auto" w:fill="auto"/>
          </w:tcPr>
          <w:p w14:paraId="7B670F76" w14:textId="77777777" w:rsidR="0040300B" w:rsidRDefault="0040300B">
            <w:pPr>
              <w:rPr>
                <w:rFonts w:ascii="宋体"/>
              </w:rPr>
            </w:pPr>
          </w:p>
        </w:tc>
        <w:tc>
          <w:tcPr>
            <w:tcW w:w="50" w:type="pct"/>
            <w:shd w:val="clear" w:color="auto" w:fill="auto"/>
          </w:tcPr>
          <w:p w14:paraId="7B670F77" w14:textId="77777777" w:rsidR="0040300B" w:rsidRDefault="0040300B">
            <w:pPr>
              <w:rPr>
                <w:rFonts w:ascii="宋体"/>
              </w:rPr>
            </w:pPr>
          </w:p>
        </w:tc>
        <w:tc>
          <w:tcPr>
            <w:tcW w:w="412" w:type="pct"/>
            <w:shd w:val="clear" w:color="auto" w:fill="auto"/>
          </w:tcPr>
          <w:p w14:paraId="7B670F78" w14:textId="77777777" w:rsidR="0040300B" w:rsidRDefault="0040300B">
            <w:pPr>
              <w:rPr>
                <w:rFonts w:ascii="宋体"/>
              </w:rPr>
            </w:pPr>
          </w:p>
        </w:tc>
        <w:tc>
          <w:tcPr>
            <w:tcW w:w="5" w:type="pct"/>
            <w:shd w:val="clear" w:color="auto" w:fill="auto"/>
          </w:tcPr>
          <w:p w14:paraId="7B670F79" w14:textId="77777777" w:rsidR="0040300B" w:rsidRDefault="0040300B">
            <w:pPr>
              <w:rPr>
                <w:rFonts w:ascii="宋体"/>
              </w:rPr>
            </w:pPr>
          </w:p>
        </w:tc>
        <w:tc>
          <w:tcPr>
            <w:tcW w:w="5" w:type="pct"/>
            <w:shd w:val="clear" w:color="auto" w:fill="auto"/>
          </w:tcPr>
          <w:p w14:paraId="7B670F7A" w14:textId="77777777" w:rsidR="0040300B" w:rsidRDefault="0040300B">
            <w:pPr>
              <w:rPr>
                <w:rFonts w:ascii="宋体"/>
              </w:rPr>
            </w:pPr>
          </w:p>
        </w:tc>
        <w:tc>
          <w:tcPr>
            <w:tcW w:w="19" w:type="pct"/>
            <w:shd w:val="clear" w:color="auto" w:fill="auto"/>
          </w:tcPr>
          <w:p w14:paraId="7B670F7B" w14:textId="77777777" w:rsidR="0040300B" w:rsidRDefault="0040300B">
            <w:pPr>
              <w:rPr>
                <w:rFonts w:ascii="宋体"/>
              </w:rPr>
            </w:pPr>
          </w:p>
        </w:tc>
        <w:tc>
          <w:tcPr>
            <w:tcW w:w="5" w:type="pct"/>
            <w:shd w:val="clear" w:color="auto" w:fill="auto"/>
          </w:tcPr>
          <w:p w14:paraId="7B670F7C" w14:textId="77777777" w:rsidR="0040300B" w:rsidRDefault="0040300B">
            <w:pPr>
              <w:rPr>
                <w:rFonts w:ascii="宋体"/>
              </w:rPr>
            </w:pPr>
          </w:p>
        </w:tc>
        <w:tc>
          <w:tcPr>
            <w:tcW w:w="50" w:type="pct"/>
            <w:shd w:val="clear" w:color="auto" w:fill="auto"/>
          </w:tcPr>
          <w:p w14:paraId="7B670F7D" w14:textId="77777777" w:rsidR="0040300B" w:rsidRDefault="0040300B">
            <w:pPr>
              <w:rPr>
                <w:rFonts w:ascii="宋体"/>
              </w:rPr>
            </w:pPr>
          </w:p>
        </w:tc>
        <w:tc>
          <w:tcPr>
            <w:tcW w:w="413" w:type="pct"/>
            <w:shd w:val="clear" w:color="auto" w:fill="auto"/>
          </w:tcPr>
          <w:p w14:paraId="7B670F7E" w14:textId="77777777" w:rsidR="0040300B" w:rsidRDefault="0040300B">
            <w:pPr>
              <w:rPr>
                <w:rFonts w:ascii="宋体"/>
              </w:rPr>
            </w:pPr>
          </w:p>
        </w:tc>
        <w:tc>
          <w:tcPr>
            <w:tcW w:w="5" w:type="pct"/>
            <w:shd w:val="clear" w:color="auto" w:fill="auto"/>
          </w:tcPr>
          <w:p w14:paraId="7B670F7F" w14:textId="77777777" w:rsidR="0040300B" w:rsidRDefault="0040300B">
            <w:pPr>
              <w:rPr>
                <w:rFonts w:ascii="宋体"/>
              </w:rPr>
            </w:pPr>
          </w:p>
        </w:tc>
      </w:tr>
      <w:tr w:rsidR="0040300B" w14:paraId="7B670F85" w14:textId="77777777">
        <w:trPr>
          <w:jc w:val="center"/>
        </w:trPr>
        <w:tc>
          <w:tcPr>
            <w:tcW w:w="0" w:type="auto"/>
            <w:gridSpan w:val="3"/>
            <w:shd w:val="clear" w:color="auto" w:fill="auto"/>
            <w:tcMar>
              <w:top w:w="0" w:type="dxa"/>
              <w:left w:w="20" w:type="dxa"/>
              <w:bottom w:w="0" w:type="dxa"/>
              <w:right w:w="20" w:type="dxa"/>
            </w:tcMar>
          </w:tcPr>
          <w:p w14:paraId="7B670F81"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F8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0F83" w14:textId="77777777" w:rsidR="0040300B" w:rsidRDefault="0040300B">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B670F8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0F8E" w14:textId="77777777">
        <w:trPr>
          <w:jc w:val="center"/>
        </w:trPr>
        <w:tc>
          <w:tcPr>
            <w:tcW w:w="0" w:type="auto"/>
            <w:gridSpan w:val="3"/>
            <w:shd w:val="clear" w:color="auto" w:fill="auto"/>
            <w:tcMar>
              <w:top w:w="0" w:type="dxa"/>
              <w:left w:w="20" w:type="dxa"/>
              <w:bottom w:w="0" w:type="dxa"/>
              <w:right w:w="20" w:type="dxa"/>
            </w:tcMar>
          </w:tcPr>
          <w:p w14:paraId="7B670F86"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F87"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0F88"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F89" w14:textId="77777777" w:rsidR="0040300B" w:rsidRDefault="00BB2D44">
            <w:pPr>
              <w:jc w:val="center"/>
              <w:textAlignment w:val="bottom"/>
            </w:pPr>
            <w:r>
              <w:rPr>
                <w:rFonts w:ascii="Times New Roman" w:eastAsia="宋体" w:hAnsi="Times New Roman"/>
                <w:color w:val="000000"/>
                <w:sz w:val="18"/>
                <w:szCs w:val="18"/>
              </w:rPr>
              <w:t>PERCENTAGE</w:t>
            </w:r>
          </w:p>
        </w:tc>
        <w:tc>
          <w:tcPr>
            <w:tcW w:w="0" w:type="auto"/>
            <w:gridSpan w:val="3"/>
            <w:shd w:val="clear" w:color="auto" w:fill="auto"/>
            <w:tcMar>
              <w:top w:w="0" w:type="dxa"/>
              <w:left w:w="20" w:type="dxa"/>
              <w:bottom w:w="0" w:type="dxa"/>
              <w:right w:w="20" w:type="dxa"/>
            </w:tcMar>
          </w:tcPr>
          <w:p w14:paraId="7B670F8A"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F8B"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0F8C" w14:textId="77777777" w:rsidR="0040300B" w:rsidRDefault="0040300B">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B670F8D" w14:textId="77777777" w:rsidR="0040300B" w:rsidRDefault="00BB2D44">
            <w:pPr>
              <w:jc w:val="center"/>
              <w:textAlignment w:val="bottom"/>
            </w:pPr>
            <w:r>
              <w:rPr>
                <w:rFonts w:ascii="Times New Roman" w:eastAsia="宋体" w:hAnsi="Times New Roman"/>
                <w:color w:val="000000"/>
                <w:sz w:val="18"/>
                <w:szCs w:val="18"/>
              </w:rPr>
              <w:t>PERCENTAGE</w:t>
            </w:r>
          </w:p>
        </w:tc>
      </w:tr>
      <w:tr w:rsidR="0040300B" w14:paraId="7B670F9F" w14:textId="77777777">
        <w:trPr>
          <w:jc w:val="center"/>
        </w:trPr>
        <w:tc>
          <w:tcPr>
            <w:tcW w:w="0" w:type="auto"/>
            <w:gridSpan w:val="3"/>
            <w:shd w:val="clear" w:color="auto" w:fill="auto"/>
            <w:tcMar>
              <w:top w:w="0" w:type="dxa"/>
              <w:left w:w="20" w:type="dxa"/>
              <w:bottom w:w="0" w:type="dxa"/>
              <w:right w:w="20" w:type="dxa"/>
            </w:tcMar>
          </w:tcPr>
          <w:p w14:paraId="7B670F8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0"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F9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2"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F9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4"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F9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6"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F9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F9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A"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0F9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C"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0F9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0F9E"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0FB0" w14:textId="77777777">
        <w:trPr>
          <w:jc w:val="center"/>
        </w:trPr>
        <w:tc>
          <w:tcPr>
            <w:tcW w:w="0" w:type="auto"/>
            <w:gridSpan w:val="3"/>
            <w:shd w:val="clear" w:color="auto" w:fill="CCEEFF"/>
            <w:tcMar>
              <w:top w:w="40" w:type="dxa"/>
              <w:left w:w="20" w:type="dxa"/>
              <w:bottom w:w="40" w:type="dxa"/>
              <w:right w:w="20" w:type="dxa"/>
            </w:tcMar>
            <w:vAlign w:val="bottom"/>
          </w:tcPr>
          <w:p w14:paraId="7B670FA0" w14:textId="77777777" w:rsidR="0040300B" w:rsidRDefault="00BB2D44">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tcPr>
          <w:p w14:paraId="7B670FA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0FAE"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0FAF" w14:textId="77777777" w:rsidR="0040300B" w:rsidRDefault="0040300B">
            <w:pPr>
              <w:rPr>
                <w:rFonts w:ascii="宋体"/>
              </w:rPr>
            </w:pPr>
          </w:p>
        </w:tc>
      </w:tr>
      <w:tr w:rsidR="0040300B" w14:paraId="7B670FCD" w14:textId="77777777">
        <w:trPr>
          <w:jc w:val="center"/>
        </w:trPr>
        <w:tc>
          <w:tcPr>
            <w:tcW w:w="0" w:type="auto"/>
            <w:gridSpan w:val="3"/>
            <w:shd w:val="clear" w:color="auto" w:fill="FFFFFF"/>
            <w:tcMar>
              <w:top w:w="40" w:type="dxa"/>
              <w:left w:w="155" w:type="dxa"/>
              <w:bottom w:w="40" w:type="dxa"/>
              <w:right w:w="20" w:type="dxa"/>
            </w:tcMar>
            <w:vAlign w:val="bottom"/>
          </w:tcPr>
          <w:p w14:paraId="7B670FB1" w14:textId="77777777" w:rsidR="0040300B" w:rsidRDefault="00BB2D44">
            <w:pPr>
              <w:textAlignment w:val="bottom"/>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7B670FB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FB3" w14:textId="77777777" w:rsidR="0040300B" w:rsidRDefault="00BB2D44">
            <w:pPr>
              <w:jc w:val="right"/>
              <w:textAlignment w:val="bottom"/>
            </w:pPr>
            <w:r>
              <w:rPr>
                <w:rFonts w:ascii="Times New Roman" w:eastAsia="宋体" w:hAnsi="Times New Roman"/>
                <w:color w:val="000000"/>
                <w:sz w:val="20"/>
                <w:szCs w:val="20"/>
              </w:rPr>
              <w:t>4,831 </w:t>
            </w:r>
          </w:p>
        </w:tc>
        <w:tc>
          <w:tcPr>
            <w:tcW w:w="0" w:type="auto"/>
            <w:shd w:val="clear" w:color="auto" w:fill="FFFFFF"/>
            <w:tcMar>
              <w:top w:w="40" w:type="dxa"/>
              <w:left w:w="0" w:type="dxa"/>
              <w:bottom w:w="40" w:type="dxa"/>
              <w:right w:w="20" w:type="dxa"/>
            </w:tcMar>
            <w:vAlign w:val="bottom"/>
          </w:tcPr>
          <w:p w14:paraId="7B670FB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B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FB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FB7" w14:textId="77777777" w:rsidR="0040300B" w:rsidRDefault="00BB2D44">
            <w:pPr>
              <w:jc w:val="right"/>
              <w:textAlignment w:val="bottom"/>
            </w:pPr>
            <w:r>
              <w:rPr>
                <w:rFonts w:ascii="Times New Roman" w:eastAsia="宋体" w:hAnsi="Times New Roman"/>
                <w:color w:val="000000"/>
                <w:sz w:val="20"/>
                <w:szCs w:val="20"/>
              </w:rPr>
              <w:t>4,828 </w:t>
            </w:r>
          </w:p>
        </w:tc>
        <w:tc>
          <w:tcPr>
            <w:tcW w:w="0" w:type="auto"/>
            <w:shd w:val="clear" w:color="auto" w:fill="FFFFFF"/>
            <w:tcMar>
              <w:top w:w="40" w:type="dxa"/>
              <w:left w:w="0" w:type="dxa"/>
              <w:bottom w:w="40" w:type="dxa"/>
              <w:right w:w="20" w:type="dxa"/>
            </w:tcMar>
            <w:vAlign w:val="bottom"/>
          </w:tcPr>
          <w:p w14:paraId="7B670FB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B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BA" w14:textId="77777777" w:rsidR="0040300B" w:rsidRDefault="00BB2D44">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7B670FB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B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BD" w14:textId="77777777" w:rsidR="0040300B" w:rsidRDefault="00BB2D44">
            <w:pPr>
              <w:jc w:val="right"/>
              <w:textAlignment w:val="bottom"/>
            </w:pPr>
            <w:r>
              <w:rPr>
                <w:rFonts w:ascii="Times New Roman" w:eastAsia="宋体" w:hAnsi="Times New Roman"/>
                <w:color w:val="000000"/>
                <w:sz w:val="20"/>
                <w:szCs w:val="20"/>
              </w:rPr>
              <w:t>67.8 </w:t>
            </w:r>
          </w:p>
        </w:tc>
        <w:tc>
          <w:tcPr>
            <w:tcW w:w="0" w:type="auto"/>
            <w:shd w:val="clear" w:color="auto" w:fill="FFFFFF"/>
            <w:tcMar>
              <w:top w:w="40" w:type="dxa"/>
              <w:left w:w="0" w:type="dxa"/>
              <w:bottom w:w="40" w:type="dxa"/>
              <w:right w:w="20" w:type="dxa"/>
            </w:tcMar>
            <w:vAlign w:val="bottom"/>
          </w:tcPr>
          <w:p w14:paraId="7B670FBE"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B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FC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FC1" w14:textId="77777777" w:rsidR="0040300B" w:rsidRDefault="00BB2D44">
            <w:pPr>
              <w:jc w:val="right"/>
              <w:textAlignment w:val="bottom"/>
            </w:pPr>
            <w:r>
              <w:rPr>
                <w:rFonts w:ascii="Times New Roman" w:eastAsia="宋体" w:hAnsi="Times New Roman"/>
                <w:color w:val="000000"/>
                <w:sz w:val="20"/>
                <w:szCs w:val="20"/>
              </w:rPr>
              <w:t>14,383 </w:t>
            </w:r>
          </w:p>
        </w:tc>
        <w:tc>
          <w:tcPr>
            <w:tcW w:w="0" w:type="auto"/>
            <w:shd w:val="clear" w:color="auto" w:fill="FFFFFF"/>
            <w:tcMar>
              <w:top w:w="40" w:type="dxa"/>
              <w:left w:w="0" w:type="dxa"/>
              <w:bottom w:w="40" w:type="dxa"/>
              <w:right w:w="20" w:type="dxa"/>
            </w:tcMar>
            <w:vAlign w:val="bottom"/>
          </w:tcPr>
          <w:p w14:paraId="7B670FC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C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0FC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0FC5" w14:textId="77777777" w:rsidR="0040300B" w:rsidRDefault="00BB2D44">
            <w:pPr>
              <w:jc w:val="right"/>
              <w:textAlignment w:val="bottom"/>
            </w:pPr>
            <w:r>
              <w:rPr>
                <w:rFonts w:ascii="Times New Roman" w:eastAsia="宋体" w:hAnsi="Times New Roman"/>
                <w:color w:val="000000"/>
                <w:sz w:val="20"/>
                <w:szCs w:val="20"/>
              </w:rPr>
              <w:t>14,836 </w:t>
            </w:r>
          </w:p>
        </w:tc>
        <w:tc>
          <w:tcPr>
            <w:tcW w:w="0" w:type="auto"/>
            <w:shd w:val="clear" w:color="auto" w:fill="FFFFFF"/>
            <w:tcMar>
              <w:top w:w="40" w:type="dxa"/>
              <w:left w:w="0" w:type="dxa"/>
              <w:bottom w:w="40" w:type="dxa"/>
              <w:right w:w="20" w:type="dxa"/>
            </w:tcMar>
            <w:vAlign w:val="bottom"/>
          </w:tcPr>
          <w:p w14:paraId="7B670FC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C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C8" w14:textId="77777777" w:rsidR="0040300B" w:rsidRDefault="00BB2D44">
            <w:pPr>
              <w:jc w:val="right"/>
              <w:textAlignment w:val="bottom"/>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bottom"/>
          </w:tcPr>
          <w:p w14:paraId="7B670FC9"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C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CB" w14:textId="77777777" w:rsidR="0040300B" w:rsidRDefault="00BB2D44">
            <w:pPr>
              <w:jc w:val="right"/>
              <w:textAlignment w:val="bottom"/>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bottom"/>
          </w:tcPr>
          <w:p w14:paraId="7B670FCC"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E6" w14:textId="77777777">
        <w:trPr>
          <w:jc w:val="center"/>
        </w:trPr>
        <w:tc>
          <w:tcPr>
            <w:tcW w:w="0" w:type="auto"/>
            <w:gridSpan w:val="3"/>
            <w:shd w:val="clear" w:color="auto" w:fill="CCEEFF"/>
            <w:tcMar>
              <w:top w:w="40" w:type="dxa"/>
              <w:left w:w="155" w:type="dxa"/>
              <w:bottom w:w="40" w:type="dxa"/>
              <w:right w:w="20" w:type="dxa"/>
            </w:tcMar>
            <w:vAlign w:val="bottom"/>
          </w:tcPr>
          <w:p w14:paraId="7B670FCE" w14:textId="77777777" w:rsidR="0040300B" w:rsidRDefault="00BB2D44">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7B670FCF" w14:textId="77777777" w:rsidR="0040300B" w:rsidRDefault="00BB2D44">
            <w:pPr>
              <w:jc w:val="right"/>
              <w:textAlignment w:val="bottom"/>
            </w:pPr>
            <w:r>
              <w:rPr>
                <w:rFonts w:ascii="Times New Roman" w:eastAsia="宋体" w:hAnsi="Times New Roman"/>
                <w:color w:val="000000"/>
                <w:sz w:val="20"/>
                <w:szCs w:val="20"/>
              </w:rPr>
              <w:t>2,283 </w:t>
            </w:r>
          </w:p>
        </w:tc>
        <w:tc>
          <w:tcPr>
            <w:tcW w:w="0" w:type="auto"/>
            <w:shd w:val="clear" w:color="auto" w:fill="CCEEFF"/>
            <w:tcMar>
              <w:top w:w="40" w:type="dxa"/>
              <w:left w:w="0" w:type="dxa"/>
              <w:bottom w:w="40" w:type="dxa"/>
              <w:right w:w="20" w:type="dxa"/>
            </w:tcMar>
            <w:vAlign w:val="bottom"/>
          </w:tcPr>
          <w:p w14:paraId="7B670FD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FD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D2" w14:textId="77777777" w:rsidR="0040300B" w:rsidRDefault="00BB2D44">
            <w:pPr>
              <w:jc w:val="right"/>
              <w:textAlignment w:val="bottom"/>
            </w:pPr>
            <w:r>
              <w:rPr>
                <w:rFonts w:ascii="Times New Roman" w:eastAsia="宋体" w:hAnsi="Times New Roman"/>
                <w:color w:val="000000"/>
                <w:sz w:val="20"/>
                <w:szCs w:val="20"/>
              </w:rPr>
              <w:t>2,061 </w:t>
            </w:r>
          </w:p>
        </w:tc>
        <w:tc>
          <w:tcPr>
            <w:tcW w:w="0" w:type="auto"/>
            <w:shd w:val="clear" w:color="auto" w:fill="CCEEFF"/>
            <w:tcMar>
              <w:top w:w="40" w:type="dxa"/>
              <w:left w:w="0" w:type="dxa"/>
              <w:bottom w:w="40" w:type="dxa"/>
              <w:right w:w="20" w:type="dxa"/>
            </w:tcMar>
            <w:vAlign w:val="bottom"/>
          </w:tcPr>
          <w:p w14:paraId="7B670FD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FD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D5" w14:textId="77777777" w:rsidR="0040300B" w:rsidRDefault="00BB2D44">
            <w:pPr>
              <w:jc w:val="right"/>
              <w:textAlignment w:val="bottom"/>
            </w:pPr>
            <w:r>
              <w:rPr>
                <w:rFonts w:ascii="Times New Roman" w:eastAsia="宋体" w:hAnsi="Times New Roman"/>
                <w:color w:val="000000"/>
                <w:sz w:val="20"/>
                <w:szCs w:val="20"/>
              </w:rPr>
              <w:t>65.6 </w:t>
            </w:r>
          </w:p>
        </w:tc>
        <w:tc>
          <w:tcPr>
            <w:tcW w:w="0" w:type="auto"/>
            <w:shd w:val="clear" w:color="auto" w:fill="CCEEFF"/>
            <w:tcMar>
              <w:top w:w="40" w:type="dxa"/>
              <w:left w:w="0" w:type="dxa"/>
              <w:bottom w:w="40" w:type="dxa"/>
              <w:right w:w="20" w:type="dxa"/>
            </w:tcMar>
            <w:vAlign w:val="bottom"/>
          </w:tcPr>
          <w:p w14:paraId="7B670FD6"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D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D8" w14:textId="77777777" w:rsidR="0040300B" w:rsidRDefault="00BB2D44">
            <w:pPr>
              <w:jc w:val="right"/>
              <w:textAlignment w:val="bottom"/>
            </w:pPr>
            <w:r>
              <w:rPr>
                <w:rFonts w:ascii="Times New Roman" w:eastAsia="宋体" w:hAnsi="Times New Roman"/>
                <w:color w:val="000000"/>
                <w:sz w:val="20"/>
                <w:szCs w:val="20"/>
              </w:rPr>
              <w:t>65.7 </w:t>
            </w:r>
          </w:p>
        </w:tc>
        <w:tc>
          <w:tcPr>
            <w:tcW w:w="0" w:type="auto"/>
            <w:shd w:val="clear" w:color="auto" w:fill="CCEEFF"/>
            <w:tcMar>
              <w:top w:w="40" w:type="dxa"/>
              <w:left w:w="0" w:type="dxa"/>
              <w:bottom w:w="40" w:type="dxa"/>
              <w:right w:w="20" w:type="dxa"/>
            </w:tcMar>
            <w:vAlign w:val="bottom"/>
          </w:tcPr>
          <w:p w14:paraId="7B670FD9"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D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DB" w14:textId="77777777" w:rsidR="0040300B" w:rsidRDefault="00BB2D44">
            <w:pPr>
              <w:jc w:val="right"/>
              <w:textAlignment w:val="bottom"/>
            </w:pPr>
            <w:r>
              <w:rPr>
                <w:rFonts w:ascii="Times New Roman" w:eastAsia="宋体" w:hAnsi="Times New Roman"/>
                <w:color w:val="000000"/>
                <w:sz w:val="20"/>
                <w:szCs w:val="20"/>
              </w:rPr>
              <w:t>6,322 </w:t>
            </w:r>
          </w:p>
        </w:tc>
        <w:tc>
          <w:tcPr>
            <w:tcW w:w="0" w:type="auto"/>
            <w:shd w:val="clear" w:color="auto" w:fill="CCEEFF"/>
            <w:tcMar>
              <w:top w:w="40" w:type="dxa"/>
              <w:left w:w="0" w:type="dxa"/>
              <w:bottom w:w="40" w:type="dxa"/>
              <w:right w:w="20" w:type="dxa"/>
            </w:tcMar>
            <w:vAlign w:val="bottom"/>
          </w:tcPr>
          <w:p w14:paraId="7B670F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FD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DE" w14:textId="77777777" w:rsidR="0040300B" w:rsidRDefault="00BB2D44">
            <w:pPr>
              <w:jc w:val="right"/>
              <w:textAlignment w:val="bottom"/>
            </w:pPr>
            <w:r>
              <w:rPr>
                <w:rFonts w:ascii="Times New Roman" w:eastAsia="宋体" w:hAnsi="Times New Roman"/>
                <w:color w:val="000000"/>
                <w:sz w:val="20"/>
                <w:szCs w:val="20"/>
              </w:rPr>
              <w:t>6,289 </w:t>
            </w:r>
          </w:p>
        </w:tc>
        <w:tc>
          <w:tcPr>
            <w:tcW w:w="0" w:type="auto"/>
            <w:shd w:val="clear" w:color="auto" w:fill="CCEEFF"/>
            <w:tcMar>
              <w:top w:w="40" w:type="dxa"/>
              <w:left w:w="0" w:type="dxa"/>
              <w:bottom w:w="40" w:type="dxa"/>
              <w:right w:w="20" w:type="dxa"/>
            </w:tcMar>
            <w:vAlign w:val="bottom"/>
          </w:tcPr>
          <w:p w14:paraId="7B670F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0FE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E1" w14:textId="77777777" w:rsidR="0040300B" w:rsidRDefault="00BB2D44">
            <w:pPr>
              <w:jc w:val="right"/>
              <w:textAlignment w:val="bottom"/>
            </w:pPr>
            <w:r>
              <w:rPr>
                <w:rFonts w:ascii="Times New Roman" w:eastAsia="宋体" w:hAnsi="Times New Roman"/>
                <w:color w:val="000000"/>
                <w:sz w:val="20"/>
                <w:szCs w:val="20"/>
              </w:rPr>
              <w:t>65.5 </w:t>
            </w:r>
          </w:p>
        </w:tc>
        <w:tc>
          <w:tcPr>
            <w:tcW w:w="0" w:type="auto"/>
            <w:shd w:val="clear" w:color="auto" w:fill="CCEEFF"/>
            <w:tcMar>
              <w:top w:w="40" w:type="dxa"/>
              <w:left w:w="0" w:type="dxa"/>
              <w:bottom w:w="40" w:type="dxa"/>
              <w:right w:w="20" w:type="dxa"/>
            </w:tcMar>
            <w:vAlign w:val="bottom"/>
          </w:tcPr>
          <w:p w14:paraId="7B670FE2"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0FE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0FE4" w14:textId="77777777" w:rsidR="0040300B" w:rsidRDefault="00BB2D44">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7B670FE5"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0FFF" w14:textId="77777777">
        <w:trPr>
          <w:jc w:val="center"/>
        </w:trPr>
        <w:tc>
          <w:tcPr>
            <w:tcW w:w="0" w:type="auto"/>
            <w:gridSpan w:val="3"/>
            <w:shd w:val="clear" w:color="auto" w:fill="FFFFFF"/>
            <w:tcMar>
              <w:top w:w="40" w:type="dxa"/>
              <w:left w:w="155" w:type="dxa"/>
              <w:bottom w:w="40" w:type="dxa"/>
              <w:right w:w="20" w:type="dxa"/>
            </w:tcMar>
            <w:vAlign w:val="bottom"/>
          </w:tcPr>
          <w:p w14:paraId="7B670FE7" w14:textId="77777777" w:rsidR="0040300B" w:rsidRDefault="00BB2D44">
            <w:pPr>
              <w:textAlignment w:val="bottom"/>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7B670FE8" w14:textId="77777777" w:rsidR="0040300B" w:rsidRDefault="00BB2D44">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7B670FE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E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EB" w14:textId="77777777" w:rsidR="0040300B" w:rsidRDefault="00BB2D44">
            <w:pPr>
              <w:jc w:val="right"/>
              <w:textAlignment w:val="bottom"/>
            </w:pPr>
            <w:r>
              <w:rPr>
                <w:rFonts w:ascii="Times New Roman" w:eastAsia="宋体" w:hAnsi="Times New Roman"/>
                <w:color w:val="000000"/>
                <w:sz w:val="20"/>
                <w:szCs w:val="20"/>
              </w:rPr>
              <w:t>1,098 </w:t>
            </w:r>
          </w:p>
        </w:tc>
        <w:tc>
          <w:tcPr>
            <w:tcW w:w="0" w:type="auto"/>
            <w:shd w:val="clear" w:color="auto" w:fill="FFFFFF"/>
            <w:tcMar>
              <w:top w:w="40" w:type="dxa"/>
              <w:left w:w="0" w:type="dxa"/>
              <w:bottom w:w="40" w:type="dxa"/>
              <w:right w:w="20" w:type="dxa"/>
            </w:tcMar>
            <w:vAlign w:val="bottom"/>
          </w:tcPr>
          <w:p w14:paraId="7B670FE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E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EE" w14:textId="77777777" w:rsidR="0040300B" w:rsidRDefault="00BB2D44">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7B670FEF"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F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F1" w14:textId="77777777" w:rsidR="0040300B" w:rsidRDefault="00BB2D44">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7B670FF2"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F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F4" w14:textId="77777777" w:rsidR="0040300B" w:rsidRDefault="00BB2D44">
            <w:pPr>
              <w:jc w:val="right"/>
              <w:textAlignment w:val="bottom"/>
            </w:pPr>
            <w:r>
              <w:rPr>
                <w:rFonts w:ascii="Times New Roman" w:eastAsia="宋体" w:hAnsi="Times New Roman"/>
                <w:color w:val="000000"/>
                <w:sz w:val="20"/>
                <w:szCs w:val="20"/>
              </w:rPr>
              <w:t>3,599 </w:t>
            </w:r>
          </w:p>
        </w:tc>
        <w:tc>
          <w:tcPr>
            <w:tcW w:w="0" w:type="auto"/>
            <w:shd w:val="clear" w:color="auto" w:fill="FFFFFF"/>
            <w:tcMar>
              <w:top w:w="40" w:type="dxa"/>
              <w:left w:w="0" w:type="dxa"/>
              <w:bottom w:w="40" w:type="dxa"/>
              <w:right w:w="20" w:type="dxa"/>
            </w:tcMar>
            <w:vAlign w:val="bottom"/>
          </w:tcPr>
          <w:p w14:paraId="7B670FF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F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F7" w14:textId="77777777" w:rsidR="0040300B" w:rsidRDefault="00BB2D44">
            <w:pPr>
              <w:jc w:val="right"/>
              <w:textAlignment w:val="bottom"/>
            </w:pPr>
            <w:r>
              <w:rPr>
                <w:rFonts w:ascii="Times New Roman" w:eastAsia="宋体" w:hAnsi="Times New Roman"/>
                <w:color w:val="000000"/>
                <w:sz w:val="20"/>
                <w:szCs w:val="20"/>
              </w:rPr>
              <w:t>3,511 </w:t>
            </w:r>
          </w:p>
        </w:tc>
        <w:tc>
          <w:tcPr>
            <w:tcW w:w="0" w:type="auto"/>
            <w:shd w:val="clear" w:color="auto" w:fill="FFFFFF"/>
            <w:tcMar>
              <w:top w:w="40" w:type="dxa"/>
              <w:left w:w="0" w:type="dxa"/>
              <w:bottom w:w="40" w:type="dxa"/>
              <w:right w:w="20" w:type="dxa"/>
            </w:tcMar>
            <w:vAlign w:val="bottom"/>
          </w:tcPr>
          <w:p w14:paraId="7B670FF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0FF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FA" w14:textId="77777777" w:rsidR="0040300B" w:rsidRDefault="00BB2D44">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7B670FF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0FF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0FFD" w14:textId="77777777" w:rsidR="0040300B" w:rsidRDefault="00BB2D44">
            <w:pPr>
              <w:jc w:val="right"/>
              <w:textAlignment w:val="bottom"/>
            </w:pPr>
            <w:r>
              <w:rPr>
                <w:rFonts w:ascii="Times New Roman" w:eastAsia="宋体" w:hAnsi="Times New Roman"/>
                <w:color w:val="000000"/>
                <w:sz w:val="20"/>
                <w:szCs w:val="20"/>
              </w:rPr>
              <w:t>64.0 </w:t>
            </w:r>
          </w:p>
        </w:tc>
        <w:tc>
          <w:tcPr>
            <w:tcW w:w="0" w:type="auto"/>
            <w:shd w:val="clear" w:color="auto" w:fill="FFFFFF"/>
            <w:tcMar>
              <w:top w:w="40" w:type="dxa"/>
              <w:left w:w="0" w:type="dxa"/>
              <w:bottom w:w="40" w:type="dxa"/>
              <w:right w:w="20" w:type="dxa"/>
            </w:tcMar>
            <w:vAlign w:val="bottom"/>
          </w:tcPr>
          <w:p w14:paraId="7B670FFE"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018" w14:textId="77777777">
        <w:trPr>
          <w:jc w:val="center"/>
        </w:trPr>
        <w:tc>
          <w:tcPr>
            <w:tcW w:w="0" w:type="auto"/>
            <w:gridSpan w:val="3"/>
            <w:shd w:val="clear" w:color="auto" w:fill="CCEEFF"/>
            <w:tcMar>
              <w:top w:w="40" w:type="dxa"/>
              <w:left w:w="155" w:type="dxa"/>
              <w:bottom w:w="40" w:type="dxa"/>
              <w:right w:w="20" w:type="dxa"/>
            </w:tcMar>
            <w:vAlign w:val="bottom"/>
          </w:tcPr>
          <w:p w14:paraId="7B671000" w14:textId="77777777" w:rsidR="0040300B" w:rsidRDefault="00BB2D44">
            <w:pPr>
              <w:textAlignment w:val="bottom"/>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01" w14:textId="77777777" w:rsidR="0040300B" w:rsidRDefault="00BB2D44">
            <w:pPr>
              <w:jc w:val="right"/>
              <w:textAlignment w:val="bottom"/>
            </w:pPr>
            <w:r>
              <w:rPr>
                <w:rFonts w:ascii="Times New Roman" w:eastAsia="宋体" w:hAnsi="Times New Roman"/>
                <w:color w:val="000000"/>
                <w:sz w:val="20"/>
                <w:szCs w:val="20"/>
              </w:rPr>
              <w:t>8,445 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0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0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04" w14:textId="77777777" w:rsidR="0040300B" w:rsidRDefault="00BB2D44">
            <w:pPr>
              <w:jc w:val="right"/>
              <w:textAlignment w:val="bottom"/>
            </w:pPr>
            <w:r>
              <w:rPr>
                <w:rFonts w:ascii="Times New Roman" w:eastAsia="宋体" w:hAnsi="Times New Roman"/>
                <w:color w:val="000000"/>
                <w:sz w:val="20"/>
                <w:szCs w:val="20"/>
              </w:rPr>
              <w:t>7,986 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0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0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07" w14:textId="77777777" w:rsidR="0040300B" w:rsidRDefault="00BB2D44">
            <w:pPr>
              <w:jc w:val="right"/>
              <w:textAlignment w:val="bottom"/>
            </w:pPr>
            <w:r>
              <w:rPr>
                <w:rFonts w:ascii="Times New Roman" w:eastAsia="宋体" w:hAnsi="Times New Roman"/>
                <w:color w:val="000000"/>
                <w:sz w:val="20"/>
                <w:szCs w:val="20"/>
              </w:rPr>
              <w:t>66.0 </w:t>
            </w:r>
          </w:p>
        </w:tc>
        <w:tc>
          <w:tcPr>
            <w:tcW w:w="0" w:type="auto"/>
            <w:shd w:val="clear" w:color="auto" w:fill="CCEEFF"/>
            <w:tcMar>
              <w:top w:w="40" w:type="dxa"/>
              <w:left w:w="0" w:type="dxa"/>
              <w:bottom w:w="40" w:type="dxa"/>
              <w:right w:w="20" w:type="dxa"/>
            </w:tcMar>
            <w:vAlign w:val="bottom"/>
          </w:tcPr>
          <w:p w14:paraId="7B671008"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0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0A" w14:textId="77777777" w:rsidR="0040300B" w:rsidRDefault="00BB2D44">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7B67100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0C"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0D" w14:textId="77777777" w:rsidR="0040300B" w:rsidRDefault="00BB2D44">
            <w:pPr>
              <w:jc w:val="right"/>
              <w:textAlignment w:val="bottom"/>
            </w:pPr>
            <w:r>
              <w:rPr>
                <w:rFonts w:ascii="Times New Roman" w:eastAsia="宋体" w:hAnsi="Times New Roman"/>
                <w:color w:val="000000"/>
                <w:sz w:val="20"/>
                <w:szCs w:val="20"/>
              </w:rPr>
              <w:t>24,303 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0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0F"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10" w14:textId="77777777" w:rsidR="0040300B" w:rsidRDefault="00BB2D44">
            <w:pPr>
              <w:jc w:val="right"/>
              <w:textAlignment w:val="bottom"/>
            </w:pPr>
            <w:r>
              <w:rPr>
                <w:rFonts w:ascii="Times New Roman" w:eastAsia="宋体" w:hAnsi="Times New Roman"/>
                <w:color w:val="000000"/>
                <w:sz w:val="20"/>
                <w:szCs w:val="20"/>
              </w:rPr>
              <w:t>24,636 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1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1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13" w14:textId="77777777" w:rsidR="0040300B" w:rsidRDefault="00BB2D44">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7B67101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1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16" w14:textId="77777777" w:rsidR="0040300B" w:rsidRDefault="00BB2D44">
            <w:pPr>
              <w:jc w:val="right"/>
              <w:textAlignment w:val="bottom"/>
            </w:pPr>
            <w:r>
              <w:rPr>
                <w:rFonts w:ascii="Times New Roman" w:eastAsia="宋体" w:hAnsi="Times New Roman"/>
                <w:color w:val="000000"/>
                <w:sz w:val="20"/>
                <w:szCs w:val="20"/>
              </w:rPr>
              <w:t>66.3 </w:t>
            </w:r>
          </w:p>
        </w:tc>
        <w:tc>
          <w:tcPr>
            <w:tcW w:w="0" w:type="auto"/>
            <w:shd w:val="clear" w:color="auto" w:fill="CCEEFF"/>
            <w:tcMar>
              <w:top w:w="40" w:type="dxa"/>
              <w:left w:w="0" w:type="dxa"/>
              <w:bottom w:w="40" w:type="dxa"/>
              <w:right w:w="20" w:type="dxa"/>
            </w:tcMar>
            <w:vAlign w:val="bottom"/>
          </w:tcPr>
          <w:p w14:paraId="7B671017"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02D" w14:textId="77777777">
        <w:trPr>
          <w:jc w:val="center"/>
        </w:trPr>
        <w:tc>
          <w:tcPr>
            <w:tcW w:w="0" w:type="auto"/>
            <w:gridSpan w:val="3"/>
            <w:shd w:val="clear" w:color="auto" w:fill="FFFFFF"/>
            <w:tcMar>
              <w:top w:w="40" w:type="dxa"/>
              <w:left w:w="20" w:type="dxa"/>
              <w:bottom w:w="40" w:type="dxa"/>
              <w:right w:w="20" w:type="dxa"/>
            </w:tcMar>
            <w:vAlign w:val="bottom"/>
          </w:tcPr>
          <w:p w14:paraId="7B671019" w14:textId="77777777" w:rsidR="0040300B" w:rsidRDefault="00BB2D44">
            <w:pP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B67101A" w14:textId="77777777" w:rsidR="0040300B" w:rsidRDefault="00BB2D44">
            <w:pPr>
              <w:jc w:val="right"/>
              <w:textAlignment w:val="bottom"/>
            </w:pPr>
            <w:r>
              <w:rPr>
                <w:rFonts w:ascii="Times New Roman" w:eastAsia="宋体" w:hAnsi="Times New Roman"/>
                <w:color w:val="000000"/>
                <w:sz w:val="20"/>
                <w:szCs w:val="20"/>
              </w:rPr>
              <w:t>(260)</w:t>
            </w:r>
          </w:p>
        </w:tc>
        <w:tc>
          <w:tcPr>
            <w:tcW w:w="0" w:type="auto"/>
            <w:shd w:val="clear" w:color="auto" w:fill="FFFFFF"/>
            <w:tcMar>
              <w:top w:w="40" w:type="dxa"/>
              <w:left w:w="0" w:type="dxa"/>
              <w:bottom w:w="40" w:type="dxa"/>
              <w:right w:w="20" w:type="dxa"/>
            </w:tcMar>
            <w:vAlign w:val="bottom"/>
          </w:tcPr>
          <w:p w14:paraId="7B67101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01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1D" w14:textId="77777777" w:rsidR="0040300B" w:rsidRDefault="00BB2D44">
            <w:pPr>
              <w:jc w:val="right"/>
              <w:textAlignment w:val="bottom"/>
            </w:pPr>
            <w:r>
              <w:rPr>
                <w:rFonts w:ascii="Times New Roman" w:eastAsia="宋体" w:hAnsi="Times New Roman"/>
                <w:color w:val="000000"/>
                <w:sz w:val="20"/>
                <w:szCs w:val="20"/>
              </w:rPr>
              <w:t>(215)</w:t>
            </w:r>
          </w:p>
        </w:tc>
        <w:tc>
          <w:tcPr>
            <w:tcW w:w="0" w:type="auto"/>
            <w:shd w:val="clear" w:color="auto" w:fill="FFFFFF"/>
            <w:tcMar>
              <w:top w:w="40" w:type="dxa"/>
              <w:left w:w="0" w:type="dxa"/>
              <w:bottom w:w="40" w:type="dxa"/>
              <w:right w:w="20" w:type="dxa"/>
            </w:tcMar>
            <w:vAlign w:val="bottom"/>
          </w:tcPr>
          <w:p w14:paraId="7B67101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01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24" w14:textId="77777777" w:rsidR="0040300B" w:rsidRDefault="00BB2D44">
            <w:pPr>
              <w:jc w:val="right"/>
              <w:textAlignment w:val="bottom"/>
            </w:pPr>
            <w:r>
              <w:rPr>
                <w:rFonts w:ascii="Times New Roman" w:eastAsia="宋体" w:hAnsi="Times New Roman"/>
                <w:color w:val="000000"/>
                <w:sz w:val="20"/>
                <w:szCs w:val="20"/>
              </w:rPr>
              <w:t>(753)</w:t>
            </w:r>
          </w:p>
        </w:tc>
        <w:tc>
          <w:tcPr>
            <w:tcW w:w="0" w:type="auto"/>
            <w:shd w:val="clear" w:color="auto" w:fill="FFFFFF"/>
            <w:tcMar>
              <w:top w:w="40" w:type="dxa"/>
              <w:left w:w="0" w:type="dxa"/>
              <w:bottom w:w="40" w:type="dxa"/>
              <w:right w:w="20" w:type="dxa"/>
            </w:tcMar>
            <w:vAlign w:val="bottom"/>
          </w:tcPr>
          <w:p w14:paraId="7B67102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02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27" w14:textId="77777777" w:rsidR="0040300B" w:rsidRDefault="00BB2D44">
            <w:pPr>
              <w:jc w:val="right"/>
              <w:textAlignment w:val="bottom"/>
            </w:pPr>
            <w:r>
              <w:rPr>
                <w:rFonts w:ascii="Times New Roman" w:eastAsia="宋体" w:hAnsi="Times New Roman"/>
                <w:color w:val="000000"/>
                <w:sz w:val="20"/>
                <w:szCs w:val="20"/>
              </w:rPr>
              <w:t>(637)</w:t>
            </w:r>
          </w:p>
        </w:tc>
        <w:tc>
          <w:tcPr>
            <w:tcW w:w="0" w:type="auto"/>
            <w:shd w:val="clear" w:color="auto" w:fill="FFFFFF"/>
            <w:tcMar>
              <w:top w:w="40" w:type="dxa"/>
              <w:left w:w="0" w:type="dxa"/>
              <w:bottom w:w="40" w:type="dxa"/>
              <w:right w:w="20" w:type="dxa"/>
            </w:tcMar>
            <w:vAlign w:val="bottom"/>
          </w:tcPr>
          <w:p w14:paraId="7B67102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02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2C" w14:textId="77777777" w:rsidR="0040300B" w:rsidRDefault="0040300B">
            <w:pPr>
              <w:rPr>
                <w:rFonts w:ascii="宋体"/>
              </w:rPr>
            </w:pPr>
          </w:p>
        </w:tc>
      </w:tr>
      <w:tr w:rsidR="0040300B" w14:paraId="7B67104A" w14:textId="77777777">
        <w:trPr>
          <w:jc w:val="center"/>
        </w:trPr>
        <w:tc>
          <w:tcPr>
            <w:tcW w:w="0" w:type="auto"/>
            <w:gridSpan w:val="3"/>
            <w:shd w:val="clear" w:color="auto" w:fill="CCEEFF"/>
            <w:tcMar>
              <w:top w:w="40" w:type="dxa"/>
              <w:left w:w="380" w:type="dxa"/>
              <w:bottom w:w="40" w:type="dxa"/>
              <w:right w:w="20" w:type="dxa"/>
            </w:tcMar>
            <w:vAlign w:val="bottom"/>
          </w:tcPr>
          <w:p w14:paraId="7B67102E"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02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030" w14:textId="77777777" w:rsidR="0040300B" w:rsidRDefault="00BB2D44">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0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32"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03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034" w14:textId="77777777" w:rsidR="0040300B" w:rsidRDefault="00BB2D44">
            <w:pPr>
              <w:jc w:val="right"/>
              <w:textAlignment w:val="bottom"/>
            </w:pPr>
            <w:r>
              <w:rPr>
                <w:rFonts w:ascii="Times New Roman" w:eastAsia="宋体" w:hAnsi="Times New Roman"/>
                <w:color w:val="000000"/>
                <w:sz w:val="20"/>
                <w:szCs w:val="20"/>
              </w:rPr>
              <w:t>7,771 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03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3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37" w14:textId="77777777" w:rsidR="0040300B" w:rsidRDefault="00BB2D44">
            <w:pPr>
              <w:jc w:val="right"/>
              <w:textAlignment w:val="bottom"/>
            </w:pPr>
            <w:r>
              <w:rPr>
                <w:rFonts w:ascii="Times New Roman" w:eastAsia="宋体" w:hAnsi="Times New Roman"/>
                <w:color w:val="000000"/>
                <w:sz w:val="20"/>
                <w:szCs w:val="20"/>
              </w:rPr>
              <w:t>63.9 </w:t>
            </w:r>
          </w:p>
        </w:tc>
        <w:tc>
          <w:tcPr>
            <w:tcW w:w="0" w:type="auto"/>
            <w:shd w:val="clear" w:color="auto" w:fill="CCEEFF"/>
            <w:tcMar>
              <w:top w:w="40" w:type="dxa"/>
              <w:left w:w="0" w:type="dxa"/>
              <w:bottom w:w="40" w:type="dxa"/>
              <w:right w:w="20" w:type="dxa"/>
            </w:tcMar>
            <w:vAlign w:val="bottom"/>
          </w:tcPr>
          <w:p w14:paraId="7B671038"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3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3A" w14:textId="77777777" w:rsidR="0040300B" w:rsidRDefault="00BB2D44">
            <w:pPr>
              <w:jc w:val="right"/>
              <w:textAlignment w:val="bottom"/>
            </w:pPr>
            <w:r>
              <w:rPr>
                <w:rFonts w:ascii="Times New Roman" w:eastAsia="宋体" w:hAnsi="Times New Roman"/>
                <w:color w:val="000000"/>
                <w:sz w:val="20"/>
                <w:szCs w:val="20"/>
              </w:rPr>
              <w:t>64.9 </w:t>
            </w:r>
          </w:p>
        </w:tc>
        <w:tc>
          <w:tcPr>
            <w:tcW w:w="0" w:type="auto"/>
            <w:shd w:val="clear" w:color="auto" w:fill="CCEEFF"/>
            <w:tcMar>
              <w:top w:w="40" w:type="dxa"/>
              <w:left w:w="0" w:type="dxa"/>
              <w:bottom w:w="40" w:type="dxa"/>
              <w:right w:w="20" w:type="dxa"/>
            </w:tcMar>
            <w:vAlign w:val="bottom"/>
          </w:tcPr>
          <w:p w14:paraId="7B67103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3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03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03E" w14:textId="77777777" w:rsidR="0040300B" w:rsidRDefault="00BB2D44">
            <w:pPr>
              <w:jc w:val="right"/>
              <w:textAlignment w:val="bottom"/>
            </w:pPr>
            <w:r>
              <w:rPr>
                <w:rFonts w:ascii="Times New Roman" w:eastAsia="宋体" w:hAnsi="Times New Roman"/>
                <w:color w:val="000000"/>
                <w:sz w:val="20"/>
                <w:szCs w:val="20"/>
              </w:rPr>
              <w:t>23,550 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03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40"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04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042" w14:textId="77777777" w:rsidR="0040300B" w:rsidRDefault="00BB2D44">
            <w:pPr>
              <w:jc w:val="right"/>
              <w:textAlignment w:val="bottom"/>
            </w:pPr>
            <w:r>
              <w:rPr>
                <w:rFonts w:ascii="Times New Roman" w:eastAsia="宋体" w:hAnsi="Times New Roman"/>
                <w:color w:val="000000"/>
                <w:sz w:val="20"/>
                <w:szCs w:val="20"/>
              </w:rPr>
              <w:t>23,999 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0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4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45" w14:textId="77777777" w:rsidR="0040300B" w:rsidRDefault="00BB2D44">
            <w:pPr>
              <w:jc w:val="right"/>
              <w:textAlignment w:val="bottom"/>
            </w:pPr>
            <w:r>
              <w:rPr>
                <w:rFonts w:ascii="Times New Roman" w:eastAsia="宋体" w:hAnsi="Times New Roman"/>
                <w:color w:val="000000"/>
                <w:sz w:val="20"/>
                <w:szCs w:val="20"/>
              </w:rPr>
              <w:t>64.2 </w:t>
            </w:r>
          </w:p>
        </w:tc>
        <w:tc>
          <w:tcPr>
            <w:tcW w:w="0" w:type="auto"/>
            <w:shd w:val="clear" w:color="auto" w:fill="CCEEFF"/>
            <w:tcMar>
              <w:top w:w="40" w:type="dxa"/>
              <w:left w:w="0" w:type="dxa"/>
              <w:bottom w:w="40" w:type="dxa"/>
              <w:right w:w="20" w:type="dxa"/>
            </w:tcMar>
            <w:vAlign w:val="bottom"/>
          </w:tcPr>
          <w:p w14:paraId="7B671046"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4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48" w14:textId="77777777" w:rsidR="0040300B" w:rsidRDefault="00BB2D44">
            <w:pPr>
              <w:jc w:val="right"/>
              <w:textAlignment w:val="bottom"/>
            </w:pPr>
            <w:r>
              <w:rPr>
                <w:rFonts w:ascii="Times New Roman" w:eastAsia="宋体" w:hAnsi="Times New Roman"/>
                <w:color w:val="000000"/>
                <w:sz w:val="20"/>
                <w:szCs w:val="20"/>
              </w:rPr>
              <w:t>64.6 </w:t>
            </w:r>
          </w:p>
        </w:tc>
        <w:tc>
          <w:tcPr>
            <w:tcW w:w="0" w:type="auto"/>
            <w:shd w:val="clear" w:color="auto" w:fill="CCEEFF"/>
            <w:tcMar>
              <w:top w:w="40" w:type="dxa"/>
              <w:left w:w="0" w:type="dxa"/>
              <w:bottom w:w="40" w:type="dxa"/>
              <w:right w:w="20" w:type="dxa"/>
            </w:tcMar>
            <w:vAlign w:val="bottom"/>
          </w:tcPr>
          <w:p w14:paraId="7B671049" w14:textId="77777777" w:rsidR="0040300B" w:rsidRDefault="00BB2D44">
            <w:pPr>
              <w:jc w:val="right"/>
              <w:textAlignment w:val="bottom"/>
            </w:pPr>
            <w:r>
              <w:rPr>
                <w:rFonts w:ascii="Times New Roman" w:eastAsia="宋体" w:hAnsi="Times New Roman"/>
                <w:color w:val="000000"/>
                <w:sz w:val="20"/>
                <w:szCs w:val="20"/>
              </w:rPr>
              <w:t>%</w:t>
            </w:r>
          </w:p>
        </w:tc>
      </w:tr>
    </w:tbl>
    <w:p w14:paraId="7B67104B" w14:textId="77777777" w:rsidR="0040300B" w:rsidRDefault="00BB2D44">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The unallocated corporate items include the effects of amortization and impairments of acquisi</w:t>
      </w:r>
      <w:r>
        <w:rPr>
          <w:rFonts w:ascii="Times New Roman" w:eastAsia="宋体" w:hAnsi="Times New Roman"/>
          <w:color w:val="000000"/>
          <w:sz w:val="18"/>
          <w:szCs w:val="18"/>
        </w:rPr>
        <w:t>tion-related intangible assets, share-based compensation expense, significant litigation settlements and other contingencies, charges related to asset impairments and restructurings, and certain other charges. We do not allocate these items to the gross ma</w:t>
      </w:r>
      <w:r>
        <w:rPr>
          <w:rFonts w:ascii="Times New Roman" w:eastAsia="宋体" w:hAnsi="Times New Roman"/>
          <w:color w:val="000000"/>
          <w:sz w:val="18"/>
          <w:szCs w:val="18"/>
        </w:rPr>
        <w:t xml:space="preserve">rgin for each segment because management does not include such information in measuring the performance of the operating segments. </w:t>
      </w:r>
    </w:p>
    <w:p w14:paraId="7B67104C" w14:textId="77777777" w:rsidR="0040300B" w:rsidRDefault="00BB2D44">
      <w:pPr>
        <w:spacing w:before="120"/>
        <w:jc w:val="both"/>
      </w:pPr>
      <w:r>
        <w:rPr>
          <w:rFonts w:ascii="Times New Roman" w:eastAsia="宋体" w:hAnsi="Times New Roman"/>
          <w:color w:val="000000"/>
          <w:sz w:val="20"/>
          <w:szCs w:val="20"/>
        </w:rPr>
        <w:t xml:space="preserve">Amounts may not sum and percentages may not recalculate due to rounding. </w:t>
      </w:r>
    </w:p>
    <w:p w14:paraId="7B67104D"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104E" w14:textId="77777777" w:rsidR="0040300B" w:rsidRDefault="00BB2D44">
      <w:pPr>
        <w:spacing w:before="120"/>
        <w:jc w:val="both"/>
      </w:pPr>
      <w:r>
        <w:rPr>
          <w:rFonts w:ascii="Times New Roman" w:eastAsia="宋体" w:hAnsi="Times New Roman"/>
          <w:color w:val="000000"/>
          <w:sz w:val="20"/>
          <w:szCs w:val="20"/>
        </w:rPr>
        <w:t xml:space="preserve">We experienced a gross margin percentage decrease in our Americas segment due to pricing erosion and negative impacts from productivity, partially offset by favorable impacts from product mix. </w:t>
      </w:r>
    </w:p>
    <w:p w14:paraId="7B67104F" w14:textId="77777777" w:rsidR="0040300B" w:rsidRDefault="00BB2D44">
      <w:pPr>
        <w:spacing w:before="120"/>
        <w:jc w:val="both"/>
      </w:pPr>
      <w:r>
        <w:rPr>
          <w:rFonts w:ascii="Times New Roman" w:eastAsia="宋体" w:hAnsi="Times New Roman"/>
          <w:color w:val="000000"/>
          <w:sz w:val="20"/>
          <w:szCs w:val="20"/>
        </w:rPr>
        <w:t>Gross margin in our EMEA segment decreased slightly due to pri</w:t>
      </w:r>
      <w:r>
        <w:rPr>
          <w:rFonts w:ascii="Times New Roman" w:eastAsia="宋体" w:hAnsi="Times New Roman"/>
          <w:color w:val="000000"/>
          <w:sz w:val="20"/>
          <w:szCs w:val="20"/>
        </w:rPr>
        <w:t xml:space="preserve">cing erosion, partially offset by favorable impacts from productivity improvements and product mix. Lower service gross margin also contributed to the decrease in the gross margin in this geographic segment. </w:t>
      </w:r>
    </w:p>
    <w:p w14:paraId="7B671050" w14:textId="77777777" w:rsidR="0040300B" w:rsidRDefault="00BB2D44">
      <w:pPr>
        <w:spacing w:before="120"/>
        <w:jc w:val="both"/>
      </w:pPr>
      <w:r>
        <w:rPr>
          <w:rFonts w:ascii="Times New Roman" w:eastAsia="宋体" w:hAnsi="Times New Roman"/>
          <w:color w:val="000000"/>
          <w:sz w:val="20"/>
          <w:szCs w:val="20"/>
        </w:rPr>
        <w:t>The APJC segment gross margin percentage increa</w:t>
      </w:r>
      <w:r>
        <w:rPr>
          <w:rFonts w:ascii="Times New Roman" w:eastAsia="宋体" w:hAnsi="Times New Roman"/>
          <w:color w:val="000000"/>
          <w:sz w:val="20"/>
          <w:szCs w:val="20"/>
        </w:rPr>
        <w:t>se was due to favorable impacts from product mix, and to a lesser extent, productivity improvements, partially offset by pricing erosion. Higher service gross margin also contributed to the increase in the gross margin in this geographic segment.</w:t>
      </w:r>
    </w:p>
    <w:p w14:paraId="7B671051" w14:textId="77777777" w:rsidR="0040300B" w:rsidRDefault="00BB2D44">
      <w:pPr>
        <w:spacing w:before="120"/>
        <w:jc w:val="both"/>
      </w:pPr>
      <w:r>
        <w:rPr>
          <w:rFonts w:ascii="Times New Roman" w:eastAsia="宋体" w:hAnsi="Times New Roman"/>
          <w:color w:val="000000"/>
          <w:sz w:val="20"/>
          <w:szCs w:val="20"/>
        </w:rPr>
        <w:t>The gross</w:t>
      </w:r>
      <w:r>
        <w:rPr>
          <w:rFonts w:ascii="Times New Roman" w:eastAsia="宋体" w:hAnsi="Times New Roman"/>
          <w:color w:val="000000"/>
          <w:sz w:val="20"/>
          <w:szCs w:val="20"/>
        </w:rPr>
        <w:t xml:space="preserve"> margin percentage for a particular segment may fluctuate, and period-to-period changes in such percentages may or may not be indicative of a trend for that segment. </w:t>
      </w:r>
    </w:p>
    <w:p w14:paraId="7B671052"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1053" w14:textId="77777777" w:rsidR="0040300B" w:rsidRDefault="00BB2D44">
      <w:pPr>
        <w:spacing w:before="120"/>
        <w:jc w:val="both"/>
      </w:pPr>
      <w:r>
        <w:rPr>
          <w:rFonts w:ascii="Times New Roman" w:eastAsia="宋体" w:hAnsi="Times New Roman"/>
          <w:color w:val="000000"/>
          <w:sz w:val="20"/>
          <w:szCs w:val="20"/>
        </w:rPr>
        <w:t>Gross margin</w:t>
      </w:r>
      <w:r>
        <w:rPr>
          <w:rFonts w:ascii="Times New Roman" w:eastAsia="宋体" w:hAnsi="Times New Roman"/>
          <w:color w:val="000000"/>
          <w:sz w:val="20"/>
          <w:szCs w:val="20"/>
        </w:rPr>
        <w:t xml:space="preserve"> percentage in the Americas segment was flat, driven by favorable product mix, offset by pricing erosion.</w:t>
      </w:r>
    </w:p>
    <w:p w14:paraId="7B671054" w14:textId="77777777" w:rsidR="0040300B" w:rsidRDefault="00BB2D44">
      <w:pPr>
        <w:spacing w:before="120"/>
        <w:jc w:val="both"/>
      </w:pPr>
      <w:r>
        <w:rPr>
          <w:rFonts w:ascii="Times New Roman" w:eastAsia="宋体" w:hAnsi="Times New Roman"/>
          <w:color w:val="000000"/>
          <w:sz w:val="20"/>
          <w:szCs w:val="20"/>
        </w:rPr>
        <w:t>The gross margin percentage decrease in our EMEA segment was due to pricing erosion, partially offset by favorable product mix and productivity improv</w:t>
      </w:r>
      <w:r>
        <w:rPr>
          <w:rFonts w:ascii="Times New Roman" w:eastAsia="宋体" w:hAnsi="Times New Roman"/>
          <w:color w:val="000000"/>
          <w:sz w:val="20"/>
          <w:szCs w:val="20"/>
        </w:rPr>
        <w:t>ements.</w:t>
      </w:r>
    </w:p>
    <w:p w14:paraId="7B671055" w14:textId="77777777" w:rsidR="0040300B" w:rsidRDefault="00BB2D44">
      <w:pPr>
        <w:spacing w:before="120"/>
        <w:jc w:val="both"/>
      </w:pPr>
      <w:r>
        <w:rPr>
          <w:rFonts w:ascii="Times New Roman" w:eastAsia="宋体" w:hAnsi="Times New Roman"/>
          <w:color w:val="000000"/>
          <w:sz w:val="20"/>
          <w:szCs w:val="20"/>
        </w:rPr>
        <w:t>The APJC segment gross margin percentage increase was driven by productivity improvements and favorable product mix, partially offset by pricing erosion.</w:t>
      </w:r>
    </w:p>
    <w:p w14:paraId="7B671056" w14:textId="77777777" w:rsidR="0040300B" w:rsidRDefault="0040300B">
      <w:pPr>
        <w:jc w:val="both"/>
      </w:pPr>
    </w:p>
    <w:p w14:paraId="7B671057" w14:textId="77777777" w:rsidR="0040300B" w:rsidRDefault="00BB2D44">
      <w:pPr>
        <w:jc w:val="center"/>
      </w:pPr>
      <w:r>
        <w:rPr>
          <w:rFonts w:ascii="Times New Roman" w:eastAsia="宋体" w:hAnsi="Times New Roman"/>
          <w:color w:val="000000"/>
          <w:sz w:val="20"/>
          <w:szCs w:val="20"/>
        </w:rPr>
        <w:t>55</w:t>
      </w:r>
    </w:p>
    <w:p w14:paraId="7B671058" w14:textId="77777777" w:rsidR="0040300B" w:rsidRDefault="00BB2D44">
      <w:r>
        <w:pict w14:anchorId="7B671C47">
          <v:rect id="_x0000_i1079" style="width:415.3pt;height:1.5pt" o:hralign="center" o:hrstd="t" o:hr="t" fillcolor="#a0a0a0" stroked="f"/>
        </w:pict>
      </w:r>
    </w:p>
    <w:p w14:paraId="7B671059" w14:textId="77777777" w:rsidR="0040300B" w:rsidRDefault="00BB2D44">
      <w:hyperlink r:id="rId101"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05A" w14:textId="77777777" w:rsidR="0040300B" w:rsidRDefault="00BB2D44">
      <w:pPr>
        <w:jc w:val="center"/>
      </w:pPr>
      <w:r>
        <w:rPr>
          <w:rFonts w:ascii="Times New Roman" w:eastAsia="宋体" w:hAnsi="Times New Roman"/>
          <w:b/>
          <w:bCs/>
          <w:color w:val="000000"/>
          <w:sz w:val="18"/>
          <w:szCs w:val="18"/>
        </w:rPr>
        <w:t>CISCO SYSTEMS, INC.</w:t>
      </w:r>
    </w:p>
    <w:p w14:paraId="7B67105B"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105C" w14:textId="77777777" w:rsidR="0040300B" w:rsidRDefault="0040300B">
      <w:pPr>
        <w:jc w:val="center"/>
      </w:pPr>
    </w:p>
    <w:p w14:paraId="7B67105D" w14:textId="77777777" w:rsidR="0040300B" w:rsidRDefault="00BB2D44">
      <w:r>
        <w:rPr>
          <w:rFonts w:ascii="Times New Roman" w:eastAsia="宋体" w:hAnsi="Times New Roman"/>
          <w:b/>
          <w:bCs/>
          <w:color w:val="000000"/>
          <w:sz w:val="20"/>
          <w:szCs w:val="20"/>
        </w:rPr>
        <w:t>Research and Development (“R&amp;D”), Sales and Marketing, an</w:t>
      </w:r>
      <w:r>
        <w:rPr>
          <w:rFonts w:ascii="Times New Roman" w:eastAsia="宋体" w:hAnsi="Times New Roman"/>
          <w:b/>
          <w:bCs/>
          <w:color w:val="000000"/>
          <w:sz w:val="20"/>
          <w:szCs w:val="20"/>
        </w:rPr>
        <w:t>d General and Administrative (“G&amp;A”) Expenses</w:t>
      </w:r>
    </w:p>
    <w:p w14:paraId="7B67105E" w14:textId="77777777" w:rsidR="0040300B" w:rsidRDefault="00BB2D44">
      <w:pPr>
        <w:spacing w:before="120"/>
      </w:pPr>
      <w:r>
        <w:rPr>
          <w:rFonts w:ascii="Times New Roman" w:eastAsia="宋体" w:hAnsi="Times New Roman"/>
          <w:color w:val="000000"/>
          <w:sz w:val="20"/>
          <w:szCs w:val="20"/>
        </w:rPr>
        <w:t>R&amp;D, sales and marketing, and G&amp;A expenses are summarized in the following table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72"/>
        <w:gridCol w:w="1108"/>
        <w:gridCol w:w="37"/>
        <w:gridCol w:w="115"/>
        <w:gridCol w:w="479"/>
        <w:gridCol w:w="164"/>
        <w:gridCol w:w="36"/>
        <w:gridCol w:w="36"/>
        <w:gridCol w:w="36"/>
        <w:gridCol w:w="116"/>
        <w:gridCol w:w="479"/>
        <w:gridCol w:w="164"/>
        <w:gridCol w:w="36"/>
        <w:gridCol w:w="36"/>
        <w:gridCol w:w="36"/>
        <w:gridCol w:w="117"/>
        <w:gridCol w:w="579"/>
        <w:gridCol w:w="36"/>
        <w:gridCol w:w="36"/>
        <w:gridCol w:w="36"/>
        <w:gridCol w:w="36"/>
        <w:gridCol w:w="77"/>
        <w:gridCol w:w="579"/>
        <w:gridCol w:w="180"/>
        <w:gridCol w:w="36"/>
        <w:gridCol w:w="36"/>
        <w:gridCol w:w="36"/>
        <w:gridCol w:w="116"/>
        <w:gridCol w:w="575"/>
        <w:gridCol w:w="164"/>
        <w:gridCol w:w="36"/>
        <w:gridCol w:w="36"/>
        <w:gridCol w:w="36"/>
        <w:gridCol w:w="116"/>
        <w:gridCol w:w="575"/>
        <w:gridCol w:w="164"/>
        <w:gridCol w:w="36"/>
        <w:gridCol w:w="36"/>
        <w:gridCol w:w="36"/>
        <w:gridCol w:w="117"/>
        <w:gridCol w:w="579"/>
        <w:gridCol w:w="36"/>
        <w:gridCol w:w="36"/>
        <w:gridCol w:w="36"/>
        <w:gridCol w:w="36"/>
        <w:gridCol w:w="77"/>
        <w:gridCol w:w="579"/>
        <w:gridCol w:w="180"/>
      </w:tblGrid>
      <w:tr w:rsidR="0040300B" w14:paraId="7B67108F" w14:textId="77777777">
        <w:tc>
          <w:tcPr>
            <w:tcW w:w="50" w:type="pct"/>
            <w:shd w:val="clear" w:color="auto" w:fill="auto"/>
          </w:tcPr>
          <w:p w14:paraId="7B67105F" w14:textId="77777777" w:rsidR="0040300B" w:rsidRDefault="0040300B">
            <w:pPr>
              <w:rPr>
                <w:rFonts w:ascii="宋体"/>
              </w:rPr>
            </w:pPr>
          </w:p>
        </w:tc>
        <w:tc>
          <w:tcPr>
            <w:tcW w:w="1034" w:type="pct"/>
            <w:shd w:val="clear" w:color="auto" w:fill="auto"/>
          </w:tcPr>
          <w:p w14:paraId="7B671060" w14:textId="77777777" w:rsidR="0040300B" w:rsidRDefault="0040300B">
            <w:pPr>
              <w:rPr>
                <w:rFonts w:ascii="宋体"/>
              </w:rPr>
            </w:pPr>
          </w:p>
        </w:tc>
        <w:tc>
          <w:tcPr>
            <w:tcW w:w="5" w:type="pct"/>
            <w:shd w:val="clear" w:color="auto" w:fill="auto"/>
          </w:tcPr>
          <w:p w14:paraId="7B671061" w14:textId="77777777" w:rsidR="0040300B" w:rsidRDefault="0040300B">
            <w:pPr>
              <w:rPr>
                <w:rFonts w:ascii="宋体"/>
              </w:rPr>
            </w:pPr>
          </w:p>
        </w:tc>
        <w:tc>
          <w:tcPr>
            <w:tcW w:w="50" w:type="pct"/>
            <w:shd w:val="clear" w:color="auto" w:fill="auto"/>
          </w:tcPr>
          <w:p w14:paraId="7B671062" w14:textId="77777777" w:rsidR="0040300B" w:rsidRDefault="0040300B">
            <w:pPr>
              <w:rPr>
                <w:rFonts w:ascii="宋体"/>
              </w:rPr>
            </w:pPr>
          </w:p>
        </w:tc>
        <w:tc>
          <w:tcPr>
            <w:tcW w:w="420" w:type="pct"/>
            <w:shd w:val="clear" w:color="auto" w:fill="auto"/>
          </w:tcPr>
          <w:p w14:paraId="7B671063" w14:textId="77777777" w:rsidR="0040300B" w:rsidRDefault="0040300B">
            <w:pPr>
              <w:rPr>
                <w:rFonts w:ascii="宋体"/>
              </w:rPr>
            </w:pPr>
          </w:p>
        </w:tc>
        <w:tc>
          <w:tcPr>
            <w:tcW w:w="5" w:type="pct"/>
            <w:shd w:val="clear" w:color="auto" w:fill="auto"/>
          </w:tcPr>
          <w:p w14:paraId="7B671064" w14:textId="77777777" w:rsidR="0040300B" w:rsidRDefault="0040300B">
            <w:pPr>
              <w:rPr>
                <w:rFonts w:ascii="宋体"/>
              </w:rPr>
            </w:pPr>
          </w:p>
        </w:tc>
        <w:tc>
          <w:tcPr>
            <w:tcW w:w="5" w:type="pct"/>
            <w:shd w:val="clear" w:color="auto" w:fill="auto"/>
          </w:tcPr>
          <w:p w14:paraId="7B671065" w14:textId="77777777" w:rsidR="0040300B" w:rsidRDefault="0040300B">
            <w:pPr>
              <w:rPr>
                <w:rFonts w:ascii="宋体"/>
              </w:rPr>
            </w:pPr>
          </w:p>
        </w:tc>
        <w:tc>
          <w:tcPr>
            <w:tcW w:w="26" w:type="pct"/>
            <w:shd w:val="clear" w:color="auto" w:fill="auto"/>
          </w:tcPr>
          <w:p w14:paraId="7B671066" w14:textId="77777777" w:rsidR="0040300B" w:rsidRDefault="0040300B">
            <w:pPr>
              <w:rPr>
                <w:rFonts w:ascii="宋体"/>
              </w:rPr>
            </w:pPr>
          </w:p>
        </w:tc>
        <w:tc>
          <w:tcPr>
            <w:tcW w:w="5" w:type="pct"/>
            <w:shd w:val="clear" w:color="auto" w:fill="auto"/>
          </w:tcPr>
          <w:p w14:paraId="7B671067" w14:textId="77777777" w:rsidR="0040300B" w:rsidRDefault="0040300B">
            <w:pPr>
              <w:rPr>
                <w:rFonts w:ascii="宋体"/>
              </w:rPr>
            </w:pPr>
          </w:p>
        </w:tc>
        <w:tc>
          <w:tcPr>
            <w:tcW w:w="50" w:type="pct"/>
            <w:shd w:val="clear" w:color="auto" w:fill="auto"/>
          </w:tcPr>
          <w:p w14:paraId="7B671068" w14:textId="77777777" w:rsidR="0040300B" w:rsidRDefault="0040300B">
            <w:pPr>
              <w:rPr>
                <w:rFonts w:ascii="宋体"/>
              </w:rPr>
            </w:pPr>
          </w:p>
        </w:tc>
        <w:tc>
          <w:tcPr>
            <w:tcW w:w="420" w:type="pct"/>
            <w:shd w:val="clear" w:color="auto" w:fill="auto"/>
          </w:tcPr>
          <w:p w14:paraId="7B671069" w14:textId="77777777" w:rsidR="0040300B" w:rsidRDefault="0040300B">
            <w:pPr>
              <w:rPr>
                <w:rFonts w:ascii="宋体"/>
              </w:rPr>
            </w:pPr>
          </w:p>
        </w:tc>
        <w:tc>
          <w:tcPr>
            <w:tcW w:w="5" w:type="pct"/>
            <w:shd w:val="clear" w:color="auto" w:fill="auto"/>
          </w:tcPr>
          <w:p w14:paraId="7B67106A" w14:textId="77777777" w:rsidR="0040300B" w:rsidRDefault="0040300B">
            <w:pPr>
              <w:rPr>
                <w:rFonts w:ascii="宋体"/>
              </w:rPr>
            </w:pPr>
          </w:p>
        </w:tc>
        <w:tc>
          <w:tcPr>
            <w:tcW w:w="5" w:type="pct"/>
            <w:shd w:val="clear" w:color="auto" w:fill="auto"/>
          </w:tcPr>
          <w:p w14:paraId="7B67106B" w14:textId="77777777" w:rsidR="0040300B" w:rsidRDefault="0040300B">
            <w:pPr>
              <w:rPr>
                <w:rFonts w:ascii="宋体"/>
              </w:rPr>
            </w:pPr>
          </w:p>
        </w:tc>
        <w:tc>
          <w:tcPr>
            <w:tcW w:w="26" w:type="pct"/>
            <w:shd w:val="clear" w:color="auto" w:fill="auto"/>
          </w:tcPr>
          <w:p w14:paraId="7B67106C" w14:textId="77777777" w:rsidR="0040300B" w:rsidRDefault="0040300B">
            <w:pPr>
              <w:rPr>
                <w:rFonts w:ascii="宋体"/>
              </w:rPr>
            </w:pPr>
          </w:p>
        </w:tc>
        <w:tc>
          <w:tcPr>
            <w:tcW w:w="5" w:type="pct"/>
            <w:shd w:val="clear" w:color="auto" w:fill="auto"/>
          </w:tcPr>
          <w:p w14:paraId="7B67106D" w14:textId="77777777" w:rsidR="0040300B" w:rsidRDefault="0040300B">
            <w:pPr>
              <w:rPr>
                <w:rFonts w:ascii="宋体"/>
              </w:rPr>
            </w:pPr>
          </w:p>
        </w:tc>
        <w:tc>
          <w:tcPr>
            <w:tcW w:w="50" w:type="pct"/>
            <w:shd w:val="clear" w:color="auto" w:fill="auto"/>
          </w:tcPr>
          <w:p w14:paraId="7B67106E" w14:textId="77777777" w:rsidR="0040300B" w:rsidRDefault="0040300B">
            <w:pPr>
              <w:rPr>
                <w:rFonts w:ascii="宋体"/>
              </w:rPr>
            </w:pPr>
          </w:p>
        </w:tc>
        <w:tc>
          <w:tcPr>
            <w:tcW w:w="383" w:type="pct"/>
            <w:shd w:val="clear" w:color="auto" w:fill="auto"/>
          </w:tcPr>
          <w:p w14:paraId="7B67106F" w14:textId="77777777" w:rsidR="0040300B" w:rsidRDefault="0040300B">
            <w:pPr>
              <w:rPr>
                <w:rFonts w:ascii="宋体"/>
              </w:rPr>
            </w:pPr>
          </w:p>
        </w:tc>
        <w:tc>
          <w:tcPr>
            <w:tcW w:w="5" w:type="pct"/>
            <w:shd w:val="clear" w:color="auto" w:fill="auto"/>
          </w:tcPr>
          <w:p w14:paraId="7B671070" w14:textId="77777777" w:rsidR="0040300B" w:rsidRDefault="0040300B">
            <w:pPr>
              <w:rPr>
                <w:rFonts w:ascii="宋体"/>
              </w:rPr>
            </w:pPr>
          </w:p>
        </w:tc>
        <w:tc>
          <w:tcPr>
            <w:tcW w:w="5" w:type="pct"/>
            <w:shd w:val="clear" w:color="auto" w:fill="auto"/>
          </w:tcPr>
          <w:p w14:paraId="7B671071" w14:textId="77777777" w:rsidR="0040300B" w:rsidRDefault="0040300B">
            <w:pPr>
              <w:rPr>
                <w:rFonts w:ascii="宋体"/>
              </w:rPr>
            </w:pPr>
          </w:p>
        </w:tc>
        <w:tc>
          <w:tcPr>
            <w:tcW w:w="26" w:type="pct"/>
            <w:shd w:val="clear" w:color="auto" w:fill="auto"/>
          </w:tcPr>
          <w:p w14:paraId="7B671072" w14:textId="77777777" w:rsidR="0040300B" w:rsidRDefault="0040300B">
            <w:pPr>
              <w:rPr>
                <w:rFonts w:ascii="宋体"/>
              </w:rPr>
            </w:pPr>
          </w:p>
        </w:tc>
        <w:tc>
          <w:tcPr>
            <w:tcW w:w="5" w:type="pct"/>
            <w:shd w:val="clear" w:color="auto" w:fill="auto"/>
          </w:tcPr>
          <w:p w14:paraId="7B671073" w14:textId="77777777" w:rsidR="0040300B" w:rsidRDefault="0040300B">
            <w:pPr>
              <w:rPr>
                <w:rFonts w:ascii="宋体"/>
              </w:rPr>
            </w:pPr>
          </w:p>
        </w:tc>
        <w:tc>
          <w:tcPr>
            <w:tcW w:w="50" w:type="pct"/>
            <w:shd w:val="clear" w:color="auto" w:fill="auto"/>
          </w:tcPr>
          <w:p w14:paraId="7B671074" w14:textId="77777777" w:rsidR="0040300B" w:rsidRDefault="0040300B">
            <w:pPr>
              <w:rPr>
                <w:rFonts w:ascii="宋体"/>
              </w:rPr>
            </w:pPr>
          </w:p>
        </w:tc>
        <w:tc>
          <w:tcPr>
            <w:tcW w:w="383" w:type="pct"/>
            <w:shd w:val="clear" w:color="auto" w:fill="auto"/>
          </w:tcPr>
          <w:p w14:paraId="7B671075" w14:textId="77777777" w:rsidR="0040300B" w:rsidRDefault="0040300B">
            <w:pPr>
              <w:rPr>
                <w:rFonts w:ascii="宋体"/>
              </w:rPr>
            </w:pPr>
          </w:p>
        </w:tc>
        <w:tc>
          <w:tcPr>
            <w:tcW w:w="5" w:type="pct"/>
            <w:shd w:val="clear" w:color="auto" w:fill="auto"/>
          </w:tcPr>
          <w:p w14:paraId="7B671076" w14:textId="77777777" w:rsidR="0040300B" w:rsidRDefault="0040300B">
            <w:pPr>
              <w:rPr>
                <w:rFonts w:ascii="宋体"/>
              </w:rPr>
            </w:pPr>
          </w:p>
        </w:tc>
        <w:tc>
          <w:tcPr>
            <w:tcW w:w="5" w:type="pct"/>
            <w:shd w:val="clear" w:color="auto" w:fill="auto"/>
          </w:tcPr>
          <w:p w14:paraId="7B671077" w14:textId="77777777" w:rsidR="0040300B" w:rsidRDefault="0040300B">
            <w:pPr>
              <w:rPr>
                <w:rFonts w:ascii="宋体"/>
              </w:rPr>
            </w:pPr>
          </w:p>
        </w:tc>
        <w:tc>
          <w:tcPr>
            <w:tcW w:w="26" w:type="pct"/>
            <w:shd w:val="clear" w:color="auto" w:fill="auto"/>
          </w:tcPr>
          <w:p w14:paraId="7B671078" w14:textId="77777777" w:rsidR="0040300B" w:rsidRDefault="0040300B">
            <w:pPr>
              <w:rPr>
                <w:rFonts w:ascii="宋体"/>
              </w:rPr>
            </w:pPr>
          </w:p>
        </w:tc>
        <w:tc>
          <w:tcPr>
            <w:tcW w:w="5" w:type="pct"/>
            <w:shd w:val="clear" w:color="auto" w:fill="auto"/>
          </w:tcPr>
          <w:p w14:paraId="7B671079" w14:textId="77777777" w:rsidR="0040300B" w:rsidRDefault="0040300B">
            <w:pPr>
              <w:rPr>
                <w:rFonts w:ascii="宋体"/>
              </w:rPr>
            </w:pPr>
          </w:p>
        </w:tc>
        <w:tc>
          <w:tcPr>
            <w:tcW w:w="50" w:type="pct"/>
            <w:shd w:val="clear" w:color="auto" w:fill="auto"/>
          </w:tcPr>
          <w:p w14:paraId="7B67107A" w14:textId="77777777" w:rsidR="0040300B" w:rsidRDefault="0040300B">
            <w:pPr>
              <w:rPr>
                <w:rFonts w:ascii="宋体"/>
              </w:rPr>
            </w:pPr>
          </w:p>
        </w:tc>
        <w:tc>
          <w:tcPr>
            <w:tcW w:w="420" w:type="pct"/>
            <w:shd w:val="clear" w:color="auto" w:fill="auto"/>
          </w:tcPr>
          <w:p w14:paraId="7B67107B" w14:textId="77777777" w:rsidR="0040300B" w:rsidRDefault="0040300B">
            <w:pPr>
              <w:rPr>
                <w:rFonts w:ascii="宋体"/>
              </w:rPr>
            </w:pPr>
          </w:p>
        </w:tc>
        <w:tc>
          <w:tcPr>
            <w:tcW w:w="5" w:type="pct"/>
            <w:shd w:val="clear" w:color="auto" w:fill="auto"/>
          </w:tcPr>
          <w:p w14:paraId="7B67107C" w14:textId="77777777" w:rsidR="0040300B" w:rsidRDefault="0040300B">
            <w:pPr>
              <w:rPr>
                <w:rFonts w:ascii="宋体"/>
              </w:rPr>
            </w:pPr>
          </w:p>
        </w:tc>
        <w:tc>
          <w:tcPr>
            <w:tcW w:w="5" w:type="pct"/>
            <w:shd w:val="clear" w:color="auto" w:fill="auto"/>
          </w:tcPr>
          <w:p w14:paraId="7B67107D" w14:textId="77777777" w:rsidR="0040300B" w:rsidRDefault="0040300B">
            <w:pPr>
              <w:rPr>
                <w:rFonts w:ascii="宋体"/>
              </w:rPr>
            </w:pPr>
          </w:p>
        </w:tc>
        <w:tc>
          <w:tcPr>
            <w:tcW w:w="26" w:type="pct"/>
            <w:shd w:val="clear" w:color="auto" w:fill="auto"/>
          </w:tcPr>
          <w:p w14:paraId="7B67107E" w14:textId="77777777" w:rsidR="0040300B" w:rsidRDefault="0040300B">
            <w:pPr>
              <w:rPr>
                <w:rFonts w:ascii="宋体"/>
              </w:rPr>
            </w:pPr>
          </w:p>
        </w:tc>
        <w:tc>
          <w:tcPr>
            <w:tcW w:w="5" w:type="pct"/>
            <w:shd w:val="clear" w:color="auto" w:fill="auto"/>
          </w:tcPr>
          <w:p w14:paraId="7B67107F" w14:textId="77777777" w:rsidR="0040300B" w:rsidRDefault="0040300B">
            <w:pPr>
              <w:rPr>
                <w:rFonts w:ascii="宋体"/>
              </w:rPr>
            </w:pPr>
          </w:p>
        </w:tc>
        <w:tc>
          <w:tcPr>
            <w:tcW w:w="50" w:type="pct"/>
            <w:shd w:val="clear" w:color="auto" w:fill="auto"/>
          </w:tcPr>
          <w:p w14:paraId="7B671080" w14:textId="77777777" w:rsidR="0040300B" w:rsidRDefault="0040300B">
            <w:pPr>
              <w:rPr>
                <w:rFonts w:ascii="宋体"/>
              </w:rPr>
            </w:pPr>
          </w:p>
        </w:tc>
        <w:tc>
          <w:tcPr>
            <w:tcW w:w="420" w:type="pct"/>
            <w:shd w:val="clear" w:color="auto" w:fill="auto"/>
          </w:tcPr>
          <w:p w14:paraId="7B671081" w14:textId="77777777" w:rsidR="0040300B" w:rsidRDefault="0040300B">
            <w:pPr>
              <w:rPr>
                <w:rFonts w:ascii="宋体"/>
              </w:rPr>
            </w:pPr>
          </w:p>
        </w:tc>
        <w:tc>
          <w:tcPr>
            <w:tcW w:w="5" w:type="pct"/>
            <w:shd w:val="clear" w:color="auto" w:fill="auto"/>
          </w:tcPr>
          <w:p w14:paraId="7B671082" w14:textId="77777777" w:rsidR="0040300B" w:rsidRDefault="0040300B">
            <w:pPr>
              <w:rPr>
                <w:rFonts w:ascii="宋体"/>
              </w:rPr>
            </w:pPr>
          </w:p>
        </w:tc>
        <w:tc>
          <w:tcPr>
            <w:tcW w:w="5" w:type="pct"/>
            <w:shd w:val="clear" w:color="auto" w:fill="auto"/>
          </w:tcPr>
          <w:p w14:paraId="7B671083" w14:textId="77777777" w:rsidR="0040300B" w:rsidRDefault="0040300B">
            <w:pPr>
              <w:rPr>
                <w:rFonts w:ascii="宋体"/>
              </w:rPr>
            </w:pPr>
          </w:p>
        </w:tc>
        <w:tc>
          <w:tcPr>
            <w:tcW w:w="26" w:type="pct"/>
            <w:shd w:val="clear" w:color="auto" w:fill="auto"/>
          </w:tcPr>
          <w:p w14:paraId="7B671084" w14:textId="77777777" w:rsidR="0040300B" w:rsidRDefault="0040300B">
            <w:pPr>
              <w:rPr>
                <w:rFonts w:ascii="宋体"/>
              </w:rPr>
            </w:pPr>
          </w:p>
        </w:tc>
        <w:tc>
          <w:tcPr>
            <w:tcW w:w="5" w:type="pct"/>
            <w:shd w:val="clear" w:color="auto" w:fill="auto"/>
          </w:tcPr>
          <w:p w14:paraId="7B671085" w14:textId="77777777" w:rsidR="0040300B" w:rsidRDefault="0040300B">
            <w:pPr>
              <w:rPr>
                <w:rFonts w:ascii="宋体"/>
              </w:rPr>
            </w:pPr>
          </w:p>
        </w:tc>
        <w:tc>
          <w:tcPr>
            <w:tcW w:w="50" w:type="pct"/>
            <w:shd w:val="clear" w:color="auto" w:fill="auto"/>
          </w:tcPr>
          <w:p w14:paraId="7B671086" w14:textId="77777777" w:rsidR="0040300B" w:rsidRDefault="0040300B">
            <w:pPr>
              <w:rPr>
                <w:rFonts w:ascii="宋体"/>
              </w:rPr>
            </w:pPr>
          </w:p>
        </w:tc>
        <w:tc>
          <w:tcPr>
            <w:tcW w:w="383" w:type="pct"/>
            <w:shd w:val="clear" w:color="auto" w:fill="auto"/>
          </w:tcPr>
          <w:p w14:paraId="7B671087" w14:textId="77777777" w:rsidR="0040300B" w:rsidRDefault="0040300B">
            <w:pPr>
              <w:rPr>
                <w:rFonts w:ascii="宋体"/>
              </w:rPr>
            </w:pPr>
          </w:p>
        </w:tc>
        <w:tc>
          <w:tcPr>
            <w:tcW w:w="5" w:type="pct"/>
            <w:shd w:val="clear" w:color="auto" w:fill="auto"/>
          </w:tcPr>
          <w:p w14:paraId="7B671088" w14:textId="77777777" w:rsidR="0040300B" w:rsidRDefault="0040300B">
            <w:pPr>
              <w:rPr>
                <w:rFonts w:ascii="宋体"/>
              </w:rPr>
            </w:pPr>
          </w:p>
        </w:tc>
        <w:tc>
          <w:tcPr>
            <w:tcW w:w="5" w:type="pct"/>
            <w:shd w:val="clear" w:color="auto" w:fill="auto"/>
          </w:tcPr>
          <w:p w14:paraId="7B671089" w14:textId="77777777" w:rsidR="0040300B" w:rsidRDefault="0040300B">
            <w:pPr>
              <w:rPr>
                <w:rFonts w:ascii="宋体"/>
              </w:rPr>
            </w:pPr>
          </w:p>
        </w:tc>
        <w:tc>
          <w:tcPr>
            <w:tcW w:w="26" w:type="pct"/>
            <w:shd w:val="clear" w:color="auto" w:fill="auto"/>
          </w:tcPr>
          <w:p w14:paraId="7B67108A" w14:textId="77777777" w:rsidR="0040300B" w:rsidRDefault="0040300B">
            <w:pPr>
              <w:rPr>
                <w:rFonts w:ascii="宋体"/>
              </w:rPr>
            </w:pPr>
          </w:p>
        </w:tc>
        <w:tc>
          <w:tcPr>
            <w:tcW w:w="5" w:type="pct"/>
            <w:shd w:val="clear" w:color="auto" w:fill="auto"/>
          </w:tcPr>
          <w:p w14:paraId="7B67108B" w14:textId="77777777" w:rsidR="0040300B" w:rsidRDefault="0040300B">
            <w:pPr>
              <w:rPr>
                <w:rFonts w:ascii="宋体"/>
              </w:rPr>
            </w:pPr>
          </w:p>
        </w:tc>
        <w:tc>
          <w:tcPr>
            <w:tcW w:w="50" w:type="pct"/>
            <w:shd w:val="clear" w:color="auto" w:fill="auto"/>
          </w:tcPr>
          <w:p w14:paraId="7B67108C" w14:textId="77777777" w:rsidR="0040300B" w:rsidRDefault="0040300B">
            <w:pPr>
              <w:rPr>
                <w:rFonts w:ascii="宋体"/>
              </w:rPr>
            </w:pPr>
          </w:p>
        </w:tc>
        <w:tc>
          <w:tcPr>
            <w:tcW w:w="384" w:type="pct"/>
            <w:shd w:val="clear" w:color="auto" w:fill="auto"/>
          </w:tcPr>
          <w:p w14:paraId="7B67108D" w14:textId="77777777" w:rsidR="0040300B" w:rsidRDefault="0040300B">
            <w:pPr>
              <w:rPr>
                <w:rFonts w:ascii="宋体"/>
              </w:rPr>
            </w:pPr>
          </w:p>
        </w:tc>
        <w:tc>
          <w:tcPr>
            <w:tcW w:w="5" w:type="pct"/>
            <w:shd w:val="clear" w:color="auto" w:fill="auto"/>
          </w:tcPr>
          <w:p w14:paraId="7B67108E" w14:textId="77777777" w:rsidR="0040300B" w:rsidRDefault="0040300B">
            <w:pPr>
              <w:rPr>
                <w:rFonts w:ascii="宋体"/>
              </w:rPr>
            </w:pPr>
          </w:p>
        </w:tc>
      </w:tr>
      <w:tr w:rsidR="0040300B" w14:paraId="7B671094" w14:textId="77777777">
        <w:tc>
          <w:tcPr>
            <w:tcW w:w="0" w:type="auto"/>
            <w:gridSpan w:val="3"/>
            <w:shd w:val="clear" w:color="auto" w:fill="auto"/>
            <w:tcMar>
              <w:top w:w="0" w:type="dxa"/>
              <w:left w:w="20" w:type="dxa"/>
              <w:bottom w:w="0" w:type="dxa"/>
              <w:right w:w="20" w:type="dxa"/>
            </w:tcMar>
          </w:tcPr>
          <w:p w14:paraId="7B671090"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1091"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1092"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1093"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10A5" w14:textId="77777777">
        <w:tc>
          <w:tcPr>
            <w:tcW w:w="0" w:type="auto"/>
            <w:gridSpan w:val="3"/>
            <w:shd w:val="clear" w:color="auto" w:fill="auto"/>
            <w:tcMar>
              <w:top w:w="0" w:type="dxa"/>
              <w:left w:w="20" w:type="dxa"/>
              <w:bottom w:w="0" w:type="dxa"/>
              <w:right w:w="20" w:type="dxa"/>
            </w:tcMar>
          </w:tcPr>
          <w:p w14:paraId="7B67109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96"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09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98"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09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9A"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109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9C"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c>
          <w:tcPr>
            <w:tcW w:w="0" w:type="auto"/>
            <w:gridSpan w:val="3"/>
            <w:shd w:val="clear" w:color="auto" w:fill="auto"/>
            <w:tcMar>
              <w:top w:w="0" w:type="dxa"/>
              <w:left w:w="20" w:type="dxa"/>
              <w:bottom w:w="0" w:type="dxa"/>
              <w:right w:w="20" w:type="dxa"/>
            </w:tcMar>
          </w:tcPr>
          <w:p w14:paraId="7B67109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9E"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09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A0"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0A1"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A2"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tcPr>
          <w:p w14:paraId="7B6710A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0A4" w14:textId="77777777" w:rsidR="0040300B" w:rsidRDefault="00BB2D4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40300B" w14:paraId="7B6710C4" w14:textId="77777777">
        <w:tc>
          <w:tcPr>
            <w:tcW w:w="0" w:type="auto"/>
            <w:gridSpan w:val="3"/>
            <w:shd w:val="clear" w:color="auto" w:fill="CCEEFF"/>
            <w:tcMar>
              <w:top w:w="40" w:type="dxa"/>
              <w:left w:w="20" w:type="dxa"/>
              <w:bottom w:w="40" w:type="dxa"/>
              <w:right w:w="20" w:type="dxa"/>
            </w:tcMar>
            <w:vAlign w:val="bottom"/>
          </w:tcPr>
          <w:p w14:paraId="7B6710A6" w14:textId="77777777" w:rsidR="0040300B" w:rsidRDefault="00BB2D44">
            <w:pPr>
              <w:textAlignment w:val="bottom"/>
            </w:pPr>
            <w:r>
              <w:rPr>
                <w:rFonts w:ascii="Times New Roman" w:eastAsia="宋体" w:hAnsi="Times New Roman"/>
                <w:color w:val="000000"/>
                <w:sz w:val="20"/>
                <w:szCs w:val="20"/>
              </w:rPr>
              <w:t>Research and development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0A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A8" w14:textId="77777777" w:rsidR="0040300B" w:rsidRDefault="00BB2D44">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A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A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0A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AC" w14:textId="77777777" w:rsidR="0040300B" w:rsidRDefault="00BB2D44">
            <w:pPr>
              <w:jc w:val="right"/>
              <w:textAlignment w:val="bottom"/>
            </w:pPr>
            <w:r>
              <w:rPr>
                <w:rFonts w:ascii="Times New Roman" w:eastAsia="宋体" w:hAnsi="Times New Roman"/>
                <w:color w:val="000000"/>
                <w:sz w:val="20"/>
                <w:szCs w:val="20"/>
              </w:rPr>
              <w:t>1,546 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A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A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0A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B0" w14:textId="77777777" w:rsidR="0040300B" w:rsidRDefault="00BB2D44">
            <w:pPr>
              <w:jc w:val="right"/>
              <w:textAlignment w:val="bottom"/>
            </w:pPr>
            <w:r>
              <w:rPr>
                <w:rFonts w:ascii="Times New Roman" w:eastAsia="宋体" w:hAnsi="Times New Roman"/>
                <w:color w:val="000000"/>
                <w:sz w:val="20"/>
                <w:szCs w:val="20"/>
              </w:rPr>
              <w:t>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B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B2"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B3"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B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B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0B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B7" w14:textId="77777777" w:rsidR="0040300B" w:rsidRDefault="00BB2D44">
            <w:pPr>
              <w:jc w:val="right"/>
              <w:textAlignment w:val="bottom"/>
            </w:pPr>
            <w:r>
              <w:rPr>
                <w:rFonts w:ascii="Times New Roman" w:eastAsia="宋体" w:hAnsi="Times New Roman"/>
                <w:color w:val="000000"/>
                <w:sz w:val="20"/>
                <w:szCs w:val="20"/>
              </w:rPr>
              <w:t>4,836 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B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B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0B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BB" w14:textId="77777777" w:rsidR="0040300B" w:rsidRDefault="00BB2D44">
            <w:pPr>
              <w:jc w:val="right"/>
              <w:textAlignment w:val="bottom"/>
            </w:pPr>
            <w:r>
              <w:rPr>
                <w:rFonts w:ascii="Times New Roman" w:eastAsia="宋体" w:hAnsi="Times New Roman"/>
                <w:color w:val="000000"/>
                <w:sz w:val="20"/>
                <w:szCs w:val="20"/>
              </w:rPr>
              <w:t>4,782 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B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B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0B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0BF" w14:textId="77777777" w:rsidR="0040300B" w:rsidRDefault="00BB2D44">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C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C1"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0C2" w14:textId="77777777" w:rsidR="0040300B" w:rsidRDefault="00BB2D44">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0C3"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0D9" w14:textId="77777777">
        <w:tc>
          <w:tcPr>
            <w:tcW w:w="0" w:type="auto"/>
            <w:gridSpan w:val="3"/>
            <w:shd w:val="clear" w:color="auto" w:fill="FFFFFF"/>
            <w:tcMar>
              <w:top w:w="40" w:type="dxa"/>
              <w:left w:w="20" w:type="dxa"/>
              <w:bottom w:w="40" w:type="dxa"/>
              <w:right w:w="20" w:type="dxa"/>
            </w:tcMar>
            <w:vAlign w:val="bottom"/>
          </w:tcPr>
          <w:p w14:paraId="7B6710C5" w14:textId="77777777" w:rsidR="0040300B" w:rsidRDefault="00BB2D4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7B6710C6" w14:textId="77777777" w:rsidR="0040300B" w:rsidRDefault="00BB2D44">
            <w:pPr>
              <w:jc w:val="right"/>
              <w:textAlignment w:val="bottom"/>
            </w:pPr>
            <w:r>
              <w:rPr>
                <w:rFonts w:ascii="Times New Roman" w:eastAsia="宋体" w:hAnsi="Times New Roman"/>
                <w:i/>
                <w:iCs/>
                <w:color w:val="000000"/>
                <w:sz w:val="18"/>
                <w:szCs w:val="18"/>
              </w:rPr>
              <w:t>13.3 </w:t>
            </w:r>
          </w:p>
        </w:tc>
        <w:tc>
          <w:tcPr>
            <w:tcW w:w="0" w:type="auto"/>
            <w:shd w:val="clear" w:color="auto" w:fill="FFFFFF"/>
            <w:tcMar>
              <w:top w:w="40" w:type="dxa"/>
              <w:left w:w="0" w:type="dxa"/>
              <w:bottom w:w="40" w:type="dxa"/>
              <w:right w:w="20" w:type="dxa"/>
            </w:tcMar>
            <w:vAlign w:val="bottom"/>
          </w:tcPr>
          <w:p w14:paraId="7B6710C7"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C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C9" w14:textId="77777777" w:rsidR="0040300B" w:rsidRDefault="00BB2D44">
            <w:pPr>
              <w:jc w:val="right"/>
              <w:textAlignment w:val="bottom"/>
            </w:pPr>
            <w:r>
              <w:rPr>
                <w:rFonts w:ascii="Times New Roman" w:eastAsia="宋体" w:hAnsi="Times New Roman"/>
                <w:i/>
                <w:iCs/>
                <w:color w:val="000000"/>
                <w:sz w:val="18"/>
                <w:szCs w:val="18"/>
              </w:rPr>
              <w:t>12.9 </w:t>
            </w:r>
          </w:p>
        </w:tc>
        <w:tc>
          <w:tcPr>
            <w:tcW w:w="0" w:type="auto"/>
            <w:shd w:val="clear" w:color="auto" w:fill="FFFFFF"/>
            <w:tcMar>
              <w:top w:w="40" w:type="dxa"/>
              <w:left w:w="0" w:type="dxa"/>
              <w:bottom w:w="40" w:type="dxa"/>
              <w:right w:w="20" w:type="dxa"/>
            </w:tcMar>
            <w:vAlign w:val="bottom"/>
          </w:tcPr>
          <w:p w14:paraId="7B6710CA"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C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C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C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C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C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D0" w14:textId="77777777" w:rsidR="0040300B" w:rsidRDefault="00BB2D44">
            <w:pPr>
              <w:jc w:val="right"/>
              <w:textAlignment w:val="bottom"/>
            </w:pPr>
            <w:r>
              <w:rPr>
                <w:rFonts w:ascii="Times New Roman" w:eastAsia="宋体" w:hAnsi="Times New Roman"/>
                <w:i/>
                <w:iCs/>
                <w:color w:val="000000"/>
                <w:sz w:val="18"/>
                <w:szCs w:val="18"/>
              </w:rPr>
              <w:t>13.2 </w:t>
            </w:r>
          </w:p>
        </w:tc>
        <w:tc>
          <w:tcPr>
            <w:tcW w:w="0" w:type="auto"/>
            <w:shd w:val="clear" w:color="auto" w:fill="FFFFFF"/>
            <w:tcMar>
              <w:top w:w="40" w:type="dxa"/>
              <w:left w:w="0" w:type="dxa"/>
              <w:bottom w:w="40" w:type="dxa"/>
              <w:right w:w="20" w:type="dxa"/>
            </w:tcMar>
            <w:vAlign w:val="bottom"/>
          </w:tcPr>
          <w:p w14:paraId="7B6710D1"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D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D3" w14:textId="77777777" w:rsidR="0040300B" w:rsidRDefault="00BB2D44">
            <w:pPr>
              <w:jc w:val="right"/>
              <w:textAlignment w:val="bottom"/>
            </w:pPr>
            <w:r>
              <w:rPr>
                <w:rFonts w:ascii="Times New Roman" w:eastAsia="宋体" w:hAnsi="Times New Roman"/>
                <w:i/>
                <w:iCs/>
                <w:color w:val="000000"/>
                <w:sz w:val="18"/>
                <w:szCs w:val="18"/>
              </w:rPr>
              <w:t>12.9 </w:t>
            </w:r>
          </w:p>
        </w:tc>
        <w:tc>
          <w:tcPr>
            <w:tcW w:w="0" w:type="auto"/>
            <w:shd w:val="clear" w:color="auto" w:fill="FFFFFF"/>
            <w:tcMar>
              <w:top w:w="40" w:type="dxa"/>
              <w:left w:w="0" w:type="dxa"/>
              <w:bottom w:w="40" w:type="dxa"/>
              <w:right w:w="20" w:type="dxa"/>
            </w:tcMar>
            <w:vAlign w:val="bottom"/>
          </w:tcPr>
          <w:p w14:paraId="7B6710D4"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D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D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D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D8" w14:textId="77777777" w:rsidR="0040300B" w:rsidRDefault="0040300B">
            <w:pPr>
              <w:rPr>
                <w:rFonts w:ascii="宋体"/>
              </w:rPr>
            </w:pPr>
          </w:p>
        </w:tc>
      </w:tr>
      <w:tr w:rsidR="0040300B" w14:paraId="7B6710F2" w14:textId="77777777">
        <w:tc>
          <w:tcPr>
            <w:tcW w:w="0" w:type="auto"/>
            <w:gridSpan w:val="3"/>
            <w:shd w:val="clear" w:color="auto" w:fill="CCEEFF"/>
            <w:tcMar>
              <w:top w:w="40" w:type="dxa"/>
              <w:left w:w="20" w:type="dxa"/>
              <w:bottom w:w="40" w:type="dxa"/>
              <w:right w:w="20" w:type="dxa"/>
            </w:tcMar>
            <w:vAlign w:val="bottom"/>
          </w:tcPr>
          <w:p w14:paraId="7B6710DA" w14:textId="77777777" w:rsidR="0040300B" w:rsidRDefault="00BB2D44">
            <w:pPr>
              <w:textAlignment w:val="bottom"/>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7B6710DB" w14:textId="77777777" w:rsidR="0040300B" w:rsidRDefault="00BB2D44">
            <w:pPr>
              <w:jc w:val="right"/>
              <w:textAlignment w:val="bottom"/>
            </w:pPr>
            <w:r>
              <w:rPr>
                <w:rFonts w:ascii="Times New Roman" w:eastAsia="宋体" w:hAnsi="Times New Roman"/>
                <w:color w:val="000000"/>
                <w:sz w:val="20"/>
                <w:szCs w:val="20"/>
              </w:rPr>
              <w:t>2,317 </w:t>
            </w:r>
          </w:p>
        </w:tc>
        <w:tc>
          <w:tcPr>
            <w:tcW w:w="0" w:type="auto"/>
            <w:shd w:val="clear" w:color="auto" w:fill="CCEEFF"/>
            <w:tcMar>
              <w:top w:w="40" w:type="dxa"/>
              <w:left w:w="0" w:type="dxa"/>
              <w:bottom w:w="40" w:type="dxa"/>
              <w:right w:w="20" w:type="dxa"/>
            </w:tcMar>
            <w:vAlign w:val="bottom"/>
          </w:tcPr>
          <w:p w14:paraId="7B6710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D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DE" w14:textId="77777777" w:rsidR="0040300B" w:rsidRDefault="00BB2D44">
            <w:pPr>
              <w:jc w:val="right"/>
              <w:textAlignment w:val="bottom"/>
            </w:pPr>
            <w:r>
              <w:rPr>
                <w:rFonts w:ascii="Times New Roman" w:eastAsia="宋体" w:hAnsi="Times New Roman"/>
                <w:color w:val="000000"/>
                <w:sz w:val="20"/>
                <w:szCs w:val="20"/>
              </w:rPr>
              <w:t>2,192 </w:t>
            </w:r>
          </w:p>
        </w:tc>
        <w:tc>
          <w:tcPr>
            <w:tcW w:w="0" w:type="auto"/>
            <w:shd w:val="clear" w:color="auto" w:fill="CCEEFF"/>
            <w:tcMar>
              <w:top w:w="40" w:type="dxa"/>
              <w:left w:w="0" w:type="dxa"/>
              <w:bottom w:w="40" w:type="dxa"/>
              <w:right w:w="20" w:type="dxa"/>
            </w:tcMar>
            <w:vAlign w:val="bottom"/>
          </w:tcPr>
          <w:p w14:paraId="7B6710D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E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E1" w14:textId="77777777" w:rsidR="0040300B" w:rsidRDefault="00BB2D44">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7B6710E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E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E4" w14:textId="77777777" w:rsidR="0040300B" w:rsidRDefault="00BB2D4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B6710E5"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0E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E7" w14:textId="77777777" w:rsidR="0040300B" w:rsidRDefault="00BB2D44">
            <w:pPr>
              <w:jc w:val="right"/>
              <w:textAlignment w:val="bottom"/>
            </w:pPr>
            <w:r>
              <w:rPr>
                <w:rFonts w:ascii="Times New Roman" w:eastAsia="宋体" w:hAnsi="Times New Roman"/>
                <w:color w:val="000000"/>
                <w:sz w:val="20"/>
                <w:szCs w:val="20"/>
              </w:rPr>
              <w:t>6,811 </w:t>
            </w:r>
          </w:p>
        </w:tc>
        <w:tc>
          <w:tcPr>
            <w:tcW w:w="0" w:type="auto"/>
            <w:shd w:val="clear" w:color="auto" w:fill="CCEEFF"/>
            <w:tcMar>
              <w:top w:w="40" w:type="dxa"/>
              <w:left w:w="0" w:type="dxa"/>
              <w:bottom w:w="40" w:type="dxa"/>
              <w:right w:w="20" w:type="dxa"/>
            </w:tcMar>
            <w:vAlign w:val="bottom"/>
          </w:tcPr>
          <w:p w14:paraId="7B6710E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E9"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EA" w14:textId="77777777" w:rsidR="0040300B" w:rsidRDefault="00BB2D44">
            <w:pPr>
              <w:jc w:val="right"/>
              <w:textAlignment w:val="bottom"/>
            </w:pPr>
            <w:r>
              <w:rPr>
                <w:rFonts w:ascii="Times New Roman" w:eastAsia="宋体" w:hAnsi="Times New Roman"/>
                <w:color w:val="000000"/>
                <w:sz w:val="20"/>
                <w:szCs w:val="20"/>
              </w:rPr>
              <w:t>6,951 </w:t>
            </w:r>
          </w:p>
        </w:tc>
        <w:tc>
          <w:tcPr>
            <w:tcW w:w="0" w:type="auto"/>
            <w:shd w:val="clear" w:color="auto" w:fill="CCEEFF"/>
            <w:tcMar>
              <w:top w:w="40" w:type="dxa"/>
              <w:left w:w="0" w:type="dxa"/>
              <w:bottom w:w="40" w:type="dxa"/>
              <w:right w:w="20" w:type="dxa"/>
            </w:tcMar>
            <w:vAlign w:val="bottom"/>
          </w:tcPr>
          <w:p w14:paraId="7B6710E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EC"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ED" w14:textId="77777777" w:rsidR="0040300B" w:rsidRDefault="00BB2D44">
            <w:pPr>
              <w:jc w:val="right"/>
              <w:textAlignment w:val="bottom"/>
            </w:pPr>
            <w:r>
              <w:rPr>
                <w:rFonts w:ascii="Times New Roman" w:eastAsia="宋体" w:hAnsi="Times New Roman"/>
                <w:color w:val="000000"/>
                <w:sz w:val="20"/>
                <w:szCs w:val="20"/>
              </w:rPr>
              <w:t>(140)</w:t>
            </w:r>
          </w:p>
        </w:tc>
        <w:tc>
          <w:tcPr>
            <w:tcW w:w="0" w:type="auto"/>
            <w:shd w:val="clear" w:color="auto" w:fill="CCEEFF"/>
            <w:tcMar>
              <w:top w:w="40" w:type="dxa"/>
              <w:left w:w="0" w:type="dxa"/>
              <w:bottom w:w="40" w:type="dxa"/>
              <w:right w:w="20" w:type="dxa"/>
            </w:tcMar>
            <w:vAlign w:val="bottom"/>
          </w:tcPr>
          <w:p w14:paraId="7B6710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0E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0F0" w14:textId="77777777" w:rsidR="0040300B" w:rsidRDefault="00BB2D4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B6710F1"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107" w14:textId="77777777">
        <w:tc>
          <w:tcPr>
            <w:tcW w:w="0" w:type="auto"/>
            <w:gridSpan w:val="3"/>
            <w:shd w:val="clear" w:color="auto" w:fill="FFFFFF"/>
            <w:tcMar>
              <w:top w:w="40" w:type="dxa"/>
              <w:left w:w="20" w:type="dxa"/>
              <w:bottom w:w="40" w:type="dxa"/>
              <w:right w:w="20" w:type="dxa"/>
            </w:tcMar>
            <w:vAlign w:val="bottom"/>
          </w:tcPr>
          <w:p w14:paraId="7B6710F3" w14:textId="77777777" w:rsidR="0040300B" w:rsidRDefault="00BB2D4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7B6710F4" w14:textId="77777777" w:rsidR="0040300B" w:rsidRDefault="00BB2D44">
            <w:pPr>
              <w:jc w:val="right"/>
              <w:textAlignment w:val="bottom"/>
            </w:pPr>
            <w:r>
              <w:rPr>
                <w:rFonts w:ascii="Times New Roman" w:eastAsia="宋体" w:hAnsi="Times New Roman"/>
                <w:i/>
                <w:iCs/>
                <w:color w:val="000000"/>
                <w:sz w:val="18"/>
                <w:szCs w:val="18"/>
              </w:rPr>
              <w:t>18.1 </w:t>
            </w:r>
          </w:p>
        </w:tc>
        <w:tc>
          <w:tcPr>
            <w:tcW w:w="0" w:type="auto"/>
            <w:shd w:val="clear" w:color="auto" w:fill="FFFFFF"/>
            <w:tcMar>
              <w:top w:w="40" w:type="dxa"/>
              <w:left w:w="0" w:type="dxa"/>
              <w:bottom w:w="40" w:type="dxa"/>
              <w:right w:w="20" w:type="dxa"/>
            </w:tcMar>
            <w:vAlign w:val="bottom"/>
          </w:tcPr>
          <w:p w14:paraId="7B6710F5"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F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F7" w14:textId="77777777" w:rsidR="0040300B" w:rsidRDefault="00BB2D44">
            <w:pPr>
              <w:jc w:val="right"/>
              <w:textAlignment w:val="bottom"/>
            </w:pPr>
            <w:r>
              <w:rPr>
                <w:rFonts w:ascii="Times New Roman" w:eastAsia="宋体" w:hAnsi="Times New Roman"/>
                <w:i/>
                <w:iCs/>
                <w:color w:val="000000"/>
                <w:sz w:val="18"/>
                <w:szCs w:val="18"/>
              </w:rPr>
              <w:t>18.3 </w:t>
            </w:r>
          </w:p>
        </w:tc>
        <w:tc>
          <w:tcPr>
            <w:tcW w:w="0" w:type="auto"/>
            <w:shd w:val="clear" w:color="auto" w:fill="FFFFFF"/>
            <w:tcMar>
              <w:top w:w="40" w:type="dxa"/>
              <w:left w:w="0" w:type="dxa"/>
              <w:bottom w:w="40" w:type="dxa"/>
              <w:right w:w="20" w:type="dxa"/>
            </w:tcMar>
            <w:vAlign w:val="bottom"/>
          </w:tcPr>
          <w:p w14:paraId="7B6710F8"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0F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F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F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F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0F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0FE" w14:textId="77777777" w:rsidR="0040300B" w:rsidRDefault="00BB2D44">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7B6710FF"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0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101" w14:textId="77777777" w:rsidR="0040300B" w:rsidRDefault="00BB2D44">
            <w:pPr>
              <w:jc w:val="right"/>
              <w:textAlignment w:val="bottom"/>
            </w:pPr>
            <w:r>
              <w:rPr>
                <w:rFonts w:ascii="Times New Roman" w:eastAsia="宋体" w:hAnsi="Times New Roman"/>
                <w:i/>
                <w:iCs/>
                <w:color w:val="000000"/>
                <w:sz w:val="18"/>
                <w:szCs w:val="18"/>
              </w:rPr>
              <w:t>18.7 </w:t>
            </w:r>
          </w:p>
        </w:tc>
        <w:tc>
          <w:tcPr>
            <w:tcW w:w="0" w:type="auto"/>
            <w:shd w:val="clear" w:color="auto" w:fill="FFFFFF"/>
            <w:tcMar>
              <w:top w:w="40" w:type="dxa"/>
              <w:left w:w="0" w:type="dxa"/>
              <w:bottom w:w="40" w:type="dxa"/>
              <w:right w:w="20" w:type="dxa"/>
            </w:tcMar>
            <w:vAlign w:val="bottom"/>
          </w:tcPr>
          <w:p w14:paraId="7B671102"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0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0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0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06" w14:textId="77777777" w:rsidR="0040300B" w:rsidRDefault="0040300B">
            <w:pPr>
              <w:rPr>
                <w:rFonts w:ascii="宋体"/>
              </w:rPr>
            </w:pPr>
          </w:p>
        </w:tc>
      </w:tr>
      <w:tr w:rsidR="0040300B" w14:paraId="7B671120" w14:textId="77777777">
        <w:tc>
          <w:tcPr>
            <w:tcW w:w="0" w:type="auto"/>
            <w:gridSpan w:val="3"/>
            <w:shd w:val="clear" w:color="auto" w:fill="CCEEFF"/>
            <w:tcMar>
              <w:top w:w="40" w:type="dxa"/>
              <w:left w:w="20" w:type="dxa"/>
              <w:bottom w:w="40" w:type="dxa"/>
              <w:right w:w="20" w:type="dxa"/>
            </w:tcMar>
            <w:vAlign w:val="bottom"/>
          </w:tcPr>
          <w:p w14:paraId="7B671108" w14:textId="77777777" w:rsidR="0040300B" w:rsidRDefault="00BB2D44">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7B671109" w14:textId="77777777" w:rsidR="0040300B" w:rsidRDefault="00BB2D44">
            <w:pPr>
              <w:jc w:val="right"/>
              <w:textAlignment w:val="bottom"/>
            </w:pPr>
            <w:r>
              <w:rPr>
                <w:rFonts w:ascii="Times New Roman" w:eastAsia="宋体" w:hAnsi="Times New Roman"/>
                <w:color w:val="000000"/>
                <w:sz w:val="20"/>
                <w:szCs w:val="20"/>
              </w:rPr>
              <w:t>603 </w:t>
            </w:r>
          </w:p>
        </w:tc>
        <w:tc>
          <w:tcPr>
            <w:tcW w:w="0" w:type="auto"/>
            <w:shd w:val="clear" w:color="auto" w:fill="CCEEFF"/>
            <w:tcMar>
              <w:top w:w="40" w:type="dxa"/>
              <w:left w:w="0" w:type="dxa"/>
              <w:bottom w:w="40" w:type="dxa"/>
              <w:right w:w="20" w:type="dxa"/>
            </w:tcMar>
            <w:vAlign w:val="bottom"/>
          </w:tcPr>
          <w:p w14:paraId="7B67110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0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0C" w14:textId="77777777" w:rsidR="0040300B" w:rsidRDefault="00BB2D44">
            <w:pPr>
              <w:jc w:val="right"/>
              <w:textAlignment w:val="bottom"/>
            </w:pPr>
            <w:r>
              <w:rPr>
                <w:rFonts w:ascii="Times New Roman" w:eastAsia="宋体" w:hAnsi="Times New Roman"/>
                <w:color w:val="000000"/>
                <w:sz w:val="20"/>
                <w:szCs w:val="20"/>
              </w:rPr>
              <w:t>457 </w:t>
            </w:r>
          </w:p>
        </w:tc>
        <w:tc>
          <w:tcPr>
            <w:tcW w:w="0" w:type="auto"/>
            <w:shd w:val="clear" w:color="auto" w:fill="CCEEFF"/>
            <w:tcMar>
              <w:top w:w="40" w:type="dxa"/>
              <w:left w:w="0" w:type="dxa"/>
              <w:bottom w:w="40" w:type="dxa"/>
              <w:right w:w="20" w:type="dxa"/>
            </w:tcMar>
            <w:vAlign w:val="bottom"/>
          </w:tcPr>
          <w:p w14:paraId="7B67110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0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0F" w14:textId="77777777" w:rsidR="0040300B" w:rsidRDefault="00BB2D44">
            <w:pPr>
              <w:jc w:val="right"/>
              <w:textAlignment w:val="bottom"/>
            </w:pPr>
            <w:r>
              <w:rPr>
                <w:rFonts w:ascii="Times New Roman" w:eastAsia="宋体" w:hAnsi="Times New Roman"/>
                <w:color w:val="000000"/>
                <w:sz w:val="20"/>
                <w:szCs w:val="20"/>
              </w:rPr>
              <w:t>146 </w:t>
            </w:r>
          </w:p>
        </w:tc>
        <w:tc>
          <w:tcPr>
            <w:tcW w:w="0" w:type="auto"/>
            <w:shd w:val="clear" w:color="auto" w:fill="CCEEFF"/>
            <w:tcMar>
              <w:top w:w="40" w:type="dxa"/>
              <w:left w:w="0" w:type="dxa"/>
              <w:bottom w:w="40" w:type="dxa"/>
              <w:right w:w="20" w:type="dxa"/>
            </w:tcMar>
            <w:vAlign w:val="bottom"/>
          </w:tcPr>
          <w:p w14:paraId="7B67111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1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12" w14:textId="77777777" w:rsidR="0040300B" w:rsidRDefault="00BB2D44">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7B671113"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11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15" w14:textId="77777777" w:rsidR="0040300B" w:rsidRDefault="00BB2D44">
            <w:pPr>
              <w:jc w:val="right"/>
              <w:textAlignment w:val="bottom"/>
            </w:pPr>
            <w:r>
              <w:rPr>
                <w:rFonts w:ascii="Times New Roman" w:eastAsia="宋体" w:hAnsi="Times New Roman"/>
                <w:color w:val="000000"/>
                <w:sz w:val="20"/>
                <w:szCs w:val="20"/>
              </w:rPr>
              <w:t>1,631 </w:t>
            </w:r>
          </w:p>
        </w:tc>
        <w:tc>
          <w:tcPr>
            <w:tcW w:w="0" w:type="auto"/>
            <w:shd w:val="clear" w:color="auto" w:fill="CCEEFF"/>
            <w:tcMar>
              <w:top w:w="40" w:type="dxa"/>
              <w:left w:w="0" w:type="dxa"/>
              <w:bottom w:w="40" w:type="dxa"/>
              <w:right w:w="20" w:type="dxa"/>
            </w:tcMar>
            <w:vAlign w:val="bottom"/>
          </w:tcPr>
          <w:p w14:paraId="7B67111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1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18" w14:textId="77777777" w:rsidR="0040300B" w:rsidRDefault="00BB2D44">
            <w:pPr>
              <w:jc w:val="right"/>
              <w:textAlignment w:val="bottom"/>
            </w:pPr>
            <w:r>
              <w:rPr>
                <w:rFonts w:ascii="Times New Roman" w:eastAsia="宋体" w:hAnsi="Times New Roman"/>
                <w:color w:val="000000"/>
                <w:sz w:val="20"/>
                <w:szCs w:val="20"/>
              </w:rPr>
              <w:t>1,431 </w:t>
            </w:r>
          </w:p>
        </w:tc>
        <w:tc>
          <w:tcPr>
            <w:tcW w:w="0" w:type="auto"/>
            <w:shd w:val="clear" w:color="auto" w:fill="CCEEFF"/>
            <w:tcMar>
              <w:top w:w="40" w:type="dxa"/>
              <w:left w:w="0" w:type="dxa"/>
              <w:bottom w:w="40" w:type="dxa"/>
              <w:right w:w="20" w:type="dxa"/>
            </w:tcMar>
            <w:vAlign w:val="bottom"/>
          </w:tcPr>
          <w:p w14:paraId="7B67111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1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1B" w14:textId="77777777" w:rsidR="0040300B" w:rsidRDefault="00BB2D44">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7B67111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1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1E" w14:textId="77777777" w:rsidR="0040300B" w:rsidRDefault="00BB2D44">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7B67111F"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135" w14:textId="77777777">
        <w:tc>
          <w:tcPr>
            <w:tcW w:w="0" w:type="auto"/>
            <w:gridSpan w:val="3"/>
            <w:shd w:val="clear" w:color="auto" w:fill="FFFFFF"/>
            <w:tcMar>
              <w:top w:w="40" w:type="dxa"/>
              <w:left w:w="20" w:type="dxa"/>
              <w:bottom w:w="40" w:type="dxa"/>
              <w:right w:w="20" w:type="dxa"/>
            </w:tcMar>
            <w:vAlign w:val="bottom"/>
          </w:tcPr>
          <w:p w14:paraId="7B671121" w14:textId="77777777" w:rsidR="0040300B" w:rsidRDefault="00BB2D4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7B671122" w14:textId="77777777" w:rsidR="0040300B" w:rsidRDefault="00BB2D44">
            <w:pPr>
              <w:jc w:val="right"/>
              <w:textAlignment w:val="bottom"/>
            </w:pPr>
            <w:r>
              <w:rPr>
                <w:rFonts w:ascii="Times New Roman" w:eastAsia="宋体" w:hAnsi="Times New Roman"/>
                <w:i/>
                <w:iCs/>
                <w:color w:val="000000"/>
                <w:sz w:val="18"/>
                <w:szCs w:val="18"/>
              </w:rPr>
              <w:t>4.7 </w:t>
            </w:r>
          </w:p>
        </w:tc>
        <w:tc>
          <w:tcPr>
            <w:tcW w:w="0" w:type="auto"/>
            <w:shd w:val="clear" w:color="auto" w:fill="FFFFFF"/>
            <w:tcMar>
              <w:top w:w="40" w:type="dxa"/>
              <w:left w:w="0" w:type="dxa"/>
              <w:bottom w:w="40" w:type="dxa"/>
              <w:right w:w="20" w:type="dxa"/>
            </w:tcMar>
            <w:vAlign w:val="bottom"/>
          </w:tcPr>
          <w:p w14:paraId="7B671123"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2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125" w14:textId="77777777" w:rsidR="0040300B" w:rsidRDefault="00BB2D44">
            <w:pPr>
              <w:jc w:val="right"/>
              <w:textAlignment w:val="bottom"/>
            </w:pPr>
            <w:r>
              <w:rPr>
                <w:rFonts w:ascii="Times New Roman" w:eastAsia="宋体" w:hAnsi="Times New Roman"/>
                <w:i/>
                <w:iCs/>
                <w:color w:val="000000"/>
                <w:sz w:val="18"/>
                <w:szCs w:val="18"/>
              </w:rPr>
              <w:t>3.8 </w:t>
            </w:r>
          </w:p>
        </w:tc>
        <w:tc>
          <w:tcPr>
            <w:tcW w:w="0" w:type="auto"/>
            <w:shd w:val="clear" w:color="auto" w:fill="FFFFFF"/>
            <w:tcMar>
              <w:top w:w="40" w:type="dxa"/>
              <w:left w:w="0" w:type="dxa"/>
              <w:bottom w:w="40" w:type="dxa"/>
              <w:right w:w="20" w:type="dxa"/>
            </w:tcMar>
            <w:vAlign w:val="bottom"/>
          </w:tcPr>
          <w:p w14:paraId="7B671126"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2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2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2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2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2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12C" w14:textId="77777777" w:rsidR="0040300B" w:rsidRDefault="00BB2D44">
            <w:pPr>
              <w:jc w:val="right"/>
              <w:textAlignment w:val="bottom"/>
            </w:pPr>
            <w:r>
              <w:rPr>
                <w:rFonts w:ascii="Times New Roman" w:eastAsia="宋体" w:hAnsi="Times New Roman"/>
                <w:i/>
                <w:iCs/>
                <w:color w:val="000000"/>
                <w:sz w:val="18"/>
                <w:szCs w:val="18"/>
              </w:rPr>
              <w:t>4.4 </w:t>
            </w:r>
          </w:p>
        </w:tc>
        <w:tc>
          <w:tcPr>
            <w:tcW w:w="0" w:type="auto"/>
            <w:shd w:val="clear" w:color="auto" w:fill="FFFFFF"/>
            <w:tcMar>
              <w:top w:w="40" w:type="dxa"/>
              <w:left w:w="0" w:type="dxa"/>
              <w:bottom w:w="40" w:type="dxa"/>
              <w:right w:w="20" w:type="dxa"/>
            </w:tcMar>
            <w:vAlign w:val="bottom"/>
          </w:tcPr>
          <w:p w14:paraId="7B67112D"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2E"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12F" w14:textId="77777777" w:rsidR="0040300B" w:rsidRDefault="00BB2D44">
            <w:pPr>
              <w:jc w:val="right"/>
              <w:textAlignment w:val="bottom"/>
            </w:pPr>
            <w:r>
              <w:rPr>
                <w:rFonts w:ascii="Times New Roman" w:eastAsia="宋体" w:hAnsi="Times New Roman"/>
                <w:i/>
                <w:iCs/>
                <w:color w:val="000000"/>
                <w:sz w:val="18"/>
                <w:szCs w:val="18"/>
              </w:rPr>
              <w:t>3.9 </w:t>
            </w:r>
          </w:p>
        </w:tc>
        <w:tc>
          <w:tcPr>
            <w:tcW w:w="0" w:type="auto"/>
            <w:shd w:val="clear" w:color="auto" w:fill="FFFFFF"/>
            <w:tcMar>
              <w:top w:w="40" w:type="dxa"/>
              <w:left w:w="0" w:type="dxa"/>
              <w:bottom w:w="40" w:type="dxa"/>
              <w:right w:w="20" w:type="dxa"/>
            </w:tcMar>
            <w:vAlign w:val="bottom"/>
          </w:tcPr>
          <w:p w14:paraId="7B671130"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3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3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3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34" w14:textId="77777777" w:rsidR="0040300B" w:rsidRDefault="0040300B">
            <w:pPr>
              <w:rPr>
                <w:rFonts w:ascii="宋体"/>
              </w:rPr>
            </w:pPr>
          </w:p>
        </w:tc>
      </w:tr>
      <w:tr w:rsidR="0040300B" w14:paraId="7B671154" w14:textId="77777777">
        <w:tc>
          <w:tcPr>
            <w:tcW w:w="0" w:type="auto"/>
            <w:gridSpan w:val="3"/>
            <w:shd w:val="clear" w:color="auto" w:fill="CCEEFF"/>
            <w:tcMar>
              <w:top w:w="40" w:type="dxa"/>
              <w:left w:w="380" w:type="dxa"/>
              <w:bottom w:w="40" w:type="dxa"/>
              <w:right w:w="20" w:type="dxa"/>
            </w:tcMar>
            <w:vAlign w:val="bottom"/>
          </w:tcPr>
          <w:p w14:paraId="7B671136"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13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38" w14:textId="77777777" w:rsidR="0040300B" w:rsidRDefault="00BB2D44">
            <w:pPr>
              <w:jc w:val="right"/>
              <w:textAlignment w:val="bottom"/>
            </w:pPr>
            <w:r>
              <w:rPr>
                <w:rFonts w:ascii="Times New Roman" w:eastAsia="宋体" w:hAnsi="Times New Roman"/>
                <w:color w:val="000000"/>
                <w:sz w:val="20"/>
                <w:szCs w:val="20"/>
              </w:rPr>
              <w:t>4,617 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3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3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13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3C" w14:textId="77777777" w:rsidR="0040300B" w:rsidRDefault="00BB2D44">
            <w:pPr>
              <w:jc w:val="right"/>
              <w:textAlignment w:val="bottom"/>
            </w:pPr>
            <w:r>
              <w:rPr>
                <w:rFonts w:ascii="Times New Roman" w:eastAsia="宋体" w:hAnsi="Times New Roman"/>
                <w:color w:val="000000"/>
                <w:sz w:val="20"/>
                <w:szCs w:val="20"/>
              </w:rPr>
              <w:t>4,195 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3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3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13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40" w14:textId="77777777" w:rsidR="0040300B" w:rsidRDefault="00BB2D44">
            <w:pPr>
              <w:jc w:val="right"/>
              <w:textAlignment w:val="bottom"/>
            </w:pPr>
            <w:r>
              <w:rPr>
                <w:rFonts w:ascii="Times New Roman" w:eastAsia="宋体" w:hAnsi="Times New Roman"/>
                <w:color w:val="000000"/>
                <w:sz w:val="20"/>
                <w:szCs w:val="20"/>
              </w:rPr>
              <w:t>422 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4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4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43"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B671144"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tcPr>
          <w:p w14:paraId="7B67114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14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47" w14:textId="77777777" w:rsidR="0040300B" w:rsidRDefault="00BB2D44">
            <w:pPr>
              <w:jc w:val="right"/>
              <w:textAlignment w:val="bottom"/>
            </w:pPr>
            <w:r>
              <w:rPr>
                <w:rFonts w:ascii="Times New Roman" w:eastAsia="宋体" w:hAnsi="Times New Roman"/>
                <w:color w:val="000000"/>
                <w:sz w:val="20"/>
                <w:szCs w:val="20"/>
              </w:rPr>
              <w:t>13,278 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4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4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1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4B" w14:textId="77777777" w:rsidR="0040300B" w:rsidRDefault="00BB2D44">
            <w:pPr>
              <w:jc w:val="right"/>
              <w:textAlignment w:val="bottom"/>
            </w:pPr>
            <w:r>
              <w:rPr>
                <w:rFonts w:ascii="Times New Roman" w:eastAsia="宋体" w:hAnsi="Times New Roman"/>
                <w:color w:val="000000"/>
                <w:sz w:val="20"/>
                <w:szCs w:val="20"/>
              </w:rPr>
              <w:t>13,164 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4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4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14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14F" w14:textId="77777777" w:rsidR="0040300B" w:rsidRDefault="00BB2D44">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15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5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52"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B671153" w14:textId="77777777" w:rsidR="0040300B" w:rsidRDefault="00BB2D44">
            <w:pPr>
              <w:jc w:val="right"/>
              <w:textAlignment w:val="bottom"/>
            </w:pPr>
            <w:r>
              <w:rPr>
                <w:rFonts w:ascii="Times New Roman" w:eastAsia="宋体" w:hAnsi="Times New Roman"/>
                <w:color w:val="000000"/>
                <w:sz w:val="20"/>
                <w:szCs w:val="20"/>
              </w:rPr>
              <w:t>%</w:t>
            </w:r>
          </w:p>
        </w:tc>
      </w:tr>
      <w:tr w:rsidR="0040300B" w14:paraId="7B671169" w14:textId="77777777">
        <w:tc>
          <w:tcPr>
            <w:tcW w:w="0" w:type="auto"/>
            <w:gridSpan w:val="3"/>
            <w:shd w:val="clear" w:color="auto" w:fill="FFFFFF"/>
            <w:tcMar>
              <w:top w:w="40" w:type="dxa"/>
              <w:left w:w="380" w:type="dxa"/>
              <w:bottom w:w="40" w:type="dxa"/>
              <w:right w:w="20" w:type="dxa"/>
            </w:tcMar>
            <w:vAlign w:val="bottom"/>
          </w:tcPr>
          <w:p w14:paraId="7B671155" w14:textId="77777777" w:rsidR="0040300B" w:rsidRDefault="00BB2D44">
            <w:pPr>
              <w:textAlignment w:val="bottom"/>
            </w:pPr>
            <w:r>
              <w:rPr>
                <w:rFonts w:ascii="Times New Roman" w:eastAsia="宋体" w:hAnsi="Times New Roman"/>
                <w:i/>
                <w:iCs/>
                <w:color w:val="000000"/>
                <w:sz w:val="18"/>
                <w:szCs w:val="18"/>
              </w:rPr>
              <w:t>Percentage of revenue</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7B671156" w14:textId="77777777" w:rsidR="0040300B" w:rsidRDefault="00BB2D44">
            <w:pPr>
              <w:jc w:val="right"/>
              <w:textAlignment w:val="bottom"/>
            </w:pPr>
            <w:r>
              <w:rPr>
                <w:rFonts w:ascii="Times New Roman" w:eastAsia="宋体" w:hAnsi="Times New Roman"/>
                <w:i/>
                <w:iCs/>
                <w:color w:val="000000"/>
                <w:sz w:val="18"/>
                <w:szCs w:val="18"/>
              </w:rPr>
              <w:t>36.1 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B671157"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58" w14:textId="77777777" w:rsidR="0040300B" w:rsidRDefault="0040300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7B671159" w14:textId="77777777" w:rsidR="0040300B" w:rsidRDefault="00BB2D44">
            <w:pPr>
              <w:jc w:val="right"/>
              <w:textAlignment w:val="bottom"/>
            </w:pPr>
            <w:r>
              <w:rPr>
                <w:rFonts w:ascii="Times New Roman" w:eastAsia="宋体" w:hAnsi="Times New Roman"/>
                <w:i/>
                <w:iCs/>
                <w:color w:val="000000"/>
                <w:sz w:val="18"/>
                <w:szCs w:val="18"/>
              </w:rPr>
              <w:t>35.0 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B67115A"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5B" w14:textId="77777777" w:rsidR="0040300B" w:rsidRDefault="0040300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7B67115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5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5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5F" w14:textId="77777777" w:rsidR="0040300B" w:rsidRDefault="0040300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7B671160" w14:textId="77777777" w:rsidR="0040300B" w:rsidRDefault="00BB2D44">
            <w:pPr>
              <w:jc w:val="right"/>
              <w:textAlignment w:val="bottom"/>
            </w:pPr>
            <w:r>
              <w:rPr>
                <w:rFonts w:ascii="Times New Roman" w:eastAsia="宋体" w:hAnsi="Times New Roman"/>
                <w:i/>
                <w:iCs/>
                <w:color w:val="000000"/>
                <w:sz w:val="18"/>
                <w:szCs w:val="18"/>
              </w:rPr>
              <w:t>36.2 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B671161"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62" w14:textId="77777777" w:rsidR="0040300B" w:rsidRDefault="0040300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7B671163" w14:textId="77777777" w:rsidR="0040300B" w:rsidRDefault="00BB2D44">
            <w:pPr>
              <w:jc w:val="right"/>
              <w:textAlignment w:val="bottom"/>
            </w:pPr>
            <w:r>
              <w:rPr>
                <w:rFonts w:ascii="Times New Roman" w:eastAsia="宋体" w:hAnsi="Times New Roman"/>
                <w:i/>
                <w:iCs/>
                <w:color w:val="000000"/>
                <w:sz w:val="18"/>
                <w:szCs w:val="18"/>
              </w:rPr>
              <w:t>35.4 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B671164" w14:textId="77777777" w:rsidR="0040300B" w:rsidRDefault="00BB2D4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tcPr>
          <w:p w14:paraId="7B671165" w14:textId="77777777" w:rsidR="0040300B" w:rsidRDefault="0040300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7B671166"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6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168" w14:textId="77777777" w:rsidR="0040300B" w:rsidRDefault="0040300B">
            <w:pPr>
              <w:rPr>
                <w:rFonts w:ascii="宋体"/>
              </w:rPr>
            </w:pPr>
          </w:p>
        </w:tc>
      </w:tr>
    </w:tbl>
    <w:p w14:paraId="7B67116A" w14:textId="77777777" w:rsidR="0040300B" w:rsidRDefault="00BB2D44">
      <w:pPr>
        <w:spacing w:before="120"/>
        <w:jc w:val="both"/>
      </w:pPr>
      <w:r>
        <w:rPr>
          <w:rFonts w:ascii="Times New Roman" w:eastAsia="宋体" w:hAnsi="Times New Roman"/>
          <w:color w:val="000000"/>
          <w:sz w:val="20"/>
          <w:szCs w:val="20"/>
        </w:rPr>
        <w:t xml:space="preserve">Our third quarter of fiscal 2021 had an extra week compared with the corresponding period of fiscal 2020. </w:t>
      </w:r>
    </w:p>
    <w:p w14:paraId="7B67116B" w14:textId="77777777" w:rsidR="0040300B" w:rsidRDefault="00BB2D44">
      <w:pPr>
        <w:spacing w:before="120"/>
      </w:pPr>
      <w:r>
        <w:rPr>
          <w:rFonts w:ascii="Times New Roman" w:eastAsia="宋体" w:hAnsi="Times New Roman"/>
          <w:color w:val="000000"/>
          <w:sz w:val="20"/>
          <w:szCs w:val="20"/>
          <w:u w:val="single"/>
        </w:rPr>
        <w:t>R&amp;D Expenses</w:t>
      </w:r>
    </w:p>
    <w:p w14:paraId="7B67116C" w14:textId="77777777" w:rsidR="0040300B" w:rsidRDefault="00BB2D44">
      <w:pPr>
        <w:spacing w:before="120"/>
      </w:pPr>
      <w:r>
        <w:rPr>
          <w:rFonts w:ascii="Times New Roman" w:eastAsia="宋体" w:hAnsi="Times New Roman"/>
          <w:i/>
          <w:iCs/>
          <w:color w:val="000000"/>
          <w:sz w:val="20"/>
          <w:szCs w:val="20"/>
          <w:u w:val="single"/>
        </w:rPr>
        <w:t>Three Months Ended May 1, 2021 Compared with Three Months Ended April 25, 2020</w:t>
      </w:r>
    </w:p>
    <w:p w14:paraId="7B67116D" w14:textId="77777777" w:rsidR="0040300B" w:rsidRDefault="00BB2D44">
      <w:pPr>
        <w:spacing w:before="120"/>
        <w:jc w:val="both"/>
      </w:pPr>
      <w:r>
        <w:rPr>
          <w:rFonts w:ascii="Times New Roman" w:eastAsia="宋体" w:hAnsi="Times New Roman"/>
          <w:color w:val="000000"/>
          <w:sz w:val="20"/>
          <w:szCs w:val="20"/>
        </w:rPr>
        <w:t>R&amp;D expenses increased due to higher headcount-related expenses in large part to the impact of the extra week in the third quarter of fiscal 2021, higher share-bas</w:t>
      </w:r>
      <w:r>
        <w:rPr>
          <w:rFonts w:ascii="Times New Roman" w:eastAsia="宋体" w:hAnsi="Times New Roman"/>
          <w:color w:val="000000"/>
          <w:sz w:val="20"/>
          <w:szCs w:val="20"/>
        </w:rPr>
        <w:t>ed compensation expense and contracted services spending, partially offset by lower discretionary spending.</w:t>
      </w:r>
    </w:p>
    <w:p w14:paraId="7B67116E" w14:textId="77777777" w:rsidR="0040300B" w:rsidRDefault="00BB2D44">
      <w:pPr>
        <w:spacing w:before="120"/>
        <w:jc w:val="both"/>
      </w:pPr>
      <w:r>
        <w:rPr>
          <w:rFonts w:ascii="Times New Roman" w:eastAsia="宋体" w:hAnsi="Times New Roman"/>
          <w:color w:val="000000"/>
          <w:sz w:val="20"/>
          <w:szCs w:val="20"/>
        </w:rPr>
        <w:t xml:space="preserve">We continue to invest in R&amp;D in order to bring a broad range of products to market in a timely fashion. If we believe that we are unable to enter a </w:t>
      </w:r>
      <w:r>
        <w:rPr>
          <w:rFonts w:ascii="Times New Roman" w:eastAsia="宋体" w:hAnsi="Times New Roman"/>
          <w:color w:val="000000"/>
          <w:sz w:val="20"/>
          <w:szCs w:val="20"/>
        </w:rPr>
        <w:t xml:space="preserve">particular market in a timely manner with internally developed products, we may purchase or license technology from other businesses, or we may partner with or acquire businesses as an alternative to internal R&amp;D. </w:t>
      </w:r>
    </w:p>
    <w:p w14:paraId="7B67116F"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w:t>
      </w:r>
      <w:r>
        <w:rPr>
          <w:rFonts w:ascii="Times New Roman" w:eastAsia="宋体" w:hAnsi="Times New Roman"/>
          <w:i/>
          <w:iCs/>
          <w:color w:val="000000"/>
          <w:sz w:val="20"/>
          <w:szCs w:val="20"/>
          <w:u w:val="single"/>
        </w:rPr>
        <w:t>th Nine Months Ended April 25, 2020</w:t>
      </w:r>
    </w:p>
    <w:p w14:paraId="7B671170" w14:textId="77777777" w:rsidR="0040300B" w:rsidRDefault="00BB2D44">
      <w:pPr>
        <w:spacing w:before="120"/>
        <w:jc w:val="both"/>
      </w:pPr>
      <w:r>
        <w:rPr>
          <w:rFonts w:ascii="Times New Roman" w:eastAsia="宋体" w:hAnsi="Times New Roman"/>
          <w:color w:val="000000"/>
          <w:sz w:val="20"/>
          <w:szCs w:val="20"/>
        </w:rPr>
        <w:t>R&amp;D expenses increased primarily due to higher headcount-related expenses, higher share-based compensation and contracted services spending, partially offset by lower discretionary spending. The extra week in the first n</w:t>
      </w:r>
      <w:r>
        <w:rPr>
          <w:rFonts w:ascii="Times New Roman" w:eastAsia="宋体" w:hAnsi="Times New Roman"/>
          <w:color w:val="000000"/>
          <w:sz w:val="20"/>
          <w:szCs w:val="20"/>
        </w:rPr>
        <w:t>ine months of fiscal 2021 contributed to the increase in headcount-related expenses.</w:t>
      </w:r>
    </w:p>
    <w:p w14:paraId="7B671171" w14:textId="77777777" w:rsidR="0040300B" w:rsidRDefault="00BB2D44">
      <w:pPr>
        <w:spacing w:before="120"/>
        <w:jc w:val="both"/>
      </w:pPr>
      <w:r>
        <w:rPr>
          <w:rFonts w:ascii="Times New Roman" w:eastAsia="宋体" w:hAnsi="Times New Roman"/>
          <w:color w:val="000000"/>
          <w:sz w:val="20"/>
          <w:szCs w:val="20"/>
          <w:u w:val="single"/>
        </w:rPr>
        <w:t>Sales and Marketing Expenses</w:t>
      </w:r>
    </w:p>
    <w:p w14:paraId="7B671172"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1173" w14:textId="77777777" w:rsidR="0040300B" w:rsidRDefault="00BB2D44">
      <w:pPr>
        <w:spacing w:before="120"/>
        <w:jc w:val="both"/>
      </w:pPr>
      <w:r>
        <w:rPr>
          <w:rFonts w:ascii="Times New Roman" w:eastAsia="宋体" w:hAnsi="Times New Roman"/>
          <w:color w:val="000000"/>
          <w:sz w:val="20"/>
          <w:szCs w:val="20"/>
        </w:rPr>
        <w:t>Sales and marketing expenses increased due to higher headcount-</w:t>
      </w:r>
      <w:r>
        <w:rPr>
          <w:rFonts w:ascii="Times New Roman" w:eastAsia="宋体" w:hAnsi="Times New Roman"/>
          <w:color w:val="000000"/>
          <w:sz w:val="20"/>
          <w:szCs w:val="20"/>
        </w:rPr>
        <w:t>related expenses and contracted services spending, partially offset by lower discretionary spending. The extra week in the third quarter of fiscal 2021 contributed to the increase in headcount-related expenses.</w:t>
      </w:r>
    </w:p>
    <w:p w14:paraId="7B671174"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w:t>
      </w:r>
      <w:r>
        <w:rPr>
          <w:rFonts w:ascii="Times New Roman" w:eastAsia="宋体" w:hAnsi="Times New Roman"/>
          <w:i/>
          <w:iCs/>
          <w:color w:val="000000"/>
          <w:sz w:val="20"/>
          <w:szCs w:val="20"/>
          <w:u w:val="single"/>
        </w:rPr>
        <w:t>ine Months Ended April 25, 2020</w:t>
      </w:r>
    </w:p>
    <w:p w14:paraId="7B671175" w14:textId="77777777" w:rsidR="0040300B" w:rsidRDefault="00BB2D44">
      <w:pPr>
        <w:spacing w:before="120"/>
        <w:jc w:val="both"/>
      </w:pPr>
      <w:r>
        <w:rPr>
          <w:rFonts w:ascii="Times New Roman" w:eastAsia="宋体" w:hAnsi="Times New Roman"/>
          <w:color w:val="000000"/>
          <w:sz w:val="20"/>
          <w:szCs w:val="20"/>
        </w:rPr>
        <w:t>Sales and marketing expenses decreased primarily due to lower discretionary spending partially offset by higher headcount-related expenses and contracted services spending. The extra week in the first nine months of fiscal 2</w:t>
      </w:r>
      <w:r>
        <w:rPr>
          <w:rFonts w:ascii="Times New Roman" w:eastAsia="宋体" w:hAnsi="Times New Roman"/>
          <w:color w:val="000000"/>
          <w:sz w:val="20"/>
          <w:szCs w:val="20"/>
        </w:rPr>
        <w:t>021 contributed to the increase in headcount-related expenses.</w:t>
      </w:r>
    </w:p>
    <w:p w14:paraId="7B671176" w14:textId="77777777" w:rsidR="0040300B" w:rsidRDefault="00BB2D44">
      <w:pPr>
        <w:spacing w:before="120"/>
        <w:jc w:val="both"/>
      </w:pPr>
      <w:r>
        <w:rPr>
          <w:rFonts w:ascii="Times New Roman" w:eastAsia="宋体" w:hAnsi="Times New Roman"/>
          <w:color w:val="000000"/>
          <w:sz w:val="20"/>
          <w:szCs w:val="20"/>
          <w:u w:val="single"/>
        </w:rPr>
        <w:t>G&amp;A Expenses</w:t>
      </w:r>
    </w:p>
    <w:p w14:paraId="7B671177"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1178" w14:textId="77777777" w:rsidR="0040300B" w:rsidRDefault="00BB2D44">
      <w:pPr>
        <w:spacing w:before="120"/>
        <w:jc w:val="both"/>
      </w:pPr>
      <w:r>
        <w:rPr>
          <w:rFonts w:ascii="Times New Roman" w:eastAsia="宋体" w:hAnsi="Times New Roman"/>
          <w:color w:val="000000"/>
          <w:sz w:val="20"/>
          <w:szCs w:val="20"/>
        </w:rPr>
        <w:t>G&amp;A expenses increased due to higher headcount-related expenses, higher contracted services spending,</w:t>
      </w:r>
      <w:r>
        <w:rPr>
          <w:rFonts w:ascii="Times New Roman" w:eastAsia="宋体" w:hAnsi="Times New Roman"/>
          <w:color w:val="000000"/>
          <w:sz w:val="20"/>
          <w:szCs w:val="20"/>
        </w:rPr>
        <w:t xml:space="preserve"> higher discretionary spending and the impact from the gain recognized on the sale of property in the third quarter of fiscal 2020. The extra week in the third quarter of fiscal 2021 contributed to the increase in headcount-related expenses.</w:t>
      </w:r>
    </w:p>
    <w:p w14:paraId="7B671179" w14:textId="77777777" w:rsidR="0040300B" w:rsidRDefault="00BB2D44">
      <w:pPr>
        <w:spacing w:before="120"/>
        <w:jc w:val="both"/>
      </w:pPr>
      <w:r>
        <w:rPr>
          <w:rFonts w:ascii="Times New Roman" w:eastAsia="宋体" w:hAnsi="Times New Roman"/>
          <w:i/>
          <w:iCs/>
          <w:color w:val="000000"/>
          <w:sz w:val="20"/>
          <w:szCs w:val="20"/>
          <w:u w:val="single"/>
        </w:rPr>
        <w:t>Nine Months En</w:t>
      </w:r>
      <w:r>
        <w:rPr>
          <w:rFonts w:ascii="Times New Roman" w:eastAsia="宋体" w:hAnsi="Times New Roman"/>
          <w:i/>
          <w:iCs/>
          <w:color w:val="000000"/>
          <w:sz w:val="20"/>
          <w:szCs w:val="20"/>
          <w:u w:val="single"/>
        </w:rPr>
        <w:t>ded May 1, 2021 Compared with Nine Months Ended April 25, 2020</w:t>
      </w:r>
    </w:p>
    <w:p w14:paraId="7B67117A" w14:textId="77777777" w:rsidR="0040300B" w:rsidRDefault="00BB2D44">
      <w:pPr>
        <w:spacing w:before="120"/>
        <w:jc w:val="both"/>
      </w:pPr>
      <w:r>
        <w:rPr>
          <w:rFonts w:ascii="Times New Roman" w:eastAsia="宋体" w:hAnsi="Times New Roman"/>
          <w:color w:val="000000"/>
          <w:sz w:val="20"/>
          <w:szCs w:val="20"/>
        </w:rPr>
        <w:t>G&amp;A expenses increased due to the impact from the gain recognized on the sale of property in the first nine months of fiscal 2020 and higher headcount-related expenses. The extra week in the fi</w:t>
      </w:r>
      <w:r>
        <w:rPr>
          <w:rFonts w:ascii="Times New Roman" w:eastAsia="宋体" w:hAnsi="Times New Roman"/>
          <w:color w:val="000000"/>
          <w:sz w:val="20"/>
          <w:szCs w:val="20"/>
        </w:rPr>
        <w:t>rst nine months of fiscal 2021 contributed to the increase in headcount-related expenses.</w:t>
      </w:r>
    </w:p>
    <w:p w14:paraId="7B67117B" w14:textId="77777777" w:rsidR="0040300B" w:rsidRDefault="00BB2D44">
      <w:pPr>
        <w:jc w:val="center"/>
      </w:pPr>
      <w:r>
        <w:rPr>
          <w:rFonts w:ascii="Times New Roman" w:eastAsia="宋体" w:hAnsi="Times New Roman"/>
          <w:color w:val="000000"/>
          <w:sz w:val="20"/>
          <w:szCs w:val="20"/>
        </w:rPr>
        <w:t>56</w:t>
      </w:r>
    </w:p>
    <w:p w14:paraId="7B67117C" w14:textId="77777777" w:rsidR="0040300B" w:rsidRDefault="00BB2D44">
      <w:r>
        <w:pict w14:anchorId="7B671C48">
          <v:rect id="_x0000_i1080" style="width:415.3pt;height:1.5pt" o:hralign="center" o:hrstd="t" o:hr="t" fillcolor="#a0a0a0" stroked="f"/>
        </w:pict>
      </w:r>
    </w:p>
    <w:p w14:paraId="7B67117D" w14:textId="77777777" w:rsidR="0040300B" w:rsidRDefault="00BB2D44">
      <w:hyperlink r:id="rId102"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17E" w14:textId="77777777" w:rsidR="0040300B" w:rsidRDefault="00BB2D44">
      <w:pPr>
        <w:jc w:val="center"/>
      </w:pPr>
      <w:r>
        <w:rPr>
          <w:rFonts w:ascii="Times New Roman" w:eastAsia="宋体" w:hAnsi="Times New Roman"/>
          <w:b/>
          <w:bCs/>
          <w:color w:val="000000"/>
          <w:sz w:val="18"/>
          <w:szCs w:val="18"/>
        </w:rPr>
        <w:t>CISCO SYSTEMS, INC.</w:t>
      </w:r>
    </w:p>
    <w:p w14:paraId="7B67117F"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1180" w14:textId="77777777" w:rsidR="0040300B" w:rsidRDefault="0040300B">
      <w:pPr>
        <w:jc w:val="center"/>
      </w:pPr>
    </w:p>
    <w:p w14:paraId="7B671181" w14:textId="77777777" w:rsidR="0040300B" w:rsidRDefault="00BB2D44">
      <w:pPr>
        <w:spacing w:before="120"/>
        <w:jc w:val="both"/>
      </w:pPr>
      <w:r>
        <w:rPr>
          <w:rFonts w:ascii="Times New Roman" w:eastAsia="宋体" w:hAnsi="Times New Roman"/>
          <w:color w:val="000000"/>
          <w:sz w:val="20"/>
          <w:szCs w:val="20"/>
          <w:u w:val="single"/>
        </w:rPr>
        <w:t>Effect of Foreign Currency</w:t>
      </w:r>
    </w:p>
    <w:p w14:paraId="7B671182" w14:textId="77777777" w:rsidR="0040300B" w:rsidRDefault="00BB2D44">
      <w:pPr>
        <w:spacing w:before="120"/>
        <w:jc w:val="both"/>
      </w:pPr>
      <w:r>
        <w:rPr>
          <w:rFonts w:ascii="Times New Roman" w:eastAsia="宋体" w:hAnsi="Times New Roman"/>
          <w:color w:val="000000"/>
          <w:sz w:val="20"/>
          <w:szCs w:val="20"/>
        </w:rPr>
        <w:t>In the third quarter of fiscal 2021, foreign currency fluctuations, net of hedging, increased the combined R&amp;D, sales and marketing, and G&amp;A expenses by approximately $78 million, or 1.9%, compa</w:t>
      </w:r>
      <w:r>
        <w:rPr>
          <w:rFonts w:ascii="Times New Roman" w:eastAsia="宋体" w:hAnsi="Times New Roman"/>
          <w:color w:val="000000"/>
          <w:sz w:val="20"/>
          <w:szCs w:val="20"/>
        </w:rPr>
        <w:t>red with the third quarter of fiscal 2020.</w:t>
      </w:r>
    </w:p>
    <w:p w14:paraId="7B671183" w14:textId="77777777" w:rsidR="0040300B" w:rsidRDefault="00BB2D44">
      <w:pPr>
        <w:spacing w:before="120"/>
        <w:jc w:val="both"/>
      </w:pPr>
      <w:r>
        <w:rPr>
          <w:rFonts w:ascii="Times New Roman" w:eastAsia="宋体" w:hAnsi="Times New Roman"/>
          <w:color w:val="000000"/>
          <w:sz w:val="20"/>
          <w:szCs w:val="20"/>
        </w:rPr>
        <w:t>In the first nine months of fiscal 2021, foreign currency fluctuations, net of hedging, increased the combined R&amp;D, sales and marketing, and G&amp;A expenses by approximately $122 million, or 0.9%, compared with the f</w:t>
      </w:r>
      <w:r>
        <w:rPr>
          <w:rFonts w:ascii="Times New Roman" w:eastAsia="宋体" w:hAnsi="Times New Roman"/>
          <w:color w:val="000000"/>
          <w:sz w:val="20"/>
          <w:szCs w:val="20"/>
        </w:rPr>
        <w:t>irst nine months of fiscal 2020.</w:t>
      </w:r>
    </w:p>
    <w:p w14:paraId="7B671184" w14:textId="77777777" w:rsidR="0040300B" w:rsidRDefault="00BB2D44">
      <w:pPr>
        <w:spacing w:before="120"/>
        <w:jc w:val="both"/>
      </w:pPr>
      <w:r>
        <w:rPr>
          <w:rFonts w:ascii="Times New Roman" w:eastAsia="宋体" w:hAnsi="Times New Roman"/>
          <w:b/>
          <w:bCs/>
          <w:color w:val="000000"/>
          <w:sz w:val="20"/>
          <w:szCs w:val="20"/>
        </w:rPr>
        <w:t>Amortization of Purchased Intangible Assets</w:t>
      </w:r>
    </w:p>
    <w:p w14:paraId="7B671185" w14:textId="77777777" w:rsidR="0040300B" w:rsidRDefault="00BB2D44">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89"/>
        <w:gridCol w:w="37"/>
        <w:gridCol w:w="36"/>
        <w:gridCol w:w="36"/>
        <w:gridCol w:w="36"/>
        <w:gridCol w:w="120"/>
        <w:gridCol w:w="704"/>
        <w:gridCol w:w="36"/>
        <w:gridCol w:w="36"/>
        <w:gridCol w:w="36"/>
        <w:gridCol w:w="36"/>
        <w:gridCol w:w="120"/>
        <w:gridCol w:w="704"/>
        <w:gridCol w:w="36"/>
        <w:gridCol w:w="36"/>
        <w:gridCol w:w="36"/>
        <w:gridCol w:w="36"/>
        <w:gridCol w:w="120"/>
        <w:gridCol w:w="704"/>
        <w:gridCol w:w="36"/>
        <w:gridCol w:w="36"/>
        <w:gridCol w:w="36"/>
        <w:gridCol w:w="36"/>
        <w:gridCol w:w="120"/>
        <w:gridCol w:w="704"/>
        <w:gridCol w:w="36"/>
      </w:tblGrid>
      <w:tr w:rsidR="0040300B" w14:paraId="7B6711A1" w14:textId="77777777">
        <w:tc>
          <w:tcPr>
            <w:tcW w:w="50" w:type="pct"/>
            <w:shd w:val="clear" w:color="auto" w:fill="auto"/>
          </w:tcPr>
          <w:p w14:paraId="7B671186" w14:textId="77777777" w:rsidR="0040300B" w:rsidRDefault="0040300B">
            <w:pPr>
              <w:rPr>
                <w:rFonts w:ascii="宋体"/>
              </w:rPr>
            </w:pPr>
          </w:p>
        </w:tc>
        <w:tc>
          <w:tcPr>
            <w:tcW w:w="2664" w:type="pct"/>
            <w:shd w:val="clear" w:color="auto" w:fill="auto"/>
          </w:tcPr>
          <w:p w14:paraId="7B671187" w14:textId="77777777" w:rsidR="0040300B" w:rsidRDefault="0040300B">
            <w:pPr>
              <w:rPr>
                <w:rFonts w:ascii="宋体"/>
              </w:rPr>
            </w:pPr>
          </w:p>
        </w:tc>
        <w:tc>
          <w:tcPr>
            <w:tcW w:w="5" w:type="pct"/>
            <w:shd w:val="clear" w:color="auto" w:fill="auto"/>
          </w:tcPr>
          <w:p w14:paraId="7B671188" w14:textId="77777777" w:rsidR="0040300B" w:rsidRDefault="0040300B">
            <w:pPr>
              <w:rPr>
                <w:rFonts w:ascii="宋体"/>
              </w:rPr>
            </w:pPr>
          </w:p>
        </w:tc>
        <w:tc>
          <w:tcPr>
            <w:tcW w:w="5" w:type="pct"/>
            <w:shd w:val="clear" w:color="auto" w:fill="auto"/>
          </w:tcPr>
          <w:p w14:paraId="7B671189" w14:textId="77777777" w:rsidR="0040300B" w:rsidRDefault="0040300B">
            <w:pPr>
              <w:rPr>
                <w:rFonts w:ascii="宋体"/>
              </w:rPr>
            </w:pPr>
          </w:p>
        </w:tc>
        <w:tc>
          <w:tcPr>
            <w:tcW w:w="26" w:type="pct"/>
            <w:shd w:val="clear" w:color="auto" w:fill="auto"/>
          </w:tcPr>
          <w:p w14:paraId="7B67118A" w14:textId="77777777" w:rsidR="0040300B" w:rsidRDefault="0040300B">
            <w:pPr>
              <w:rPr>
                <w:rFonts w:ascii="宋体"/>
              </w:rPr>
            </w:pPr>
          </w:p>
        </w:tc>
        <w:tc>
          <w:tcPr>
            <w:tcW w:w="5" w:type="pct"/>
            <w:shd w:val="clear" w:color="auto" w:fill="auto"/>
          </w:tcPr>
          <w:p w14:paraId="7B67118B" w14:textId="77777777" w:rsidR="0040300B" w:rsidRDefault="0040300B">
            <w:pPr>
              <w:rPr>
                <w:rFonts w:ascii="宋体"/>
              </w:rPr>
            </w:pPr>
          </w:p>
        </w:tc>
        <w:tc>
          <w:tcPr>
            <w:tcW w:w="50" w:type="pct"/>
            <w:shd w:val="clear" w:color="auto" w:fill="auto"/>
          </w:tcPr>
          <w:p w14:paraId="7B67118C" w14:textId="77777777" w:rsidR="0040300B" w:rsidRDefault="0040300B">
            <w:pPr>
              <w:rPr>
                <w:rFonts w:ascii="宋体"/>
              </w:rPr>
            </w:pPr>
          </w:p>
        </w:tc>
        <w:tc>
          <w:tcPr>
            <w:tcW w:w="478" w:type="pct"/>
            <w:shd w:val="clear" w:color="auto" w:fill="auto"/>
          </w:tcPr>
          <w:p w14:paraId="7B67118D" w14:textId="77777777" w:rsidR="0040300B" w:rsidRDefault="0040300B">
            <w:pPr>
              <w:rPr>
                <w:rFonts w:ascii="宋体"/>
              </w:rPr>
            </w:pPr>
          </w:p>
        </w:tc>
        <w:tc>
          <w:tcPr>
            <w:tcW w:w="5" w:type="pct"/>
            <w:shd w:val="clear" w:color="auto" w:fill="auto"/>
          </w:tcPr>
          <w:p w14:paraId="7B67118E" w14:textId="77777777" w:rsidR="0040300B" w:rsidRDefault="0040300B">
            <w:pPr>
              <w:rPr>
                <w:rFonts w:ascii="宋体"/>
              </w:rPr>
            </w:pPr>
          </w:p>
        </w:tc>
        <w:tc>
          <w:tcPr>
            <w:tcW w:w="5" w:type="pct"/>
            <w:shd w:val="clear" w:color="auto" w:fill="auto"/>
          </w:tcPr>
          <w:p w14:paraId="7B67118F" w14:textId="77777777" w:rsidR="0040300B" w:rsidRDefault="0040300B">
            <w:pPr>
              <w:rPr>
                <w:rFonts w:ascii="宋体"/>
              </w:rPr>
            </w:pPr>
          </w:p>
        </w:tc>
        <w:tc>
          <w:tcPr>
            <w:tcW w:w="26" w:type="pct"/>
            <w:shd w:val="clear" w:color="auto" w:fill="auto"/>
          </w:tcPr>
          <w:p w14:paraId="7B671190" w14:textId="77777777" w:rsidR="0040300B" w:rsidRDefault="0040300B">
            <w:pPr>
              <w:rPr>
                <w:rFonts w:ascii="宋体"/>
              </w:rPr>
            </w:pPr>
          </w:p>
        </w:tc>
        <w:tc>
          <w:tcPr>
            <w:tcW w:w="5" w:type="pct"/>
            <w:shd w:val="clear" w:color="auto" w:fill="auto"/>
          </w:tcPr>
          <w:p w14:paraId="7B671191" w14:textId="77777777" w:rsidR="0040300B" w:rsidRDefault="0040300B">
            <w:pPr>
              <w:rPr>
                <w:rFonts w:ascii="宋体"/>
              </w:rPr>
            </w:pPr>
          </w:p>
        </w:tc>
        <w:tc>
          <w:tcPr>
            <w:tcW w:w="50" w:type="pct"/>
            <w:shd w:val="clear" w:color="auto" w:fill="auto"/>
          </w:tcPr>
          <w:p w14:paraId="7B671192" w14:textId="77777777" w:rsidR="0040300B" w:rsidRDefault="0040300B">
            <w:pPr>
              <w:rPr>
                <w:rFonts w:ascii="宋体"/>
              </w:rPr>
            </w:pPr>
          </w:p>
        </w:tc>
        <w:tc>
          <w:tcPr>
            <w:tcW w:w="478" w:type="pct"/>
            <w:shd w:val="clear" w:color="auto" w:fill="auto"/>
          </w:tcPr>
          <w:p w14:paraId="7B671193" w14:textId="77777777" w:rsidR="0040300B" w:rsidRDefault="0040300B">
            <w:pPr>
              <w:rPr>
                <w:rFonts w:ascii="宋体"/>
              </w:rPr>
            </w:pPr>
          </w:p>
        </w:tc>
        <w:tc>
          <w:tcPr>
            <w:tcW w:w="5" w:type="pct"/>
            <w:shd w:val="clear" w:color="auto" w:fill="auto"/>
          </w:tcPr>
          <w:p w14:paraId="7B671194" w14:textId="77777777" w:rsidR="0040300B" w:rsidRDefault="0040300B">
            <w:pPr>
              <w:rPr>
                <w:rFonts w:ascii="宋体"/>
              </w:rPr>
            </w:pPr>
          </w:p>
        </w:tc>
        <w:tc>
          <w:tcPr>
            <w:tcW w:w="5" w:type="pct"/>
            <w:shd w:val="clear" w:color="auto" w:fill="auto"/>
          </w:tcPr>
          <w:p w14:paraId="7B671195" w14:textId="77777777" w:rsidR="0040300B" w:rsidRDefault="0040300B">
            <w:pPr>
              <w:rPr>
                <w:rFonts w:ascii="宋体"/>
              </w:rPr>
            </w:pPr>
          </w:p>
        </w:tc>
        <w:tc>
          <w:tcPr>
            <w:tcW w:w="26" w:type="pct"/>
            <w:shd w:val="clear" w:color="auto" w:fill="auto"/>
          </w:tcPr>
          <w:p w14:paraId="7B671196" w14:textId="77777777" w:rsidR="0040300B" w:rsidRDefault="0040300B">
            <w:pPr>
              <w:rPr>
                <w:rFonts w:ascii="宋体"/>
              </w:rPr>
            </w:pPr>
          </w:p>
        </w:tc>
        <w:tc>
          <w:tcPr>
            <w:tcW w:w="5" w:type="pct"/>
            <w:shd w:val="clear" w:color="auto" w:fill="auto"/>
          </w:tcPr>
          <w:p w14:paraId="7B671197" w14:textId="77777777" w:rsidR="0040300B" w:rsidRDefault="0040300B">
            <w:pPr>
              <w:rPr>
                <w:rFonts w:ascii="宋体"/>
              </w:rPr>
            </w:pPr>
          </w:p>
        </w:tc>
        <w:tc>
          <w:tcPr>
            <w:tcW w:w="50" w:type="pct"/>
            <w:shd w:val="clear" w:color="auto" w:fill="auto"/>
          </w:tcPr>
          <w:p w14:paraId="7B671198" w14:textId="77777777" w:rsidR="0040300B" w:rsidRDefault="0040300B">
            <w:pPr>
              <w:rPr>
                <w:rFonts w:ascii="宋体"/>
              </w:rPr>
            </w:pPr>
          </w:p>
        </w:tc>
        <w:tc>
          <w:tcPr>
            <w:tcW w:w="478" w:type="pct"/>
            <w:shd w:val="clear" w:color="auto" w:fill="auto"/>
          </w:tcPr>
          <w:p w14:paraId="7B671199" w14:textId="77777777" w:rsidR="0040300B" w:rsidRDefault="0040300B">
            <w:pPr>
              <w:rPr>
                <w:rFonts w:ascii="宋体"/>
              </w:rPr>
            </w:pPr>
          </w:p>
        </w:tc>
        <w:tc>
          <w:tcPr>
            <w:tcW w:w="5" w:type="pct"/>
            <w:shd w:val="clear" w:color="auto" w:fill="auto"/>
          </w:tcPr>
          <w:p w14:paraId="7B67119A" w14:textId="77777777" w:rsidR="0040300B" w:rsidRDefault="0040300B">
            <w:pPr>
              <w:rPr>
                <w:rFonts w:ascii="宋体"/>
              </w:rPr>
            </w:pPr>
          </w:p>
        </w:tc>
        <w:tc>
          <w:tcPr>
            <w:tcW w:w="5" w:type="pct"/>
            <w:shd w:val="clear" w:color="auto" w:fill="auto"/>
          </w:tcPr>
          <w:p w14:paraId="7B67119B" w14:textId="77777777" w:rsidR="0040300B" w:rsidRDefault="0040300B">
            <w:pPr>
              <w:rPr>
                <w:rFonts w:ascii="宋体"/>
              </w:rPr>
            </w:pPr>
          </w:p>
        </w:tc>
        <w:tc>
          <w:tcPr>
            <w:tcW w:w="26" w:type="pct"/>
            <w:shd w:val="clear" w:color="auto" w:fill="auto"/>
          </w:tcPr>
          <w:p w14:paraId="7B67119C" w14:textId="77777777" w:rsidR="0040300B" w:rsidRDefault="0040300B">
            <w:pPr>
              <w:rPr>
                <w:rFonts w:ascii="宋体"/>
              </w:rPr>
            </w:pPr>
          </w:p>
        </w:tc>
        <w:tc>
          <w:tcPr>
            <w:tcW w:w="5" w:type="pct"/>
            <w:shd w:val="clear" w:color="auto" w:fill="auto"/>
          </w:tcPr>
          <w:p w14:paraId="7B67119D" w14:textId="77777777" w:rsidR="0040300B" w:rsidRDefault="0040300B">
            <w:pPr>
              <w:rPr>
                <w:rFonts w:ascii="宋体"/>
              </w:rPr>
            </w:pPr>
          </w:p>
        </w:tc>
        <w:tc>
          <w:tcPr>
            <w:tcW w:w="50" w:type="pct"/>
            <w:shd w:val="clear" w:color="auto" w:fill="auto"/>
          </w:tcPr>
          <w:p w14:paraId="7B67119E" w14:textId="77777777" w:rsidR="0040300B" w:rsidRDefault="0040300B">
            <w:pPr>
              <w:rPr>
                <w:rFonts w:ascii="宋体"/>
              </w:rPr>
            </w:pPr>
          </w:p>
        </w:tc>
        <w:tc>
          <w:tcPr>
            <w:tcW w:w="478" w:type="pct"/>
            <w:shd w:val="clear" w:color="auto" w:fill="auto"/>
          </w:tcPr>
          <w:p w14:paraId="7B67119F" w14:textId="77777777" w:rsidR="0040300B" w:rsidRDefault="0040300B">
            <w:pPr>
              <w:rPr>
                <w:rFonts w:ascii="宋体"/>
              </w:rPr>
            </w:pPr>
          </w:p>
        </w:tc>
        <w:tc>
          <w:tcPr>
            <w:tcW w:w="5" w:type="pct"/>
            <w:shd w:val="clear" w:color="auto" w:fill="auto"/>
          </w:tcPr>
          <w:p w14:paraId="7B6711A0" w14:textId="77777777" w:rsidR="0040300B" w:rsidRDefault="0040300B">
            <w:pPr>
              <w:rPr>
                <w:rFonts w:ascii="宋体"/>
              </w:rPr>
            </w:pPr>
          </w:p>
        </w:tc>
      </w:tr>
      <w:tr w:rsidR="0040300B" w14:paraId="7B6711A7" w14:textId="77777777">
        <w:tc>
          <w:tcPr>
            <w:tcW w:w="0" w:type="auto"/>
            <w:gridSpan w:val="3"/>
            <w:shd w:val="clear" w:color="auto" w:fill="auto"/>
            <w:tcMar>
              <w:top w:w="0" w:type="dxa"/>
              <w:left w:w="20" w:type="dxa"/>
              <w:bottom w:w="0" w:type="dxa"/>
              <w:right w:w="20" w:type="dxa"/>
            </w:tcMar>
          </w:tcPr>
          <w:p w14:paraId="7B6711A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1A3"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1A4"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11A5"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1A6"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11B1" w14:textId="77777777">
        <w:tc>
          <w:tcPr>
            <w:tcW w:w="0" w:type="auto"/>
            <w:gridSpan w:val="3"/>
            <w:shd w:val="clear" w:color="auto" w:fill="auto"/>
            <w:tcMar>
              <w:top w:w="0" w:type="dxa"/>
              <w:left w:w="20" w:type="dxa"/>
              <w:bottom w:w="0" w:type="dxa"/>
              <w:right w:w="20" w:type="dxa"/>
            </w:tcMar>
          </w:tcPr>
          <w:p w14:paraId="7B6711A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1A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1AA"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1A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1AC"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1A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1AE"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1AF"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1B0"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11BB" w14:textId="77777777">
        <w:tc>
          <w:tcPr>
            <w:tcW w:w="0" w:type="auto"/>
            <w:gridSpan w:val="3"/>
            <w:shd w:val="clear" w:color="auto" w:fill="CCEEFF"/>
            <w:tcMar>
              <w:top w:w="40" w:type="dxa"/>
              <w:left w:w="20" w:type="dxa"/>
              <w:bottom w:w="40" w:type="dxa"/>
              <w:right w:w="20" w:type="dxa"/>
            </w:tcMar>
          </w:tcPr>
          <w:p w14:paraId="7B6711B2" w14:textId="77777777" w:rsidR="0040300B" w:rsidRDefault="00BB2D44">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tcPr>
          <w:p w14:paraId="7B6711B3"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1B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1B5"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1B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1B7"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1B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1B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1BA" w14:textId="77777777" w:rsidR="0040300B" w:rsidRDefault="0040300B">
            <w:pPr>
              <w:rPr>
                <w:rFonts w:ascii="宋体"/>
              </w:rPr>
            </w:pPr>
          </w:p>
        </w:tc>
      </w:tr>
      <w:tr w:rsidR="0040300B" w14:paraId="7B6711CD" w14:textId="77777777">
        <w:tc>
          <w:tcPr>
            <w:tcW w:w="0" w:type="auto"/>
            <w:gridSpan w:val="3"/>
            <w:shd w:val="clear" w:color="auto" w:fill="FFFFFF"/>
            <w:tcMar>
              <w:top w:w="40" w:type="dxa"/>
              <w:left w:w="380" w:type="dxa"/>
              <w:bottom w:w="40" w:type="dxa"/>
              <w:right w:w="20" w:type="dxa"/>
            </w:tcMar>
          </w:tcPr>
          <w:p w14:paraId="7B6711BC" w14:textId="77777777" w:rsidR="0040300B" w:rsidRDefault="00BB2D44">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tcPr>
          <w:p w14:paraId="7B6711B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1B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1BF" w14:textId="77777777" w:rsidR="0040300B" w:rsidRDefault="00BB2D44">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7B6711C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C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1C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1C3" w14:textId="77777777" w:rsidR="0040300B" w:rsidRDefault="00BB2D44">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7B6711C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C5"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1C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1C7" w14:textId="77777777" w:rsidR="0040300B" w:rsidRDefault="00BB2D44">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7B6711C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C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1C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1CB" w14:textId="77777777" w:rsidR="0040300B" w:rsidRDefault="00BB2D44">
            <w:pPr>
              <w:jc w:val="right"/>
              <w:textAlignment w:val="bottom"/>
            </w:pPr>
            <w:r>
              <w:rPr>
                <w:rFonts w:ascii="Times New Roman" w:eastAsia="宋体" w:hAnsi="Times New Roman"/>
                <w:color w:val="000000"/>
                <w:sz w:val="20"/>
                <w:szCs w:val="20"/>
              </w:rPr>
              <w:t>494 </w:t>
            </w:r>
          </w:p>
        </w:tc>
        <w:tc>
          <w:tcPr>
            <w:tcW w:w="0" w:type="auto"/>
            <w:shd w:val="clear" w:color="auto" w:fill="FFFFFF"/>
            <w:tcMar>
              <w:top w:w="40" w:type="dxa"/>
              <w:left w:w="0" w:type="dxa"/>
              <w:bottom w:w="40" w:type="dxa"/>
              <w:right w:w="20" w:type="dxa"/>
            </w:tcMar>
            <w:vAlign w:val="bottom"/>
          </w:tcPr>
          <w:p w14:paraId="7B6711CC" w14:textId="77777777" w:rsidR="0040300B" w:rsidRDefault="0040300B">
            <w:pPr>
              <w:jc w:val="right"/>
              <w:rPr>
                <w:rFonts w:ascii="宋体"/>
              </w:rPr>
            </w:pPr>
          </w:p>
        </w:tc>
      </w:tr>
      <w:tr w:rsidR="0040300B" w14:paraId="7B6711DB" w14:textId="77777777">
        <w:tc>
          <w:tcPr>
            <w:tcW w:w="0" w:type="auto"/>
            <w:gridSpan w:val="3"/>
            <w:shd w:val="clear" w:color="auto" w:fill="CCEEFF"/>
            <w:tcMar>
              <w:top w:w="40" w:type="dxa"/>
              <w:left w:w="380" w:type="dxa"/>
              <w:bottom w:w="40" w:type="dxa"/>
              <w:right w:w="20" w:type="dxa"/>
            </w:tcMar>
          </w:tcPr>
          <w:p w14:paraId="7B6711CE" w14:textId="77777777" w:rsidR="0040300B" w:rsidRDefault="00BB2D44">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tcPr>
          <w:p w14:paraId="7B6711C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D0"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711D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D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D3" w14:textId="77777777" w:rsidR="0040300B" w:rsidRDefault="00BB2D44">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7B6711D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D5"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D6" w14:textId="77777777" w:rsidR="0040300B" w:rsidRDefault="00BB2D44">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7B6711D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1D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1D9" w14:textId="77777777" w:rsidR="0040300B" w:rsidRDefault="00BB2D44">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7B6711DA" w14:textId="77777777" w:rsidR="0040300B" w:rsidRDefault="0040300B">
            <w:pPr>
              <w:jc w:val="right"/>
              <w:rPr>
                <w:rFonts w:ascii="宋体"/>
              </w:rPr>
            </w:pPr>
          </w:p>
        </w:tc>
      </w:tr>
      <w:tr w:rsidR="0040300B" w14:paraId="7B6711ED" w14:textId="77777777">
        <w:tc>
          <w:tcPr>
            <w:tcW w:w="0" w:type="auto"/>
            <w:gridSpan w:val="3"/>
            <w:shd w:val="clear" w:color="auto" w:fill="FFFFFF"/>
            <w:tcMar>
              <w:top w:w="40" w:type="dxa"/>
              <w:left w:w="755" w:type="dxa"/>
              <w:bottom w:w="40" w:type="dxa"/>
              <w:right w:w="20" w:type="dxa"/>
            </w:tcMar>
          </w:tcPr>
          <w:p w14:paraId="7B6711DC"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tcPr>
          <w:p w14:paraId="7B6711D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1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1DF" w14:textId="77777777" w:rsidR="0040300B" w:rsidRDefault="00BB2D44">
            <w:pPr>
              <w:jc w:val="right"/>
              <w:textAlignment w:val="bottom"/>
            </w:pPr>
            <w:r>
              <w:rPr>
                <w:rFonts w:ascii="Times New Roman" w:eastAsia="宋体" w:hAnsi="Times New Roman"/>
                <w:color w:val="000000"/>
                <w:sz w:val="20"/>
                <w:szCs w:val="20"/>
              </w:rPr>
              <w:t>248 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1E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E1"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1E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1E3" w14:textId="77777777" w:rsidR="0040300B" w:rsidRDefault="00BB2D44">
            <w:pPr>
              <w:jc w:val="right"/>
              <w:textAlignment w:val="bottom"/>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1E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E5"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1E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1E7" w14:textId="77777777" w:rsidR="0040300B" w:rsidRDefault="00BB2D44">
            <w:pPr>
              <w:jc w:val="right"/>
              <w:textAlignment w:val="bottom"/>
            </w:pPr>
            <w:r>
              <w:rPr>
                <w:rFonts w:ascii="Times New Roman" w:eastAsia="宋体" w:hAnsi="Times New Roman"/>
                <w:color w:val="000000"/>
                <w:sz w:val="20"/>
                <w:szCs w:val="20"/>
              </w:rPr>
              <w:t>649 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1E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1E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1E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1EB" w14:textId="77777777" w:rsidR="0040300B" w:rsidRDefault="00BB2D44">
            <w:pPr>
              <w:jc w:val="right"/>
              <w:textAlignment w:val="bottom"/>
            </w:pPr>
            <w:r>
              <w:rPr>
                <w:rFonts w:ascii="Times New Roman" w:eastAsia="宋体" w:hAnsi="Times New Roman"/>
                <w:color w:val="000000"/>
                <w:sz w:val="20"/>
                <w:szCs w:val="20"/>
              </w:rPr>
              <w:t>602 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1EC" w14:textId="77777777" w:rsidR="0040300B" w:rsidRDefault="0040300B">
            <w:pPr>
              <w:jc w:val="right"/>
              <w:rPr>
                <w:rFonts w:ascii="宋体"/>
              </w:rPr>
            </w:pPr>
          </w:p>
        </w:tc>
      </w:tr>
    </w:tbl>
    <w:p w14:paraId="7B6711EE" w14:textId="77777777" w:rsidR="0040300B" w:rsidRDefault="00BB2D44">
      <w:pPr>
        <w:spacing w:before="120"/>
        <w:jc w:val="both"/>
      </w:pPr>
      <w:r>
        <w:rPr>
          <w:rFonts w:ascii="Times New Roman" w:eastAsia="宋体" w:hAnsi="Times New Roman"/>
          <w:color w:val="000000"/>
          <w:sz w:val="20"/>
          <w:szCs w:val="20"/>
        </w:rPr>
        <w:t>For each of the third quarter and first nine months of fiscal 2021, the increase</w:t>
      </w:r>
      <w:r>
        <w:rPr>
          <w:rFonts w:ascii="Times New Roman" w:eastAsia="宋体" w:hAnsi="Times New Roman"/>
          <w:color w:val="000000"/>
          <w:sz w:val="20"/>
          <w:szCs w:val="20"/>
        </w:rPr>
        <w:t xml:space="preserve"> in amortization of purchased intangible assets was due largely to the amortization of purchased intangibles from our recent acquisitions.</w:t>
      </w:r>
    </w:p>
    <w:p w14:paraId="7B6711EF" w14:textId="77777777" w:rsidR="0040300B" w:rsidRDefault="00BB2D44">
      <w:pPr>
        <w:spacing w:before="120"/>
        <w:jc w:val="both"/>
      </w:pPr>
      <w:r>
        <w:rPr>
          <w:rFonts w:ascii="Times New Roman" w:eastAsia="宋体" w:hAnsi="Times New Roman"/>
          <w:b/>
          <w:bCs/>
          <w:color w:val="000000"/>
          <w:sz w:val="20"/>
          <w:szCs w:val="20"/>
        </w:rPr>
        <w:t>Restructuring and Other Charges</w:t>
      </w:r>
    </w:p>
    <w:p w14:paraId="7B6711F0" w14:textId="77777777" w:rsidR="0040300B" w:rsidRDefault="00BB2D44">
      <w:pPr>
        <w:spacing w:before="120"/>
        <w:jc w:val="both"/>
      </w:pPr>
      <w:r>
        <w:rPr>
          <w:rFonts w:ascii="Times New Roman" w:eastAsia="宋体" w:hAnsi="Times New Roman"/>
          <w:color w:val="000000"/>
          <w:sz w:val="20"/>
          <w:szCs w:val="20"/>
        </w:rPr>
        <w:t xml:space="preserve">In the first quarter of fiscal 2021, we initiated a restructuring plan, which </w:t>
      </w:r>
      <w:r>
        <w:rPr>
          <w:rFonts w:ascii="Times New Roman" w:eastAsia="宋体" w:hAnsi="Times New Roman"/>
          <w:color w:val="000000"/>
          <w:sz w:val="20"/>
          <w:szCs w:val="20"/>
        </w:rPr>
        <w:t>includes a voluntary early retirement program, in order to realign the organization and enable further investment in key priority areas. The total pretax charges are estimated to be approximately $900 million. In connection with this restructuring plan, we</w:t>
      </w:r>
      <w:r>
        <w:rPr>
          <w:rFonts w:ascii="Times New Roman" w:eastAsia="宋体" w:hAnsi="Times New Roman"/>
          <w:color w:val="000000"/>
          <w:sz w:val="20"/>
          <w:szCs w:val="20"/>
        </w:rPr>
        <w:t xml:space="preserve"> incurred charges of $35 million and $869 million for the third quarter and first nine months of fiscal 2021, respectively. We expect the plan to be substantially completed in fiscal 2021 and estimate it will generate cost savings of approximately $1.0 bil</w:t>
      </w:r>
      <w:r>
        <w:rPr>
          <w:rFonts w:ascii="Times New Roman" w:eastAsia="宋体" w:hAnsi="Times New Roman"/>
          <w:color w:val="000000"/>
          <w:sz w:val="20"/>
          <w:szCs w:val="20"/>
        </w:rPr>
        <w:t>lion on an annualized basis over the next few quarters.</w:t>
      </w:r>
    </w:p>
    <w:p w14:paraId="7B6711F1" w14:textId="77777777" w:rsidR="0040300B" w:rsidRDefault="00BB2D44">
      <w:pPr>
        <w:spacing w:before="120"/>
        <w:jc w:val="both"/>
      </w:pPr>
      <w:r>
        <w:rPr>
          <w:rFonts w:ascii="Times New Roman" w:eastAsia="宋体" w:hAnsi="Times New Roman"/>
          <w:color w:val="000000"/>
          <w:sz w:val="20"/>
          <w:szCs w:val="20"/>
        </w:rPr>
        <w:t>We initiated a restructuring plan during fiscal 2020 in order to realign the organization and enable further investment in key priority areas. In connection with this restructuring plan, we have incur</w:t>
      </w:r>
      <w:r>
        <w:rPr>
          <w:rFonts w:ascii="Times New Roman" w:eastAsia="宋体" w:hAnsi="Times New Roman"/>
          <w:color w:val="000000"/>
          <w:sz w:val="20"/>
          <w:szCs w:val="20"/>
        </w:rPr>
        <w:t>red cumulative charges of $264 million. We expect this restructuring plan to be substantially completed in fiscal 2021.</w:t>
      </w:r>
    </w:p>
    <w:p w14:paraId="7B6711F2" w14:textId="77777777" w:rsidR="0040300B" w:rsidRDefault="00BB2D44">
      <w:pPr>
        <w:spacing w:before="120"/>
        <w:jc w:val="both"/>
      </w:pPr>
      <w:r>
        <w:rPr>
          <w:rFonts w:ascii="Times New Roman" w:eastAsia="宋体" w:hAnsi="Times New Roman"/>
          <w:b/>
          <w:bCs/>
          <w:color w:val="000000"/>
          <w:sz w:val="20"/>
          <w:szCs w:val="20"/>
        </w:rPr>
        <w:t>Operating Income</w:t>
      </w:r>
    </w:p>
    <w:p w14:paraId="7B6711F3" w14:textId="77777777" w:rsidR="0040300B" w:rsidRDefault="00BB2D44">
      <w:pPr>
        <w:spacing w:before="120"/>
      </w:pPr>
      <w:r>
        <w:rPr>
          <w:rFonts w:ascii="Times New Roman" w:eastAsia="宋体" w:hAnsi="Times New Roman"/>
          <w:color w:val="000000"/>
          <w:sz w:val="20"/>
          <w:szCs w:val="20"/>
        </w:rPr>
        <w:t>The following table presents our operating income and our operating income as a percentage of revenue (in millions, exc</w:t>
      </w:r>
      <w:r>
        <w:rPr>
          <w:rFonts w:ascii="Times New Roman" w:eastAsia="宋体" w:hAnsi="Times New Roman"/>
          <w:color w:val="000000"/>
          <w:sz w:val="20"/>
          <w:szCs w:val="20"/>
        </w:rPr>
        <w:t>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24"/>
        <w:gridCol w:w="37"/>
        <w:gridCol w:w="36"/>
        <w:gridCol w:w="36"/>
        <w:gridCol w:w="36"/>
        <w:gridCol w:w="120"/>
        <w:gridCol w:w="669"/>
        <w:gridCol w:w="187"/>
        <w:gridCol w:w="36"/>
        <w:gridCol w:w="36"/>
        <w:gridCol w:w="36"/>
        <w:gridCol w:w="120"/>
        <w:gridCol w:w="669"/>
        <w:gridCol w:w="187"/>
        <w:gridCol w:w="36"/>
        <w:gridCol w:w="36"/>
        <w:gridCol w:w="36"/>
        <w:gridCol w:w="120"/>
        <w:gridCol w:w="669"/>
        <w:gridCol w:w="187"/>
        <w:gridCol w:w="36"/>
        <w:gridCol w:w="36"/>
        <w:gridCol w:w="36"/>
        <w:gridCol w:w="120"/>
        <w:gridCol w:w="670"/>
        <w:gridCol w:w="187"/>
      </w:tblGrid>
      <w:tr w:rsidR="0040300B" w14:paraId="7B67120F" w14:textId="77777777">
        <w:tc>
          <w:tcPr>
            <w:tcW w:w="50" w:type="pct"/>
            <w:shd w:val="clear" w:color="auto" w:fill="auto"/>
          </w:tcPr>
          <w:p w14:paraId="7B6711F4" w14:textId="77777777" w:rsidR="0040300B" w:rsidRDefault="0040300B">
            <w:pPr>
              <w:rPr>
                <w:rFonts w:ascii="宋体"/>
              </w:rPr>
            </w:pPr>
          </w:p>
        </w:tc>
        <w:tc>
          <w:tcPr>
            <w:tcW w:w="2459" w:type="pct"/>
            <w:shd w:val="clear" w:color="auto" w:fill="auto"/>
          </w:tcPr>
          <w:p w14:paraId="7B6711F5" w14:textId="77777777" w:rsidR="0040300B" w:rsidRDefault="0040300B">
            <w:pPr>
              <w:rPr>
                <w:rFonts w:ascii="宋体"/>
              </w:rPr>
            </w:pPr>
          </w:p>
        </w:tc>
        <w:tc>
          <w:tcPr>
            <w:tcW w:w="5" w:type="pct"/>
            <w:shd w:val="clear" w:color="auto" w:fill="auto"/>
          </w:tcPr>
          <w:p w14:paraId="7B6711F6" w14:textId="77777777" w:rsidR="0040300B" w:rsidRDefault="0040300B">
            <w:pPr>
              <w:rPr>
                <w:rFonts w:ascii="宋体"/>
              </w:rPr>
            </w:pPr>
          </w:p>
        </w:tc>
        <w:tc>
          <w:tcPr>
            <w:tcW w:w="5" w:type="pct"/>
            <w:shd w:val="clear" w:color="auto" w:fill="auto"/>
          </w:tcPr>
          <w:p w14:paraId="7B6711F7" w14:textId="77777777" w:rsidR="0040300B" w:rsidRDefault="0040300B">
            <w:pPr>
              <w:rPr>
                <w:rFonts w:ascii="宋体"/>
              </w:rPr>
            </w:pPr>
          </w:p>
        </w:tc>
        <w:tc>
          <w:tcPr>
            <w:tcW w:w="26" w:type="pct"/>
            <w:shd w:val="clear" w:color="auto" w:fill="auto"/>
          </w:tcPr>
          <w:p w14:paraId="7B6711F8" w14:textId="77777777" w:rsidR="0040300B" w:rsidRDefault="0040300B">
            <w:pPr>
              <w:rPr>
                <w:rFonts w:ascii="宋体"/>
              </w:rPr>
            </w:pPr>
          </w:p>
        </w:tc>
        <w:tc>
          <w:tcPr>
            <w:tcW w:w="5" w:type="pct"/>
            <w:shd w:val="clear" w:color="auto" w:fill="auto"/>
          </w:tcPr>
          <w:p w14:paraId="7B6711F9" w14:textId="77777777" w:rsidR="0040300B" w:rsidRDefault="0040300B">
            <w:pPr>
              <w:rPr>
                <w:rFonts w:ascii="宋体"/>
              </w:rPr>
            </w:pPr>
          </w:p>
        </w:tc>
        <w:tc>
          <w:tcPr>
            <w:tcW w:w="50" w:type="pct"/>
            <w:shd w:val="clear" w:color="auto" w:fill="auto"/>
          </w:tcPr>
          <w:p w14:paraId="7B6711FA" w14:textId="77777777" w:rsidR="0040300B" w:rsidRDefault="0040300B">
            <w:pPr>
              <w:rPr>
                <w:rFonts w:ascii="宋体"/>
              </w:rPr>
            </w:pPr>
          </w:p>
        </w:tc>
        <w:tc>
          <w:tcPr>
            <w:tcW w:w="529" w:type="pct"/>
            <w:shd w:val="clear" w:color="auto" w:fill="auto"/>
          </w:tcPr>
          <w:p w14:paraId="7B6711FB" w14:textId="77777777" w:rsidR="0040300B" w:rsidRDefault="0040300B">
            <w:pPr>
              <w:rPr>
                <w:rFonts w:ascii="宋体"/>
              </w:rPr>
            </w:pPr>
          </w:p>
        </w:tc>
        <w:tc>
          <w:tcPr>
            <w:tcW w:w="5" w:type="pct"/>
            <w:shd w:val="clear" w:color="auto" w:fill="auto"/>
          </w:tcPr>
          <w:p w14:paraId="7B6711FC" w14:textId="77777777" w:rsidR="0040300B" w:rsidRDefault="0040300B">
            <w:pPr>
              <w:rPr>
                <w:rFonts w:ascii="宋体"/>
              </w:rPr>
            </w:pPr>
          </w:p>
        </w:tc>
        <w:tc>
          <w:tcPr>
            <w:tcW w:w="5" w:type="pct"/>
            <w:shd w:val="clear" w:color="auto" w:fill="auto"/>
          </w:tcPr>
          <w:p w14:paraId="7B6711FD" w14:textId="77777777" w:rsidR="0040300B" w:rsidRDefault="0040300B">
            <w:pPr>
              <w:rPr>
                <w:rFonts w:ascii="宋体"/>
              </w:rPr>
            </w:pPr>
          </w:p>
        </w:tc>
        <w:tc>
          <w:tcPr>
            <w:tcW w:w="26" w:type="pct"/>
            <w:shd w:val="clear" w:color="auto" w:fill="auto"/>
          </w:tcPr>
          <w:p w14:paraId="7B6711FE" w14:textId="77777777" w:rsidR="0040300B" w:rsidRDefault="0040300B">
            <w:pPr>
              <w:rPr>
                <w:rFonts w:ascii="宋体"/>
              </w:rPr>
            </w:pPr>
          </w:p>
        </w:tc>
        <w:tc>
          <w:tcPr>
            <w:tcW w:w="5" w:type="pct"/>
            <w:shd w:val="clear" w:color="auto" w:fill="auto"/>
          </w:tcPr>
          <w:p w14:paraId="7B6711FF" w14:textId="77777777" w:rsidR="0040300B" w:rsidRDefault="0040300B">
            <w:pPr>
              <w:rPr>
                <w:rFonts w:ascii="宋体"/>
              </w:rPr>
            </w:pPr>
          </w:p>
        </w:tc>
        <w:tc>
          <w:tcPr>
            <w:tcW w:w="50" w:type="pct"/>
            <w:shd w:val="clear" w:color="auto" w:fill="auto"/>
          </w:tcPr>
          <w:p w14:paraId="7B671200" w14:textId="77777777" w:rsidR="0040300B" w:rsidRDefault="0040300B">
            <w:pPr>
              <w:rPr>
                <w:rFonts w:ascii="宋体"/>
              </w:rPr>
            </w:pPr>
          </w:p>
        </w:tc>
        <w:tc>
          <w:tcPr>
            <w:tcW w:w="529" w:type="pct"/>
            <w:shd w:val="clear" w:color="auto" w:fill="auto"/>
          </w:tcPr>
          <w:p w14:paraId="7B671201" w14:textId="77777777" w:rsidR="0040300B" w:rsidRDefault="0040300B">
            <w:pPr>
              <w:rPr>
                <w:rFonts w:ascii="宋体"/>
              </w:rPr>
            </w:pPr>
          </w:p>
        </w:tc>
        <w:tc>
          <w:tcPr>
            <w:tcW w:w="5" w:type="pct"/>
            <w:shd w:val="clear" w:color="auto" w:fill="auto"/>
          </w:tcPr>
          <w:p w14:paraId="7B671202" w14:textId="77777777" w:rsidR="0040300B" w:rsidRDefault="0040300B">
            <w:pPr>
              <w:rPr>
                <w:rFonts w:ascii="宋体"/>
              </w:rPr>
            </w:pPr>
          </w:p>
        </w:tc>
        <w:tc>
          <w:tcPr>
            <w:tcW w:w="5" w:type="pct"/>
            <w:shd w:val="clear" w:color="auto" w:fill="auto"/>
          </w:tcPr>
          <w:p w14:paraId="7B671203" w14:textId="77777777" w:rsidR="0040300B" w:rsidRDefault="0040300B">
            <w:pPr>
              <w:rPr>
                <w:rFonts w:ascii="宋体"/>
              </w:rPr>
            </w:pPr>
          </w:p>
        </w:tc>
        <w:tc>
          <w:tcPr>
            <w:tcW w:w="26" w:type="pct"/>
            <w:shd w:val="clear" w:color="auto" w:fill="auto"/>
          </w:tcPr>
          <w:p w14:paraId="7B671204" w14:textId="77777777" w:rsidR="0040300B" w:rsidRDefault="0040300B">
            <w:pPr>
              <w:rPr>
                <w:rFonts w:ascii="宋体"/>
              </w:rPr>
            </w:pPr>
          </w:p>
        </w:tc>
        <w:tc>
          <w:tcPr>
            <w:tcW w:w="5" w:type="pct"/>
            <w:shd w:val="clear" w:color="auto" w:fill="auto"/>
          </w:tcPr>
          <w:p w14:paraId="7B671205" w14:textId="77777777" w:rsidR="0040300B" w:rsidRDefault="0040300B">
            <w:pPr>
              <w:rPr>
                <w:rFonts w:ascii="宋体"/>
              </w:rPr>
            </w:pPr>
          </w:p>
        </w:tc>
        <w:tc>
          <w:tcPr>
            <w:tcW w:w="50" w:type="pct"/>
            <w:shd w:val="clear" w:color="auto" w:fill="auto"/>
          </w:tcPr>
          <w:p w14:paraId="7B671206" w14:textId="77777777" w:rsidR="0040300B" w:rsidRDefault="0040300B">
            <w:pPr>
              <w:rPr>
                <w:rFonts w:ascii="宋体"/>
              </w:rPr>
            </w:pPr>
          </w:p>
        </w:tc>
        <w:tc>
          <w:tcPr>
            <w:tcW w:w="529" w:type="pct"/>
            <w:shd w:val="clear" w:color="auto" w:fill="auto"/>
          </w:tcPr>
          <w:p w14:paraId="7B671207" w14:textId="77777777" w:rsidR="0040300B" w:rsidRDefault="0040300B">
            <w:pPr>
              <w:rPr>
                <w:rFonts w:ascii="宋体"/>
              </w:rPr>
            </w:pPr>
          </w:p>
        </w:tc>
        <w:tc>
          <w:tcPr>
            <w:tcW w:w="5" w:type="pct"/>
            <w:shd w:val="clear" w:color="auto" w:fill="auto"/>
          </w:tcPr>
          <w:p w14:paraId="7B671208" w14:textId="77777777" w:rsidR="0040300B" w:rsidRDefault="0040300B">
            <w:pPr>
              <w:rPr>
                <w:rFonts w:ascii="宋体"/>
              </w:rPr>
            </w:pPr>
          </w:p>
        </w:tc>
        <w:tc>
          <w:tcPr>
            <w:tcW w:w="5" w:type="pct"/>
            <w:shd w:val="clear" w:color="auto" w:fill="auto"/>
          </w:tcPr>
          <w:p w14:paraId="7B671209" w14:textId="77777777" w:rsidR="0040300B" w:rsidRDefault="0040300B">
            <w:pPr>
              <w:rPr>
                <w:rFonts w:ascii="宋体"/>
              </w:rPr>
            </w:pPr>
          </w:p>
        </w:tc>
        <w:tc>
          <w:tcPr>
            <w:tcW w:w="26" w:type="pct"/>
            <w:shd w:val="clear" w:color="auto" w:fill="auto"/>
          </w:tcPr>
          <w:p w14:paraId="7B67120A" w14:textId="77777777" w:rsidR="0040300B" w:rsidRDefault="0040300B">
            <w:pPr>
              <w:rPr>
                <w:rFonts w:ascii="宋体"/>
              </w:rPr>
            </w:pPr>
          </w:p>
        </w:tc>
        <w:tc>
          <w:tcPr>
            <w:tcW w:w="5" w:type="pct"/>
            <w:shd w:val="clear" w:color="auto" w:fill="auto"/>
          </w:tcPr>
          <w:p w14:paraId="7B67120B" w14:textId="77777777" w:rsidR="0040300B" w:rsidRDefault="0040300B">
            <w:pPr>
              <w:rPr>
                <w:rFonts w:ascii="宋体"/>
              </w:rPr>
            </w:pPr>
          </w:p>
        </w:tc>
        <w:tc>
          <w:tcPr>
            <w:tcW w:w="50" w:type="pct"/>
            <w:shd w:val="clear" w:color="auto" w:fill="auto"/>
          </w:tcPr>
          <w:p w14:paraId="7B67120C" w14:textId="77777777" w:rsidR="0040300B" w:rsidRDefault="0040300B">
            <w:pPr>
              <w:rPr>
                <w:rFonts w:ascii="宋体"/>
              </w:rPr>
            </w:pPr>
          </w:p>
        </w:tc>
        <w:tc>
          <w:tcPr>
            <w:tcW w:w="530" w:type="pct"/>
            <w:shd w:val="clear" w:color="auto" w:fill="auto"/>
          </w:tcPr>
          <w:p w14:paraId="7B67120D" w14:textId="77777777" w:rsidR="0040300B" w:rsidRDefault="0040300B">
            <w:pPr>
              <w:rPr>
                <w:rFonts w:ascii="宋体"/>
              </w:rPr>
            </w:pPr>
          </w:p>
        </w:tc>
        <w:tc>
          <w:tcPr>
            <w:tcW w:w="5" w:type="pct"/>
            <w:shd w:val="clear" w:color="auto" w:fill="auto"/>
          </w:tcPr>
          <w:p w14:paraId="7B67120E" w14:textId="77777777" w:rsidR="0040300B" w:rsidRDefault="0040300B">
            <w:pPr>
              <w:rPr>
                <w:rFonts w:ascii="宋体"/>
              </w:rPr>
            </w:pPr>
          </w:p>
        </w:tc>
      </w:tr>
      <w:tr w:rsidR="0040300B" w14:paraId="7B671215" w14:textId="77777777">
        <w:tc>
          <w:tcPr>
            <w:tcW w:w="0" w:type="auto"/>
            <w:gridSpan w:val="3"/>
            <w:shd w:val="clear" w:color="auto" w:fill="auto"/>
            <w:tcMar>
              <w:top w:w="0" w:type="dxa"/>
              <w:left w:w="20" w:type="dxa"/>
              <w:bottom w:w="0" w:type="dxa"/>
              <w:right w:w="20" w:type="dxa"/>
            </w:tcMar>
          </w:tcPr>
          <w:p w14:paraId="7B67121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211"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212"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1213"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214"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121F" w14:textId="77777777">
        <w:tc>
          <w:tcPr>
            <w:tcW w:w="0" w:type="auto"/>
            <w:gridSpan w:val="3"/>
            <w:shd w:val="clear" w:color="auto" w:fill="auto"/>
            <w:tcMar>
              <w:top w:w="0" w:type="dxa"/>
              <w:left w:w="20" w:type="dxa"/>
              <w:bottom w:w="0" w:type="dxa"/>
              <w:right w:w="20" w:type="dxa"/>
            </w:tcMar>
          </w:tcPr>
          <w:p w14:paraId="7B67121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21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1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21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1A"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21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1C"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21D"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1E"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1231" w14:textId="77777777">
        <w:tc>
          <w:tcPr>
            <w:tcW w:w="0" w:type="auto"/>
            <w:gridSpan w:val="3"/>
            <w:shd w:val="clear" w:color="auto" w:fill="CCEEFF"/>
            <w:tcMar>
              <w:top w:w="40" w:type="dxa"/>
              <w:left w:w="20" w:type="dxa"/>
              <w:bottom w:w="40" w:type="dxa"/>
              <w:right w:w="20" w:type="dxa"/>
            </w:tcMar>
            <w:vAlign w:val="bottom"/>
          </w:tcPr>
          <w:p w14:paraId="7B671220" w14:textId="77777777" w:rsidR="0040300B" w:rsidRDefault="00BB2D44">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tcPr>
          <w:p w14:paraId="7B67122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2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23" w14:textId="77777777" w:rsidR="0040300B" w:rsidRDefault="00BB2D44">
            <w:pPr>
              <w:jc w:val="right"/>
              <w:textAlignment w:val="bottom"/>
            </w:pPr>
            <w:r>
              <w:rPr>
                <w:rFonts w:ascii="Times New Roman" w:eastAsia="宋体" w:hAnsi="Times New Roman"/>
                <w:color w:val="000000"/>
                <w:sz w:val="20"/>
                <w:szCs w:val="20"/>
              </w:rPr>
              <w:t>3,465 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24"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25"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2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27" w14:textId="77777777" w:rsidR="0040300B" w:rsidRDefault="00BB2D44">
            <w:pPr>
              <w:jc w:val="right"/>
              <w:textAlignment w:val="bottom"/>
            </w:pPr>
            <w:r>
              <w:rPr>
                <w:rFonts w:ascii="Times New Roman" w:eastAsia="宋体" w:hAnsi="Times New Roman"/>
                <w:color w:val="000000"/>
                <w:sz w:val="20"/>
                <w:szCs w:val="20"/>
              </w:rPr>
              <w:t>3,414 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2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2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2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2B" w14:textId="77777777" w:rsidR="0040300B" w:rsidRDefault="00BB2D44">
            <w:pPr>
              <w:jc w:val="right"/>
              <w:textAlignment w:val="bottom"/>
            </w:pPr>
            <w:r>
              <w:rPr>
                <w:rFonts w:ascii="Times New Roman" w:eastAsia="宋体" w:hAnsi="Times New Roman"/>
                <w:color w:val="000000"/>
                <w:sz w:val="20"/>
                <w:szCs w:val="20"/>
              </w:rPr>
              <w:t>9,258 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2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2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2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2F" w14:textId="77777777" w:rsidR="0040300B" w:rsidRDefault="00BB2D44">
            <w:pPr>
              <w:jc w:val="right"/>
              <w:textAlignment w:val="bottom"/>
            </w:pPr>
            <w:r>
              <w:rPr>
                <w:rFonts w:ascii="Times New Roman" w:eastAsia="宋体" w:hAnsi="Times New Roman"/>
                <w:color w:val="000000"/>
                <w:sz w:val="20"/>
                <w:szCs w:val="20"/>
              </w:rPr>
              <w:t>10,373 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30" w14:textId="77777777" w:rsidR="0040300B" w:rsidRDefault="0040300B">
            <w:pPr>
              <w:jc w:val="right"/>
              <w:rPr>
                <w:rFonts w:ascii="宋体"/>
              </w:rPr>
            </w:pPr>
          </w:p>
        </w:tc>
      </w:tr>
      <w:tr w:rsidR="0040300B" w14:paraId="7B67123F" w14:textId="77777777">
        <w:tc>
          <w:tcPr>
            <w:tcW w:w="0" w:type="auto"/>
            <w:gridSpan w:val="3"/>
            <w:shd w:val="clear" w:color="auto" w:fill="FFFFFF"/>
            <w:tcMar>
              <w:top w:w="40" w:type="dxa"/>
              <w:left w:w="20" w:type="dxa"/>
              <w:bottom w:w="40" w:type="dxa"/>
              <w:right w:w="20" w:type="dxa"/>
            </w:tcMar>
            <w:vAlign w:val="bottom"/>
          </w:tcPr>
          <w:p w14:paraId="7B671232" w14:textId="77777777" w:rsidR="0040300B" w:rsidRDefault="00BB2D44">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tcPr>
          <w:p w14:paraId="7B67123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34" w14:textId="77777777" w:rsidR="0040300B" w:rsidRDefault="00BB2D44">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7B671235"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123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37" w14:textId="77777777" w:rsidR="0040300B" w:rsidRDefault="00BB2D44">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7B671238"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123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3A" w14:textId="77777777" w:rsidR="0040300B" w:rsidRDefault="00BB2D44">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7B67123B" w14:textId="77777777" w:rsidR="0040300B" w:rsidRDefault="00BB2D4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B67123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3D" w14:textId="77777777" w:rsidR="0040300B" w:rsidRDefault="00BB2D44">
            <w:pPr>
              <w:jc w:val="right"/>
              <w:textAlignment w:val="bottom"/>
            </w:pPr>
            <w:r>
              <w:rPr>
                <w:rFonts w:ascii="Times New Roman" w:eastAsia="宋体" w:hAnsi="Times New Roman"/>
                <w:color w:val="000000"/>
                <w:sz w:val="20"/>
                <w:szCs w:val="20"/>
              </w:rPr>
              <w:t>27.9 </w:t>
            </w:r>
          </w:p>
        </w:tc>
        <w:tc>
          <w:tcPr>
            <w:tcW w:w="0" w:type="auto"/>
            <w:shd w:val="clear" w:color="auto" w:fill="FFFFFF"/>
            <w:tcMar>
              <w:top w:w="40" w:type="dxa"/>
              <w:left w:w="0" w:type="dxa"/>
              <w:bottom w:w="40" w:type="dxa"/>
              <w:right w:w="20" w:type="dxa"/>
            </w:tcMar>
            <w:vAlign w:val="bottom"/>
          </w:tcPr>
          <w:p w14:paraId="7B67123E" w14:textId="77777777" w:rsidR="0040300B" w:rsidRDefault="00BB2D44">
            <w:pPr>
              <w:jc w:val="right"/>
              <w:textAlignment w:val="bottom"/>
            </w:pPr>
            <w:r>
              <w:rPr>
                <w:rFonts w:ascii="Times New Roman" w:eastAsia="宋体" w:hAnsi="Times New Roman"/>
                <w:color w:val="000000"/>
                <w:sz w:val="20"/>
                <w:szCs w:val="20"/>
              </w:rPr>
              <w:t>%</w:t>
            </w:r>
          </w:p>
        </w:tc>
      </w:tr>
    </w:tbl>
    <w:p w14:paraId="7B671240"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1241" w14:textId="77777777" w:rsidR="0040300B" w:rsidRDefault="00BB2D44">
      <w:pPr>
        <w:spacing w:before="120"/>
        <w:jc w:val="both"/>
      </w:pPr>
      <w:r>
        <w:rPr>
          <w:rFonts w:ascii="Times New Roman" w:eastAsia="宋体" w:hAnsi="Times New Roman"/>
          <w:color w:val="000000"/>
          <w:sz w:val="20"/>
          <w:szCs w:val="20"/>
        </w:rPr>
        <w:t>Operating income increased by 1%, and operating income as a percentage of revenue decreased by 1.4 percentage points. These cha</w:t>
      </w:r>
      <w:r>
        <w:rPr>
          <w:rFonts w:ascii="Times New Roman" w:eastAsia="宋体" w:hAnsi="Times New Roman"/>
          <w:color w:val="000000"/>
          <w:sz w:val="20"/>
          <w:szCs w:val="20"/>
        </w:rPr>
        <w:t>nges resulted primarily from a revenue increase, partially offset by a gross margin percentage decrease (driven by pricing erosion, partially offset by favorable product mix) and an increase in operating expenses.</w:t>
      </w:r>
    </w:p>
    <w:p w14:paraId="7B671242"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w:t>
      </w:r>
      <w:r>
        <w:rPr>
          <w:rFonts w:ascii="Times New Roman" w:eastAsia="宋体" w:hAnsi="Times New Roman"/>
          <w:i/>
          <w:iCs/>
          <w:color w:val="000000"/>
          <w:sz w:val="20"/>
          <w:szCs w:val="20"/>
          <w:u w:val="single"/>
        </w:rPr>
        <w:t>h Nine Months Ended April 25, 2020</w:t>
      </w:r>
    </w:p>
    <w:p w14:paraId="7B671243" w14:textId="77777777" w:rsidR="0040300B" w:rsidRDefault="00BB2D44">
      <w:pPr>
        <w:spacing w:before="120"/>
        <w:jc w:val="both"/>
      </w:pPr>
      <w:r>
        <w:rPr>
          <w:rFonts w:ascii="Times New Roman" w:eastAsia="宋体" w:hAnsi="Times New Roman"/>
          <w:color w:val="000000"/>
          <w:sz w:val="20"/>
          <w:szCs w:val="20"/>
        </w:rPr>
        <w:t>Operating income decreased by 11%, and operating income as a percentage of revenue decreased by 2.7 percentage points. These changes resulted primarily from a revenue decrease, higher restructuring and other charges and a</w:t>
      </w:r>
      <w:r>
        <w:rPr>
          <w:rFonts w:ascii="Times New Roman" w:eastAsia="宋体" w:hAnsi="Times New Roman"/>
          <w:color w:val="000000"/>
          <w:sz w:val="20"/>
          <w:szCs w:val="20"/>
        </w:rPr>
        <w:t xml:space="preserve"> gross margin percentage decrease (driven by pricing erosion, partially offset by favorable product mix).</w:t>
      </w:r>
    </w:p>
    <w:p w14:paraId="7B671244" w14:textId="77777777" w:rsidR="0040300B" w:rsidRDefault="0040300B">
      <w:pPr>
        <w:spacing w:before="120"/>
        <w:jc w:val="both"/>
      </w:pPr>
    </w:p>
    <w:p w14:paraId="7B671245" w14:textId="77777777" w:rsidR="0040300B" w:rsidRDefault="00BB2D44">
      <w:pPr>
        <w:jc w:val="center"/>
      </w:pPr>
      <w:r>
        <w:rPr>
          <w:rFonts w:ascii="Times New Roman" w:eastAsia="宋体" w:hAnsi="Times New Roman"/>
          <w:color w:val="000000"/>
          <w:sz w:val="20"/>
          <w:szCs w:val="20"/>
        </w:rPr>
        <w:t>57</w:t>
      </w:r>
    </w:p>
    <w:p w14:paraId="7B671246" w14:textId="77777777" w:rsidR="0040300B" w:rsidRDefault="00BB2D44">
      <w:r>
        <w:pict w14:anchorId="7B671C49">
          <v:rect id="_x0000_i1081" style="width:415.3pt;height:1.5pt" o:hralign="center" o:hrstd="t" o:hr="t" fillcolor="#a0a0a0" stroked="f"/>
        </w:pict>
      </w:r>
    </w:p>
    <w:p w14:paraId="7B671247" w14:textId="77777777" w:rsidR="0040300B" w:rsidRDefault="00BB2D44">
      <w:hyperlink r:id="rId103"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248" w14:textId="77777777" w:rsidR="0040300B" w:rsidRDefault="00BB2D44">
      <w:pPr>
        <w:jc w:val="center"/>
      </w:pPr>
      <w:r>
        <w:rPr>
          <w:rFonts w:ascii="Times New Roman" w:eastAsia="宋体" w:hAnsi="Times New Roman"/>
          <w:b/>
          <w:bCs/>
          <w:color w:val="000000"/>
          <w:sz w:val="18"/>
          <w:szCs w:val="18"/>
        </w:rPr>
        <w:t>CISCO SYSTEMS, INC.</w:t>
      </w:r>
    </w:p>
    <w:p w14:paraId="7B671249"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124A" w14:textId="77777777" w:rsidR="0040300B" w:rsidRDefault="0040300B">
      <w:pPr>
        <w:jc w:val="center"/>
      </w:pPr>
    </w:p>
    <w:p w14:paraId="7B67124B" w14:textId="77777777" w:rsidR="0040300B" w:rsidRDefault="00BB2D44">
      <w:r>
        <w:rPr>
          <w:rFonts w:ascii="Times New Roman" w:eastAsia="宋体" w:hAnsi="Times New Roman"/>
          <w:b/>
          <w:bCs/>
          <w:color w:val="000000"/>
          <w:sz w:val="20"/>
          <w:szCs w:val="20"/>
        </w:rPr>
        <w:t>Interest and Other Income (Loss), Net</w:t>
      </w:r>
    </w:p>
    <w:p w14:paraId="7B67124C" w14:textId="77777777" w:rsidR="0040300B" w:rsidRDefault="00BB2D44">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478"/>
        <w:gridCol w:w="37"/>
        <w:gridCol w:w="36"/>
        <w:gridCol w:w="36"/>
        <w:gridCol w:w="36"/>
        <w:gridCol w:w="120"/>
        <w:gridCol w:w="698"/>
        <w:gridCol w:w="36"/>
        <w:gridCol w:w="36"/>
        <w:gridCol w:w="36"/>
        <w:gridCol w:w="36"/>
        <w:gridCol w:w="120"/>
        <w:gridCol w:w="698"/>
        <w:gridCol w:w="36"/>
        <w:gridCol w:w="36"/>
        <w:gridCol w:w="36"/>
        <w:gridCol w:w="36"/>
        <w:gridCol w:w="121"/>
        <w:gridCol w:w="699"/>
        <w:gridCol w:w="36"/>
        <w:gridCol w:w="36"/>
        <w:gridCol w:w="36"/>
        <w:gridCol w:w="36"/>
        <w:gridCol w:w="120"/>
        <w:gridCol w:w="700"/>
        <w:gridCol w:w="36"/>
        <w:gridCol w:w="36"/>
        <w:gridCol w:w="36"/>
        <w:gridCol w:w="36"/>
        <w:gridCol w:w="120"/>
        <w:gridCol w:w="700"/>
        <w:gridCol w:w="36"/>
        <w:gridCol w:w="36"/>
        <w:gridCol w:w="36"/>
        <w:gridCol w:w="36"/>
        <w:gridCol w:w="121"/>
        <w:gridCol w:w="701"/>
        <w:gridCol w:w="36"/>
      </w:tblGrid>
      <w:tr w:rsidR="0040300B" w14:paraId="7B671274" w14:textId="77777777">
        <w:tc>
          <w:tcPr>
            <w:tcW w:w="50" w:type="pct"/>
            <w:shd w:val="clear" w:color="auto" w:fill="auto"/>
          </w:tcPr>
          <w:p w14:paraId="7B67124D" w14:textId="77777777" w:rsidR="0040300B" w:rsidRDefault="0040300B">
            <w:pPr>
              <w:rPr>
                <w:rFonts w:ascii="宋体"/>
              </w:rPr>
            </w:pPr>
          </w:p>
        </w:tc>
        <w:tc>
          <w:tcPr>
            <w:tcW w:w="1523" w:type="pct"/>
            <w:shd w:val="clear" w:color="auto" w:fill="auto"/>
          </w:tcPr>
          <w:p w14:paraId="7B67124E" w14:textId="77777777" w:rsidR="0040300B" w:rsidRDefault="0040300B">
            <w:pPr>
              <w:rPr>
                <w:rFonts w:ascii="宋体"/>
              </w:rPr>
            </w:pPr>
          </w:p>
        </w:tc>
        <w:tc>
          <w:tcPr>
            <w:tcW w:w="5" w:type="pct"/>
            <w:shd w:val="clear" w:color="auto" w:fill="auto"/>
          </w:tcPr>
          <w:p w14:paraId="7B67124F" w14:textId="77777777" w:rsidR="0040300B" w:rsidRDefault="0040300B">
            <w:pPr>
              <w:rPr>
                <w:rFonts w:ascii="宋体"/>
              </w:rPr>
            </w:pPr>
          </w:p>
        </w:tc>
        <w:tc>
          <w:tcPr>
            <w:tcW w:w="5" w:type="pct"/>
            <w:shd w:val="clear" w:color="auto" w:fill="auto"/>
          </w:tcPr>
          <w:p w14:paraId="7B671250" w14:textId="77777777" w:rsidR="0040300B" w:rsidRDefault="0040300B">
            <w:pPr>
              <w:rPr>
                <w:rFonts w:ascii="宋体"/>
              </w:rPr>
            </w:pPr>
          </w:p>
        </w:tc>
        <w:tc>
          <w:tcPr>
            <w:tcW w:w="26" w:type="pct"/>
            <w:shd w:val="clear" w:color="auto" w:fill="auto"/>
          </w:tcPr>
          <w:p w14:paraId="7B671251" w14:textId="77777777" w:rsidR="0040300B" w:rsidRDefault="0040300B">
            <w:pPr>
              <w:rPr>
                <w:rFonts w:ascii="宋体"/>
              </w:rPr>
            </w:pPr>
          </w:p>
        </w:tc>
        <w:tc>
          <w:tcPr>
            <w:tcW w:w="5" w:type="pct"/>
            <w:shd w:val="clear" w:color="auto" w:fill="auto"/>
          </w:tcPr>
          <w:p w14:paraId="7B671252" w14:textId="77777777" w:rsidR="0040300B" w:rsidRDefault="0040300B">
            <w:pPr>
              <w:rPr>
                <w:rFonts w:ascii="宋体"/>
              </w:rPr>
            </w:pPr>
          </w:p>
        </w:tc>
        <w:tc>
          <w:tcPr>
            <w:tcW w:w="50" w:type="pct"/>
            <w:shd w:val="clear" w:color="auto" w:fill="auto"/>
          </w:tcPr>
          <w:p w14:paraId="7B671253" w14:textId="77777777" w:rsidR="0040300B" w:rsidRDefault="0040300B">
            <w:pPr>
              <w:rPr>
                <w:rFonts w:ascii="宋体"/>
              </w:rPr>
            </w:pPr>
          </w:p>
        </w:tc>
        <w:tc>
          <w:tcPr>
            <w:tcW w:w="478" w:type="pct"/>
            <w:shd w:val="clear" w:color="auto" w:fill="auto"/>
          </w:tcPr>
          <w:p w14:paraId="7B671254" w14:textId="77777777" w:rsidR="0040300B" w:rsidRDefault="0040300B">
            <w:pPr>
              <w:rPr>
                <w:rFonts w:ascii="宋体"/>
              </w:rPr>
            </w:pPr>
          </w:p>
        </w:tc>
        <w:tc>
          <w:tcPr>
            <w:tcW w:w="5" w:type="pct"/>
            <w:shd w:val="clear" w:color="auto" w:fill="auto"/>
          </w:tcPr>
          <w:p w14:paraId="7B671255" w14:textId="77777777" w:rsidR="0040300B" w:rsidRDefault="0040300B">
            <w:pPr>
              <w:rPr>
                <w:rFonts w:ascii="宋体"/>
              </w:rPr>
            </w:pPr>
          </w:p>
        </w:tc>
        <w:tc>
          <w:tcPr>
            <w:tcW w:w="5" w:type="pct"/>
            <w:shd w:val="clear" w:color="auto" w:fill="auto"/>
          </w:tcPr>
          <w:p w14:paraId="7B671256" w14:textId="77777777" w:rsidR="0040300B" w:rsidRDefault="0040300B">
            <w:pPr>
              <w:rPr>
                <w:rFonts w:ascii="宋体"/>
              </w:rPr>
            </w:pPr>
          </w:p>
        </w:tc>
        <w:tc>
          <w:tcPr>
            <w:tcW w:w="26" w:type="pct"/>
            <w:shd w:val="clear" w:color="auto" w:fill="auto"/>
          </w:tcPr>
          <w:p w14:paraId="7B671257" w14:textId="77777777" w:rsidR="0040300B" w:rsidRDefault="0040300B">
            <w:pPr>
              <w:rPr>
                <w:rFonts w:ascii="宋体"/>
              </w:rPr>
            </w:pPr>
          </w:p>
        </w:tc>
        <w:tc>
          <w:tcPr>
            <w:tcW w:w="5" w:type="pct"/>
            <w:shd w:val="clear" w:color="auto" w:fill="auto"/>
          </w:tcPr>
          <w:p w14:paraId="7B671258" w14:textId="77777777" w:rsidR="0040300B" w:rsidRDefault="0040300B">
            <w:pPr>
              <w:rPr>
                <w:rFonts w:ascii="宋体"/>
              </w:rPr>
            </w:pPr>
          </w:p>
        </w:tc>
        <w:tc>
          <w:tcPr>
            <w:tcW w:w="50" w:type="pct"/>
            <w:shd w:val="clear" w:color="auto" w:fill="auto"/>
          </w:tcPr>
          <w:p w14:paraId="7B671259" w14:textId="77777777" w:rsidR="0040300B" w:rsidRDefault="0040300B">
            <w:pPr>
              <w:rPr>
                <w:rFonts w:ascii="宋体"/>
              </w:rPr>
            </w:pPr>
          </w:p>
        </w:tc>
        <w:tc>
          <w:tcPr>
            <w:tcW w:w="478" w:type="pct"/>
            <w:shd w:val="clear" w:color="auto" w:fill="auto"/>
          </w:tcPr>
          <w:p w14:paraId="7B67125A" w14:textId="77777777" w:rsidR="0040300B" w:rsidRDefault="0040300B">
            <w:pPr>
              <w:rPr>
                <w:rFonts w:ascii="宋体"/>
              </w:rPr>
            </w:pPr>
          </w:p>
        </w:tc>
        <w:tc>
          <w:tcPr>
            <w:tcW w:w="5" w:type="pct"/>
            <w:shd w:val="clear" w:color="auto" w:fill="auto"/>
          </w:tcPr>
          <w:p w14:paraId="7B67125B" w14:textId="77777777" w:rsidR="0040300B" w:rsidRDefault="0040300B">
            <w:pPr>
              <w:rPr>
                <w:rFonts w:ascii="宋体"/>
              </w:rPr>
            </w:pPr>
          </w:p>
        </w:tc>
        <w:tc>
          <w:tcPr>
            <w:tcW w:w="5" w:type="pct"/>
            <w:shd w:val="clear" w:color="auto" w:fill="auto"/>
          </w:tcPr>
          <w:p w14:paraId="7B67125C" w14:textId="77777777" w:rsidR="0040300B" w:rsidRDefault="0040300B">
            <w:pPr>
              <w:rPr>
                <w:rFonts w:ascii="宋体"/>
              </w:rPr>
            </w:pPr>
          </w:p>
        </w:tc>
        <w:tc>
          <w:tcPr>
            <w:tcW w:w="26" w:type="pct"/>
            <w:shd w:val="clear" w:color="auto" w:fill="auto"/>
          </w:tcPr>
          <w:p w14:paraId="7B67125D" w14:textId="77777777" w:rsidR="0040300B" w:rsidRDefault="0040300B">
            <w:pPr>
              <w:rPr>
                <w:rFonts w:ascii="宋体"/>
              </w:rPr>
            </w:pPr>
          </w:p>
        </w:tc>
        <w:tc>
          <w:tcPr>
            <w:tcW w:w="5" w:type="pct"/>
            <w:shd w:val="clear" w:color="auto" w:fill="auto"/>
          </w:tcPr>
          <w:p w14:paraId="7B67125E" w14:textId="77777777" w:rsidR="0040300B" w:rsidRDefault="0040300B">
            <w:pPr>
              <w:rPr>
                <w:rFonts w:ascii="宋体"/>
              </w:rPr>
            </w:pPr>
          </w:p>
        </w:tc>
        <w:tc>
          <w:tcPr>
            <w:tcW w:w="50" w:type="pct"/>
            <w:shd w:val="clear" w:color="auto" w:fill="auto"/>
          </w:tcPr>
          <w:p w14:paraId="7B67125F" w14:textId="77777777" w:rsidR="0040300B" w:rsidRDefault="0040300B">
            <w:pPr>
              <w:rPr>
                <w:rFonts w:ascii="宋体"/>
              </w:rPr>
            </w:pPr>
          </w:p>
        </w:tc>
        <w:tc>
          <w:tcPr>
            <w:tcW w:w="478" w:type="pct"/>
            <w:shd w:val="clear" w:color="auto" w:fill="auto"/>
          </w:tcPr>
          <w:p w14:paraId="7B671260" w14:textId="77777777" w:rsidR="0040300B" w:rsidRDefault="0040300B">
            <w:pPr>
              <w:rPr>
                <w:rFonts w:ascii="宋体"/>
              </w:rPr>
            </w:pPr>
          </w:p>
        </w:tc>
        <w:tc>
          <w:tcPr>
            <w:tcW w:w="5" w:type="pct"/>
            <w:shd w:val="clear" w:color="auto" w:fill="auto"/>
          </w:tcPr>
          <w:p w14:paraId="7B671261" w14:textId="77777777" w:rsidR="0040300B" w:rsidRDefault="0040300B">
            <w:pPr>
              <w:rPr>
                <w:rFonts w:ascii="宋体"/>
              </w:rPr>
            </w:pPr>
          </w:p>
        </w:tc>
        <w:tc>
          <w:tcPr>
            <w:tcW w:w="5" w:type="pct"/>
            <w:shd w:val="clear" w:color="auto" w:fill="auto"/>
          </w:tcPr>
          <w:p w14:paraId="7B671262" w14:textId="77777777" w:rsidR="0040300B" w:rsidRDefault="0040300B">
            <w:pPr>
              <w:rPr>
                <w:rFonts w:ascii="宋体"/>
              </w:rPr>
            </w:pPr>
          </w:p>
        </w:tc>
        <w:tc>
          <w:tcPr>
            <w:tcW w:w="26" w:type="pct"/>
            <w:shd w:val="clear" w:color="auto" w:fill="auto"/>
          </w:tcPr>
          <w:p w14:paraId="7B671263" w14:textId="77777777" w:rsidR="0040300B" w:rsidRDefault="0040300B">
            <w:pPr>
              <w:rPr>
                <w:rFonts w:ascii="宋体"/>
              </w:rPr>
            </w:pPr>
          </w:p>
        </w:tc>
        <w:tc>
          <w:tcPr>
            <w:tcW w:w="5" w:type="pct"/>
            <w:shd w:val="clear" w:color="auto" w:fill="auto"/>
          </w:tcPr>
          <w:p w14:paraId="7B671264" w14:textId="77777777" w:rsidR="0040300B" w:rsidRDefault="0040300B">
            <w:pPr>
              <w:rPr>
                <w:rFonts w:ascii="宋体"/>
              </w:rPr>
            </w:pPr>
          </w:p>
        </w:tc>
        <w:tc>
          <w:tcPr>
            <w:tcW w:w="50" w:type="pct"/>
            <w:shd w:val="clear" w:color="auto" w:fill="auto"/>
          </w:tcPr>
          <w:p w14:paraId="7B671265" w14:textId="77777777" w:rsidR="0040300B" w:rsidRDefault="0040300B">
            <w:pPr>
              <w:rPr>
                <w:rFonts w:ascii="宋体"/>
              </w:rPr>
            </w:pPr>
          </w:p>
        </w:tc>
        <w:tc>
          <w:tcPr>
            <w:tcW w:w="478" w:type="pct"/>
            <w:shd w:val="clear" w:color="auto" w:fill="auto"/>
          </w:tcPr>
          <w:p w14:paraId="7B671266" w14:textId="77777777" w:rsidR="0040300B" w:rsidRDefault="0040300B">
            <w:pPr>
              <w:rPr>
                <w:rFonts w:ascii="宋体"/>
              </w:rPr>
            </w:pPr>
          </w:p>
        </w:tc>
        <w:tc>
          <w:tcPr>
            <w:tcW w:w="5" w:type="pct"/>
            <w:shd w:val="clear" w:color="auto" w:fill="auto"/>
          </w:tcPr>
          <w:p w14:paraId="7B671267" w14:textId="77777777" w:rsidR="0040300B" w:rsidRDefault="0040300B">
            <w:pPr>
              <w:rPr>
                <w:rFonts w:ascii="宋体"/>
              </w:rPr>
            </w:pPr>
          </w:p>
        </w:tc>
        <w:tc>
          <w:tcPr>
            <w:tcW w:w="5" w:type="pct"/>
            <w:shd w:val="clear" w:color="auto" w:fill="auto"/>
          </w:tcPr>
          <w:p w14:paraId="7B671268" w14:textId="77777777" w:rsidR="0040300B" w:rsidRDefault="0040300B">
            <w:pPr>
              <w:rPr>
                <w:rFonts w:ascii="宋体"/>
              </w:rPr>
            </w:pPr>
          </w:p>
        </w:tc>
        <w:tc>
          <w:tcPr>
            <w:tcW w:w="26" w:type="pct"/>
            <w:shd w:val="clear" w:color="auto" w:fill="auto"/>
          </w:tcPr>
          <w:p w14:paraId="7B671269" w14:textId="77777777" w:rsidR="0040300B" w:rsidRDefault="0040300B">
            <w:pPr>
              <w:rPr>
                <w:rFonts w:ascii="宋体"/>
              </w:rPr>
            </w:pPr>
          </w:p>
        </w:tc>
        <w:tc>
          <w:tcPr>
            <w:tcW w:w="5" w:type="pct"/>
            <w:shd w:val="clear" w:color="auto" w:fill="auto"/>
          </w:tcPr>
          <w:p w14:paraId="7B67126A" w14:textId="77777777" w:rsidR="0040300B" w:rsidRDefault="0040300B">
            <w:pPr>
              <w:rPr>
                <w:rFonts w:ascii="宋体"/>
              </w:rPr>
            </w:pPr>
          </w:p>
        </w:tc>
        <w:tc>
          <w:tcPr>
            <w:tcW w:w="50" w:type="pct"/>
            <w:shd w:val="clear" w:color="auto" w:fill="auto"/>
          </w:tcPr>
          <w:p w14:paraId="7B67126B" w14:textId="77777777" w:rsidR="0040300B" w:rsidRDefault="0040300B">
            <w:pPr>
              <w:rPr>
                <w:rFonts w:ascii="宋体"/>
              </w:rPr>
            </w:pPr>
          </w:p>
        </w:tc>
        <w:tc>
          <w:tcPr>
            <w:tcW w:w="478" w:type="pct"/>
            <w:shd w:val="clear" w:color="auto" w:fill="auto"/>
          </w:tcPr>
          <w:p w14:paraId="7B67126C" w14:textId="77777777" w:rsidR="0040300B" w:rsidRDefault="0040300B">
            <w:pPr>
              <w:rPr>
                <w:rFonts w:ascii="宋体"/>
              </w:rPr>
            </w:pPr>
          </w:p>
        </w:tc>
        <w:tc>
          <w:tcPr>
            <w:tcW w:w="5" w:type="pct"/>
            <w:shd w:val="clear" w:color="auto" w:fill="auto"/>
          </w:tcPr>
          <w:p w14:paraId="7B67126D" w14:textId="77777777" w:rsidR="0040300B" w:rsidRDefault="0040300B">
            <w:pPr>
              <w:rPr>
                <w:rFonts w:ascii="宋体"/>
              </w:rPr>
            </w:pPr>
          </w:p>
        </w:tc>
        <w:tc>
          <w:tcPr>
            <w:tcW w:w="5" w:type="pct"/>
            <w:shd w:val="clear" w:color="auto" w:fill="auto"/>
          </w:tcPr>
          <w:p w14:paraId="7B67126E" w14:textId="77777777" w:rsidR="0040300B" w:rsidRDefault="0040300B">
            <w:pPr>
              <w:rPr>
                <w:rFonts w:ascii="宋体"/>
              </w:rPr>
            </w:pPr>
          </w:p>
        </w:tc>
        <w:tc>
          <w:tcPr>
            <w:tcW w:w="26" w:type="pct"/>
            <w:shd w:val="clear" w:color="auto" w:fill="auto"/>
          </w:tcPr>
          <w:p w14:paraId="7B67126F" w14:textId="77777777" w:rsidR="0040300B" w:rsidRDefault="0040300B">
            <w:pPr>
              <w:rPr>
                <w:rFonts w:ascii="宋体"/>
              </w:rPr>
            </w:pPr>
          </w:p>
        </w:tc>
        <w:tc>
          <w:tcPr>
            <w:tcW w:w="5" w:type="pct"/>
            <w:shd w:val="clear" w:color="auto" w:fill="auto"/>
          </w:tcPr>
          <w:p w14:paraId="7B671270" w14:textId="77777777" w:rsidR="0040300B" w:rsidRDefault="0040300B">
            <w:pPr>
              <w:rPr>
                <w:rFonts w:ascii="宋体"/>
              </w:rPr>
            </w:pPr>
          </w:p>
        </w:tc>
        <w:tc>
          <w:tcPr>
            <w:tcW w:w="50" w:type="pct"/>
            <w:shd w:val="clear" w:color="auto" w:fill="auto"/>
          </w:tcPr>
          <w:p w14:paraId="7B671271" w14:textId="77777777" w:rsidR="0040300B" w:rsidRDefault="0040300B">
            <w:pPr>
              <w:rPr>
                <w:rFonts w:ascii="宋体"/>
              </w:rPr>
            </w:pPr>
          </w:p>
        </w:tc>
        <w:tc>
          <w:tcPr>
            <w:tcW w:w="479" w:type="pct"/>
            <w:shd w:val="clear" w:color="auto" w:fill="auto"/>
          </w:tcPr>
          <w:p w14:paraId="7B671272" w14:textId="77777777" w:rsidR="0040300B" w:rsidRDefault="0040300B">
            <w:pPr>
              <w:rPr>
                <w:rFonts w:ascii="宋体"/>
              </w:rPr>
            </w:pPr>
          </w:p>
        </w:tc>
        <w:tc>
          <w:tcPr>
            <w:tcW w:w="5" w:type="pct"/>
            <w:shd w:val="clear" w:color="auto" w:fill="auto"/>
          </w:tcPr>
          <w:p w14:paraId="7B671273" w14:textId="77777777" w:rsidR="0040300B" w:rsidRDefault="0040300B">
            <w:pPr>
              <w:rPr>
                <w:rFonts w:ascii="宋体"/>
              </w:rPr>
            </w:pPr>
          </w:p>
        </w:tc>
      </w:tr>
      <w:tr w:rsidR="0040300B" w14:paraId="7B67127A" w14:textId="77777777">
        <w:tc>
          <w:tcPr>
            <w:tcW w:w="0" w:type="auto"/>
            <w:gridSpan w:val="3"/>
            <w:shd w:val="clear" w:color="auto" w:fill="auto"/>
            <w:tcMar>
              <w:top w:w="0" w:type="dxa"/>
              <w:left w:w="20" w:type="dxa"/>
              <w:bottom w:w="0" w:type="dxa"/>
              <w:right w:w="20" w:type="dxa"/>
            </w:tcMar>
          </w:tcPr>
          <w:p w14:paraId="7B67127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276"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1277"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1278"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1279"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1288" w14:textId="77777777">
        <w:tc>
          <w:tcPr>
            <w:tcW w:w="0" w:type="auto"/>
            <w:gridSpan w:val="3"/>
            <w:shd w:val="clear" w:color="auto" w:fill="auto"/>
            <w:tcMar>
              <w:top w:w="0" w:type="dxa"/>
              <w:left w:w="20" w:type="dxa"/>
              <w:bottom w:w="0" w:type="dxa"/>
              <w:right w:w="20" w:type="dxa"/>
            </w:tcMar>
          </w:tcPr>
          <w:p w14:paraId="7B67127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27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7D"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27E"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7F"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280"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81"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 xml:space="preserve">in </w:t>
            </w:r>
            <w:r>
              <w:rPr>
                <w:rFonts w:ascii="Times New Roman" w:eastAsia="宋体" w:hAnsi="Times New Roman"/>
                <w:color w:val="000000"/>
                <w:sz w:val="18"/>
                <w:szCs w:val="18"/>
              </w:rPr>
              <w:t>Dollars</w:t>
            </w:r>
          </w:p>
        </w:tc>
        <w:tc>
          <w:tcPr>
            <w:tcW w:w="0" w:type="auto"/>
            <w:gridSpan w:val="3"/>
            <w:shd w:val="clear" w:color="auto" w:fill="auto"/>
            <w:tcMar>
              <w:top w:w="0" w:type="dxa"/>
              <w:left w:w="20" w:type="dxa"/>
              <w:bottom w:w="0" w:type="dxa"/>
              <w:right w:w="20" w:type="dxa"/>
            </w:tcMar>
          </w:tcPr>
          <w:p w14:paraId="7B67128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8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28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85"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28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287"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40300B" w14:paraId="7B6712A2" w14:textId="77777777">
        <w:tc>
          <w:tcPr>
            <w:tcW w:w="0" w:type="auto"/>
            <w:gridSpan w:val="3"/>
            <w:shd w:val="clear" w:color="auto" w:fill="CCEEFF"/>
            <w:tcMar>
              <w:top w:w="40" w:type="dxa"/>
              <w:left w:w="20" w:type="dxa"/>
              <w:bottom w:w="40" w:type="dxa"/>
              <w:right w:w="20" w:type="dxa"/>
            </w:tcMar>
          </w:tcPr>
          <w:p w14:paraId="7B671289" w14:textId="77777777" w:rsidR="0040300B" w:rsidRDefault="00BB2D44">
            <w:pPr>
              <w:textAlignment w:val="top"/>
            </w:pPr>
            <w:r>
              <w:rPr>
                <w:rFonts w:ascii="Times New Roman" w:eastAsia="宋体" w:hAnsi="Times New Roman"/>
                <w:color w:val="000000"/>
                <w:sz w:val="20"/>
                <w:szCs w:val="20"/>
              </w:rPr>
              <w:t>Interest income</w:t>
            </w:r>
          </w:p>
        </w:tc>
        <w:tc>
          <w:tcPr>
            <w:tcW w:w="0" w:type="auto"/>
            <w:gridSpan w:val="3"/>
            <w:shd w:val="clear" w:color="auto" w:fill="CCEEFF"/>
            <w:tcMar>
              <w:top w:w="0" w:type="dxa"/>
              <w:left w:w="20" w:type="dxa"/>
              <w:bottom w:w="0" w:type="dxa"/>
              <w:right w:w="20" w:type="dxa"/>
            </w:tcMar>
          </w:tcPr>
          <w:p w14:paraId="7B67128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8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8C" w14:textId="77777777" w:rsidR="0040300B" w:rsidRDefault="00BB2D44">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8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8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8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90" w14:textId="77777777" w:rsidR="0040300B" w:rsidRDefault="00BB2D44">
            <w:pPr>
              <w:jc w:val="right"/>
              <w:textAlignment w:val="bottom"/>
            </w:pPr>
            <w:r>
              <w:rPr>
                <w:rFonts w:ascii="Times New Roman" w:eastAsia="宋体" w:hAnsi="Times New Roman"/>
                <w:color w:val="000000"/>
                <w:sz w:val="20"/>
                <w:szCs w:val="20"/>
              </w:rPr>
              <w:t>218 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9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9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9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94" w14:textId="77777777" w:rsidR="0040300B" w:rsidRDefault="00BB2D44">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9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96"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9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98" w14:textId="77777777" w:rsidR="0040300B" w:rsidRDefault="00BB2D44">
            <w:pPr>
              <w:jc w:val="right"/>
              <w:textAlignment w:val="bottom"/>
            </w:pPr>
            <w:r>
              <w:rPr>
                <w:rFonts w:ascii="Times New Roman" w:eastAsia="宋体" w:hAnsi="Times New Roman"/>
                <w:color w:val="000000"/>
                <w:sz w:val="20"/>
                <w:szCs w:val="20"/>
              </w:rPr>
              <w:t>488 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9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9A"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9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9C" w14:textId="77777777" w:rsidR="0040300B" w:rsidRDefault="00BB2D44">
            <w:pPr>
              <w:jc w:val="right"/>
              <w:textAlignment w:val="bottom"/>
            </w:pPr>
            <w:r>
              <w:rPr>
                <w:rFonts w:ascii="Times New Roman" w:eastAsia="宋体" w:hAnsi="Times New Roman"/>
                <w:color w:val="000000"/>
                <w:sz w:val="20"/>
                <w:szCs w:val="20"/>
              </w:rPr>
              <w:t>733 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9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9E"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29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2A0" w14:textId="77777777" w:rsidR="0040300B" w:rsidRDefault="00BB2D44">
            <w:pPr>
              <w:jc w:val="right"/>
              <w:textAlignment w:val="bottom"/>
            </w:pPr>
            <w:r>
              <w:rPr>
                <w:rFonts w:ascii="Times New Roman" w:eastAsia="宋体" w:hAnsi="Times New Roman"/>
                <w:color w:val="000000"/>
                <w:sz w:val="20"/>
                <w:szCs w:val="20"/>
              </w:rPr>
              <w:t>(245)</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2A1" w14:textId="77777777" w:rsidR="0040300B" w:rsidRDefault="0040300B">
            <w:pPr>
              <w:jc w:val="right"/>
              <w:rPr>
                <w:rFonts w:ascii="宋体"/>
              </w:rPr>
            </w:pPr>
          </w:p>
        </w:tc>
      </w:tr>
      <w:tr w:rsidR="0040300B" w14:paraId="7B6712B6" w14:textId="77777777">
        <w:tc>
          <w:tcPr>
            <w:tcW w:w="0" w:type="auto"/>
            <w:gridSpan w:val="3"/>
            <w:shd w:val="clear" w:color="auto" w:fill="FFFFFF"/>
            <w:tcMar>
              <w:top w:w="40" w:type="dxa"/>
              <w:left w:w="20" w:type="dxa"/>
              <w:bottom w:w="40" w:type="dxa"/>
              <w:right w:w="20" w:type="dxa"/>
            </w:tcMar>
          </w:tcPr>
          <w:p w14:paraId="7B6712A3" w14:textId="77777777" w:rsidR="0040300B" w:rsidRDefault="00BB2D44">
            <w:pPr>
              <w:textAlignment w:val="top"/>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tcPr>
          <w:p w14:paraId="7B6712A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A5" w14:textId="77777777" w:rsidR="0040300B" w:rsidRDefault="00BB2D44">
            <w:pPr>
              <w:jc w:val="right"/>
              <w:textAlignment w:val="bottom"/>
            </w:pPr>
            <w:r>
              <w:rPr>
                <w:rFonts w:ascii="Times New Roman" w:eastAsia="宋体" w:hAnsi="Times New Roman"/>
                <w:color w:val="000000"/>
                <w:sz w:val="20"/>
                <w:szCs w:val="20"/>
              </w:rPr>
              <w:t>(111)</w:t>
            </w:r>
          </w:p>
        </w:tc>
        <w:tc>
          <w:tcPr>
            <w:tcW w:w="0" w:type="auto"/>
            <w:shd w:val="clear" w:color="auto" w:fill="FFFFFF"/>
            <w:tcMar>
              <w:top w:w="40" w:type="dxa"/>
              <w:left w:w="0" w:type="dxa"/>
              <w:bottom w:w="40" w:type="dxa"/>
              <w:right w:w="20" w:type="dxa"/>
            </w:tcMar>
            <w:vAlign w:val="bottom"/>
          </w:tcPr>
          <w:p w14:paraId="7B6712A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2A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A8" w14:textId="77777777" w:rsidR="0040300B" w:rsidRDefault="00BB2D44">
            <w:pPr>
              <w:jc w:val="right"/>
              <w:textAlignment w:val="bottom"/>
            </w:pPr>
            <w:r>
              <w:rPr>
                <w:rFonts w:ascii="Times New Roman" w:eastAsia="宋体" w:hAnsi="Times New Roman"/>
                <w:color w:val="000000"/>
                <w:sz w:val="20"/>
                <w:szCs w:val="20"/>
              </w:rPr>
              <w:t>(130)</w:t>
            </w:r>
          </w:p>
        </w:tc>
        <w:tc>
          <w:tcPr>
            <w:tcW w:w="0" w:type="auto"/>
            <w:shd w:val="clear" w:color="auto" w:fill="FFFFFF"/>
            <w:tcMar>
              <w:top w:w="40" w:type="dxa"/>
              <w:left w:w="0" w:type="dxa"/>
              <w:bottom w:w="40" w:type="dxa"/>
              <w:right w:w="20" w:type="dxa"/>
            </w:tcMar>
            <w:vAlign w:val="bottom"/>
          </w:tcPr>
          <w:p w14:paraId="7B6712A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2A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AB"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B6712A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2A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AE" w14:textId="77777777" w:rsidR="0040300B" w:rsidRDefault="00BB2D44">
            <w:pPr>
              <w:jc w:val="right"/>
              <w:textAlignment w:val="bottom"/>
            </w:pPr>
            <w:r>
              <w:rPr>
                <w:rFonts w:ascii="Times New Roman" w:eastAsia="宋体" w:hAnsi="Times New Roman"/>
                <w:color w:val="000000"/>
                <w:sz w:val="20"/>
                <w:szCs w:val="20"/>
              </w:rPr>
              <w:t>(336)</w:t>
            </w:r>
          </w:p>
        </w:tc>
        <w:tc>
          <w:tcPr>
            <w:tcW w:w="0" w:type="auto"/>
            <w:shd w:val="clear" w:color="auto" w:fill="FFFFFF"/>
            <w:tcMar>
              <w:top w:w="40" w:type="dxa"/>
              <w:left w:w="0" w:type="dxa"/>
              <w:bottom w:w="40" w:type="dxa"/>
              <w:right w:w="20" w:type="dxa"/>
            </w:tcMar>
            <w:vAlign w:val="bottom"/>
          </w:tcPr>
          <w:p w14:paraId="7B6712A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2B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B1" w14:textId="77777777" w:rsidR="0040300B" w:rsidRDefault="00BB2D44">
            <w:pPr>
              <w:jc w:val="right"/>
              <w:textAlignment w:val="bottom"/>
            </w:pPr>
            <w:r>
              <w:rPr>
                <w:rFonts w:ascii="Times New Roman" w:eastAsia="宋体" w:hAnsi="Times New Roman"/>
                <w:color w:val="000000"/>
                <w:sz w:val="20"/>
                <w:szCs w:val="20"/>
              </w:rPr>
              <w:t>(466)</w:t>
            </w:r>
          </w:p>
        </w:tc>
        <w:tc>
          <w:tcPr>
            <w:tcW w:w="0" w:type="auto"/>
            <w:shd w:val="clear" w:color="auto" w:fill="FFFFFF"/>
            <w:tcMar>
              <w:top w:w="40" w:type="dxa"/>
              <w:left w:w="0" w:type="dxa"/>
              <w:bottom w:w="40" w:type="dxa"/>
              <w:right w:w="20" w:type="dxa"/>
            </w:tcMar>
            <w:vAlign w:val="bottom"/>
          </w:tcPr>
          <w:p w14:paraId="7B6712B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2B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2B4" w14:textId="77777777" w:rsidR="0040300B" w:rsidRDefault="00BB2D44">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7B6712B5" w14:textId="77777777" w:rsidR="0040300B" w:rsidRDefault="0040300B">
            <w:pPr>
              <w:jc w:val="right"/>
              <w:rPr>
                <w:rFonts w:ascii="宋体"/>
              </w:rPr>
            </w:pPr>
          </w:p>
        </w:tc>
      </w:tr>
      <w:tr w:rsidR="0040300B" w14:paraId="7B6712D0" w14:textId="77777777">
        <w:tc>
          <w:tcPr>
            <w:tcW w:w="0" w:type="auto"/>
            <w:gridSpan w:val="3"/>
            <w:shd w:val="clear" w:color="auto" w:fill="CCEEFF"/>
            <w:tcMar>
              <w:top w:w="40" w:type="dxa"/>
              <w:left w:w="380" w:type="dxa"/>
              <w:bottom w:w="40" w:type="dxa"/>
              <w:right w:w="20" w:type="dxa"/>
            </w:tcMar>
          </w:tcPr>
          <w:p w14:paraId="7B6712B7" w14:textId="77777777" w:rsidR="0040300B" w:rsidRDefault="00BB2D44">
            <w:pPr>
              <w:textAlignment w:val="top"/>
            </w:pPr>
            <w:r>
              <w:rPr>
                <w:rFonts w:ascii="Times New Roman" w:eastAsia="宋体" w:hAnsi="Times New Roman"/>
                <w:color w:val="000000"/>
                <w:sz w:val="20"/>
                <w:szCs w:val="20"/>
              </w:rPr>
              <w:t>Interest income (expense), net</w:t>
            </w:r>
          </w:p>
        </w:tc>
        <w:tc>
          <w:tcPr>
            <w:tcW w:w="0" w:type="auto"/>
            <w:gridSpan w:val="3"/>
            <w:shd w:val="clear" w:color="auto" w:fill="CCEEFF"/>
            <w:tcMar>
              <w:top w:w="0" w:type="dxa"/>
              <w:left w:w="20" w:type="dxa"/>
              <w:bottom w:w="0" w:type="dxa"/>
              <w:right w:w="20" w:type="dxa"/>
            </w:tcMar>
          </w:tcPr>
          <w:p w14:paraId="7B6712B8"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B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BA" w14:textId="77777777" w:rsidR="0040300B" w:rsidRDefault="00BB2D44">
            <w:pPr>
              <w:jc w:val="right"/>
              <w:textAlignment w:val="bottom"/>
            </w:pPr>
            <w:r>
              <w:rPr>
                <w:rFonts w:ascii="Times New Roman" w:eastAsia="宋体" w:hAnsi="Times New Roman"/>
                <w:color w:val="000000"/>
                <w:sz w:val="20"/>
                <w:szCs w:val="20"/>
              </w:rPr>
              <w:t>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B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B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B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BE" w14:textId="77777777" w:rsidR="0040300B" w:rsidRDefault="00BB2D44">
            <w:pPr>
              <w:jc w:val="right"/>
              <w:textAlignment w:val="bottom"/>
            </w:pPr>
            <w:r>
              <w:rPr>
                <w:rFonts w:ascii="Times New Roman" w:eastAsia="宋体" w:hAnsi="Times New Roman"/>
                <w:color w:val="000000"/>
                <w:sz w:val="20"/>
                <w:szCs w:val="20"/>
              </w:rPr>
              <w:t>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B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C0"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C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C2" w14:textId="77777777" w:rsidR="0040300B" w:rsidRDefault="00BB2D44">
            <w:pPr>
              <w:jc w:val="right"/>
              <w:textAlignment w:val="bottom"/>
            </w:pPr>
            <w:r>
              <w:rPr>
                <w:rFonts w:ascii="Times New Roman" w:eastAsia="宋体" w:hAnsi="Times New Roman"/>
                <w:color w:val="000000"/>
                <w:sz w:val="20"/>
                <w:szCs w:val="20"/>
              </w:rPr>
              <w:t>(46)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C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C4"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C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C6" w14:textId="77777777" w:rsidR="0040300B" w:rsidRDefault="00BB2D44">
            <w:pPr>
              <w:jc w:val="right"/>
              <w:textAlignment w:val="bottom"/>
            </w:pPr>
            <w:r>
              <w:rPr>
                <w:rFonts w:ascii="Times New Roman" w:eastAsia="宋体" w:hAnsi="Times New Roman"/>
                <w:color w:val="000000"/>
                <w:sz w:val="20"/>
                <w:szCs w:val="20"/>
              </w:rPr>
              <w:t>152 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C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C8"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C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CA" w14:textId="77777777" w:rsidR="0040300B" w:rsidRDefault="00BB2D44">
            <w:pPr>
              <w:jc w:val="right"/>
              <w:textAlignment w:val="bottom"/>
            </w:pPr>
            <w:r>
              <w:rPr>
                <w:rFonts w:ascii="Times New Roman" w:eastAsia="宋体" w:hAnsi="Times New Roman"/>
                <w:color w:val="000000"/>
                <w:sz w:val="20"/>
                <w:szCs w:val="20"/>
              </w:rPr>
              <w:t>267 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C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2C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2C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2CE" w14:textId="77777777" w:rsidR="0040300B" w:rsidRDefault="00BB2D44">
            <w:pPr>
              <w:jc w:val="right"/>
              <w:textAlignment w:val="bottom"/>
            </w:pPr>
            <w:r>
              <w:rPr>
                <w:rFonts w:ascii="Times New Roman" w:eastAsia="宋体" w:hAnsi="Times New Roman"/>
                <w:color w:val="000000"/>
                <w:sz w:val="20"/>
                <w:szCs w:val="20"/>
              </w:rPr>
              <w:t>(115)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2CF" w14:textId="77777777" w:rsidR="0040300B" w:rsidRDefault="0040300B">
            <w:pPr>
              <w:jc w:val="right"/>
              <w:rPr>
                <w:rFonts w:ascii="宋体"/>
              </w:rPr>
            </w:pPr>
          </w:p>
        </w:tc>
      </w:tr>
    </w:tbl>
    <w:p w14:paraId="7B6712D1" w14:textId="77777777" w:rsidR="0040300B" w:rsidRDefault="00BB2D44">
      <w:pPr>
        <w:spacing w:before="120"/>
        <w:jc w:val="both"/>
      </w:pPr>
      <w:r>
        <w:rPr>
          <w:rFonts w:ascii="Times New Roman" w:eastAsia="宋体" w:hAnsi="Times New Roman"/>
          <w:color w:val="000000"/>
          <w:sz w:val="20"/>
          <w:szCs w:val="20"/>
        </w:rPr>
        <w:t xml:space="preserve">For each of the third quarter and first nine months of fiscal 2021, the decrease in interest income was driven by both lower interest rates </w:t>
      </w:r>
      <w:r>
        <w:rPr>
          <w:rFonts w:ascii="Times New Roman" w:eastAsia="宋体" w:hAnsi="Times New Roman"/>
          <w:color w:val="000000"/>
          <w:sz w:val="20"/>
          <w:szCs w:val="20"/>
        </w:rPr>
        <w:t>and lower average balances of cash and available-for-sale debt investments. The decrease in interest expense was driven by a lower average debt balance and the impact of lower effective interest rates.</w:t>
      </w:r>
    </w:p>
    <w:p w14:paraId="7B6712D2" w14:textId="77777777" w:rsidR="0040300B" w:rsidRDefault="00BB2D44">
      <w:pPr>
        <w:spacing w:before="120"/>
        <w:jc w:val="both"/>
      </w:pPr>
      <w:r>
        <w:rPr>
          <w:rFonts w:ascii="Times New Roman" w:eastAsia="宋体" w:hAnsi="Times New Roman"/>
          <w:color w:val="000000"/>
          <w:sz w:val="20"/>
          <w:szCs w:val="20"/>
          <w:u w:val="single"/>
        </w:rPr>
        <w:t xml:space="preserve">Other Income (Loss), Net </w:t>
      </w:r>
      <w:r>
        <w:rPr>
          <w:rFonts w:ascii="Times New Roman" w:eastAsia="宋体" w:hAnsi="Times New Roman"/>
          <w:color w:val="000000"/>
          <w:sz w:val="20"/>
          <w:szCs w:val="20"/>
        </w:rPr>
        <w:t>The components of other incom</w:t>
      </w:r>
      <w:r>
        <w:rPr>
          <w:rFonts w:ascii="Times New Roman" w:eastAsia="宋体" w:hAnsi="Times New Roman"/>
          <w:color w:val="000000"/>
          <w:sz w:val="20"/>
          <w:szCs w:val="20"/>
        </w:rPr>
        <w:t>e (loss), net,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2533"/>
        <w:gridCol w:w="37"/>
        <w:gridCol w:w="36"/>
        <w:gridCol w:w="36"/>
        <w:gridCol w:w="36"/>
        <w:gridCol w:w="120"/>
        <w:gridCol w:w="686"/>
        <w:gridCol w:w="36"/>
        <w:gridCol w:w="36"/>
        <w:gridCol w:w="36"/>
        <w:gridCol w:w="36"/>
        <w:gridCol w:w="120"/>
        <w:gridCol w:w="686"/>
        <w:gridCol w:w="36"/>
        <w:gridCol w:w="36"/>
        <w:gridCol w:w="36"/>
        <w:gridCol w:w="36"/>
        <w:gridCol w:w="121"/>
        <w:gridCol w:w="686"/>
        <w:gridCol w:w="36"/>
        <w:gridCol w:w="36"/>
        <w:gridCol w:w="36"/>
        <w:gridCol w:w="36"/>
        <w:gridCol w:w="120"/>
        <w:gridCol w:w="687"/>
        <w:gridCol w:w="36"/>
        <w:gridCol w:w="36"/>
        <w:gridCol w:w="36"/>
        <w:gridCol w:w="36"/>
        <w:gridCol w:w="121"/>
        <w:gridCol w:w="688"/>
        <w:gridCol w:w="36"/>
        <w:gridCol w:w="36"/>
        <w:gridCol w:w="36"/>
        <w:gridCol w:w="36"/>
        <w:gridCol w:w="121"/>
        <w:gridCol w:w="688"/>
        <w:gridCol w:w="36"/>
      </w:tblGrid>
      <w:tr w:rsidR="0040300B" w14:paraId="7B6712FA" w14:textId="77777777">
        <w:tc>
          <w:tcPr>
            <w:tcW w:w="50" w:type="pct"/>
            <w:shd w:val="clear" w:color="auto" w:fill="auto"/>
          </w:tcPr>
          <w:p w14:paraId="7B6712D3" w14:textId="77777777" w:rsidR="0040300B" w:rsidRDefault="0040300B">
            <w:pPr>
              <w:rPr>
                <w:rFonts w:ascii="宋体"/>
              </w:rPr>
            </w:pPr>
          </w:p>
        </w:tc>
        <w:tc>
          <w:tcPr>
            <w:tcW w:w="1567" w:type="pct"/>
            <w:shd w:val="clear" w:color="auto" w:fill="auto"/>
          </w:tcPr>
          <w:p w14:paraId="7B6712D4" w14:textId="77777777" w:rsidR="0040300B" w:rsidRDefault="0040300B">
            <w:pPr>
              <w:rPr>
                <w:rFonts w:ascii="宋体"/>
              </w:rPr>
            </w:pPr>
          </w:p>
        </w:tc>
        <w:tc>
          <w:tcPr>
            <w:tcW w:w="5" w:type="pct"/>
            <w:shd w:val="clear" w:color="auto" w:fill="auto"/>
          </w:tcPr>
          <w:p w14:paraId="7B6712D5" w14:textId="77777777" w:rsidR="0040300B" w:rsidRDefault="0040300B">
            <w:pPr>
              <w:rPr>
                <w:rFonts w:ascii="宋体"/>
              </w:rPr>
            </w:pPr>
          </w:p>
        </w:tc>
        <w:tc>
          <w:tcPr>
            <w:tcW w:w="5" w:type="pct"/>
            <w:shd w:val="clear" w:color="auto" w:fill="auto"/>
          </w:tcPr>
          <w:p w14:paraId="7B6712D6" w14:textId="77777777" w:rsidR="0040300B" w:rsidRDefault="0040300B">
            <w:pPr>
              <w:rPr>
                <w:rFonts w:ascii="宋体"/>
              </w:rPr>
            </w:pPr>
          </w:p>
        </w:tc>
        <w:tc>
          <w:tcPr>
            <w:tcW w:w="26" w:type="pct"/>
            <w:shd w:val="clear" w:color="auto" w:fill="auto"/>
          </w:tcPr>
          <w:p w14:paraId="7B6712D7" w14:textId="77777777" w:rsidR="0040300B" w:rsidRDefault="0040300B">
            <w:pPr>
              <w:rPr>
                <w:rFonts w:ascii="宋体"/>
              </w:rPr>
            </w:pPr>
          </w:p>
        </w:tc>
        <w:tc>
          <w:tcPr>
            <w:tcW w:w="5" w:type="pct"/>
            <w:shd w:val="clear" w:color="auto" w:fill="auto"/>
          </w:tcPr>
          <w:p w14:paraId="7B6712D8" w14:textId="77777777" w:rsidR="0040300B" w:rsidRDefault="0040300B">
            <w:pPr>
              <w:rPr>
                <w:rFonts w:ascii="宋体"/>
              </w:rPr>
            </w:pPr>
          </w:p>
        </w:tc>
        <w:tc>
          <w:tcPr>
            <w:tcW w:w="50" w:type="pct"/>
            <w:shd w:val="clear" w:color="auto" w:fill="auto"/>
          </w:tcPr>
          <w:p w14:paraId="7B6712D9" w14:textId="77777777" w:rsidR="0040300B" w:rsidRDefault="0040300B">
            <w:pPr>
              <w:rPr>
                <w:rFonts w:ascii="宋体"/>
              </w:rPr>
            </w:pPr>
          </w:p>
        </w:tc>
        <w:tc>
          <w:tcPr>
            <w:tcW w:w="471" w:type="pct"/>
            <w:shd w:val="clear" w:color="auto" w:fill="auto"/>
          </w:tcPr>
          <w:p w14:paraId="7B6712DA" w14:textId="77777777" w:rsidR="0040300B" w:rsidRDefault="0040300B">
            <w:pPr>
              <w:rPr>
                <w:rFonts w:ascii="宋体"/>
              </w:rPr>
            </w:pPr>
          </w:p>
        </w:tc>
        <w:tc>
          <w:tcPr>
            <w:tcW w:w="5" w:type="pct"/>
            <w:shd w:val="clear" w:color="auto" w:fill="auto"/>
          </w:tcPr>
          <w:p w14:paraId="7B6712DB" w14:textId="77777777" w:rsidR="0040300B" w:rsidRDefault="0040300B">
            <w:pPr>
              <w:rPr>
                <w:rFonts w:ascii="宋体"/>
              </w:rPr>
            </w:pPr>
          </w:p>
        </w:tc>
        <w:tc>
          <w:tcPr>
            <w:tcW w:w="5" w:type="pct"/>
            <w:shd w:val="clear" w:color="auto" w:fill="auto"/>
          </w:tcPr>
          <w:p w14:paraId="7B6712DC" w14:textId="77777777" w:rsidR="0040300B" w:rsidRDefault="0040300B">
            <w:pPr>
              <w:rPr>
                <w:rFonts w:ascii="宋体"/>
              </w:rPr>
            </w:pPr>
          </w:p>
        </w:tc>
        <w:tc>
          <w:tcPr>
            <w:tcW w:w="26" w:type="pct"/>
            <w:shd w:val="clear" w:color="auto" w:fill="auto"/>
          </w:tcPr>
          <w:p w14:paraId="7B6712DD" w14:textId="77777777" w:rsidR="0040300B" w:rsidRDefault="0040300B">
            <w:pPr>
              <w:rPr>
                <w:rFonts w:ascii="宋体"/>
              </w:rPr>
            </w:pPr>
          </w:p>
        </w:tc>
        <w:tc>
          <w:tcPr>
            <w:tcW w:w="5" w:type="pct"/>
            <w:shd w:val="clear" w:color="auto" w:fill="auto"/>
          </w:tcPr>
          <w:p w14:paraId="7B6712DE" w14:textId="77777777" w:rsidR="0040300B" w:rsidRDefault="0040300B">
            <w:pPr>
              <w:rPr>
                <w:rFonts w:ascii="宋体"/>
              </w:rPr>
            </w:pPr>
          </w:p>
        </w:tc>
        <w:tc>
          <w:tcPr>
            <w:tcW w:w="50" w:type="pct"/>
            <w:shd w:val="clear" w:color="auto" w:fill="auto"/>
          </w:tcPr>
          <w:p w14:paraId="7B6712DF" w14:textId="77777777" w:rsidR="0040300B" w:rsidRDefault="0040300B">
            <w:pPr>
              <w:rPr>
                <w:rFonts w:ascii="宋体"/>
              </w:rPr>
            </w:pPr>
          </w:p>
        </w:tc>
        <w:tc>
          <w:tcPr>
            <w:tcW w:w="471" w:type="pct"/>
            <w:shd w:val="clear" w:color="auto" w:fill="auto"/>
          </w:tcPr>
          <w:p w14:paraId="7B6712E0" w14:textId="77777777" w:rsidR="0040300B" w:rsidRDefault="0040300B">
            <w:pPr>
              <w:rPr>
                <w:rFonts w:ascii="宋体"/>
              </w:rPr>
            </w:pPr>
          </w:p>
        </w:tc>
        <w:tc>
          <w:tcPr>
            <w:tcW w:w="5" w:type="pct"/>
            <w:shd w:val="clear" w:color="auto" w:fill="auto"/>
          </w:tcPr>
          <w:p w14:paraId="7B6712E1" w14:textId="77777777" w:rsidR="0040300B" w:rsidRDefault="0040300B">
            <w:pPr>
              <w:rPr>
                <w:rFonts w:ascii="宋体"/>
              </w:rPr>
            </w:pPr>
          </w:p>
        </w:tc>
        <w:tc>
          <w:tcPr>
            <w:tcW w:w="5" w:type="pct"/>
            <w:shd w:val="clear" w:color="auto" w:fill="auto"/>
          </w:tcPr>
          <w:p w14:paraId="7B6712E2" w14:textId="77777777" w:rsidR="0040300B" w:rsidRDefault="0040300B">
            <w:pPr>
              <w:rPr>
                <w:rFonts w:ascii="宋体"/>
              </w:rPr>
            </w:pPr>
          </w:p>
        </w:tc>
        <w:tc>
          <w:tcPr>
            <w:tcW w:w="26" w:type="pct"/>
            <w:shd w:val="clear" w:color="auto" w:fill="auto"/>
          </w:tcPr>
          <w:p w14:paraId="7B6712E3" w14:textId="77777777" w:rsidR="0040300B" w:rsidRDefault="0040300B">
            <w:pPr>
              <w:rPr>
                <w:rFonts w:ascii="宋体"/>
              </w:rPr>
            </w:pPr>
          </w:p>
        </w:tc>
        <w:tc>
          <w:tcPr>
            <w:tcW w:w="5" w:type="pct"/>
            <w:shd w:val="clear" w:color="auto" w:fill="auto"/>
          </w:tcPr>
          <w:p w14:paraId="7B6712E4" w14:textId="77777777" w:rsidR="0040300B" w:rsidRDefault="0040300B">
            <w:pPr>
              <w:rPr>
                <w:rFonts w:ascii="宋体"/>
              </w:rPr>
            </w:pPr>
          </w:p>
        </w:tc>
        <w:tc>
          <w:tcPr>
            <w:tcW w:w="50" w:type="pct"/>
            <w:shd w:val="clear" w:color="auto" w:fill="auto"/>
          </w:tcPr>
          <w:p w14:paraId="7B6712E5" w14:textId="77777777" w:rsidR="0040300B" w:rsidRDefault="0040300B">
            <w:pPr>
              <w:rPr>
                <w:rFonts w:ascii="宋体"/>
              </w:rPr>
            </w:pPr>
          </w:p>
        </w:tc>
        <w:tc>
          <w:tcPr>
            <w:tcW w:w="471" w:type="pct"/>
            <w:shd w:val="clear" w:color="auto" w:fill="auto"/>
          </w:tcPr>
          <w:p w14:paraId="7B6712E6" w14:textId="77777777" w:rsidR="0040300B" w:rsidRDefault="0040300B">
            <w:pPr>
              <w:rPr>
                <w:rFonts w:ascii="宋体"/>
              </w:rPr>
            </w:pPr>
          </w:p>
        </w:tc>
        <w:tc>
          <w:tcPr>
            <w:tcW w:w="5" w:type="pct"/>
            <w:shd w:val="clear" w:color="auto" w:fill="auto"/>
          </w:tcPr>
          <w:p w14:paraId="7B6712E7" w14:textId="77777777" w:rsidR="0040300B" w:rsidRDefault="0040300B">
            <w:pPr>
              <w:rPr>
                <w:rFonts w:ascii="宋体"/>
              </w:rPr>
            </w:pPr>
          </w:p>
        </w:tc>
        <w:tc>
          <w:tcPr>
            <w:tcW w:w="5" w:type="pct"/>
            <w:shd w:val="clear" w:color="auto" w:fill="auto"/>
          </w:tcPr>
          <w:p w14:paraId="7B6712E8" w14:textId="77777777" w:rsidR="0040300B" w:rsidRDefault="0040300B">
            <w:pPr>
              <w:rPr>
                <w:rFonts w:ascii="宋体"/>
              </w:rPr>
            </w:pPr>
          </w:p>
        </w:tc>
        <w:tc>
          <w:tcPr>
            <w:tcW w:w="26" w:type="pct"/>
            <w:shd w:val="clear" w:color="auto" w:fill="auto"/>
          </w:tcPr>
          <w:p w14:paraId="7B6712E9" w14:textId="77777777" w:rsidR="0040300B" w:rsidRDefault="0040300B">
            <w:pPr>
              <w:rPr>
                <w:rFonts w:ascii="宋体"/>
              </w:rPr>
            </w:pPr>
          </w:p>
        </w:tc>
        <w:tc>
          <w:tcPr>
            <w:tcW w:w="5" w:type="pct"/>
            <w:shd w:val="clear" w:color="auto" w:fill="auto"/>
          </w:tcPr>
          <w:p w14:paraId="7B6712EA" w14:textId="77777777" w:rsidR="0040300B" w:rsidRDefault="0040300B">
            <w:pPr>
              <w:rPr>
                <w:rFonts w:ascii="宋体"/>
              </w:rPr>
            </w:pPr>
          </w:p>
        </w:tc>
        <w:tc>
          <w:tcPr>
            <w:tcW w:w="50" w:type="pct"/>
            <w:shd w:val="clear" w:color="auto" w:fill="auto"/>
          </w:tcPr>
          <w:p w14:paraId="7B6712EB" w14:textId="77777777" w:rsidR="0040300B" w:rsidRDefault="0040300B">
            <w:pPr>
              <w:rPr>
                <w:rFonts w:ascii="宋体"/>
              </w:rPr>
            </w:pPr>
          </w:p>
        </w:tc>
        <w:tc>
          <w:tcPr>
            <w:tcW w:w="471" w:type="pct"/>
            <w:shd w:val="clear" w:color="auto" w:fill="auto"/>
          </w:tcPr>
          <w:p w14:paraId="7B6712EC" w14:textId="77777777" w:rsidR="0040300B" w:rsidRDefault="0040300B">
            <w:pPr>
              <w:rPr>
                <w:rFonts w:ascii="宋体"/>
              </w:rPr>
            </w:pPr>
          </w:p>
        </w:tc>
        <w:tc>
          <w:tcPr>
            <w:tcW w:w="5" w:type="pct"/>
            <w:shd w:val="clear" w:color="auto" w:fill="auto"/>
          </w:tcPr>
          <w:p w14:paraId="7B6712ED" w14:textId="77777777" w:rsidR="0040300B" w:rsidRDefault="0040300B">
            <w:pPr>
              <w:rPr>
                <w:rFonts w:ascii="宋体"/>
              </w:rPr>
            </w:pPr>
          </w:p>
        </w:tc>
        <w:tc>
          <w:tcPr>
            <w:tcW w:w="5" w:type="pct"/>
            <w:shd w:val="clear" w:color="auto" w:fill="auto"/>
          </w:tcPr>
          <w:p w14:paraId="7B6712EE" w14:textId="77777777" w:rsidR="0040300B" w:rsidRDefault="0040300B">
            <w:pPr>
              <w:rPr>
                <w:rFonts w:ascii="宋体"/>
              </w:rPr>
            </w:pPr>
          </w:p>
        </w:tc>
        <w:tc>
          <w:tcPr>
            <w:tcW w:w="26" w:type="pct"/>
            <w:shd w:val="clear" w:color="auto" w:fill="auto"/>
          </w:tcPr>
          <w:p w14:paraId="7B6712EF" w14:textId="77777777" w:rsidR="0040300B" w:rsidRDefault="0040300B">
            <w:pPr>
              <w:rPr>
                <w:rFonts w:ascii="宋体"/>
              </w:rPr>
            </w:pPr>
          </w:p>
        </w:tc>
        <w:tc>
          <w:tcPr>
            <w:tcW w:w="5" w:type="pct"/>
            <w:shd w:val="clear" w:color="auto" w:fill="auto"/>
          </w:tcPr>
          <w:p w14:paraId="7B6712F0" w14:textId="77777777" w:rsidR="0040300B" w:rsidRDefault="0040300B">
            <w:pPr>
              <w:rPr>
                <w:rFonts w:ascii="宋体"/>
              </w:rPr>
            </w:pPr>
          </w:p>
        </w:tc>
        <w:tc>
          <w:tcPr>
            <w:tcW w:w="50" w:type="pct"/>
            <w:shd w:val="clear" w:color="auto" w:fill="auto"/>
          </w:tcPr>
          <w:p w14:paraId="7B6712F1" w14:textId="77777777" w:rsidR="0040300B" w:rsidRDefault="0040300B">
            <w:pPr>
              <w:rPr>
                <w:rFonts w:ascii="宋体"/>
              </w:rPr>
            </w:pPr>
          </w:p>
        </w:tc>
        <w:tc>
          <w:tcPr>
            <w:tcW w:w="471" w:type="pct"/>
            <w:shd w:val="clear" w:color="auto" w:fill="auto"/>
          </w:tcPr>
          <w:p w14:paraId="7B6712F2" w14:textId="77777777" w:rsidR="0040300B" w:rsidRDefault="0040300B">
            <w:pPr>
              <w:rPr>
                <w:rFonts w:ascii="宋体"/>
              </w:rPr>
            </w:pPr>
          </w:p>
        </w:tc>
        <w:tc>
          <w:tcPr>
            <w:tcW w:w="5" w:type="pct"/>
            <w:shd w:val="clear" w:color="auto" w:fill="auto"/>
          </w:tcPr>
          <w:p w14:paraId="7B6712F3" w14:textId="77777777" w:rsidR="0040300B" w:rsidRDefault="0040300B">
            <w:pPr>
              <w:rPr>
                <w:rFonts w:ascii="宋体"/>
              </w:rPr>
            </w:pPr>
          </w:p>
        </w:tc>
        <w:tc>
          <w:tcPr>
            <w:tcW w:w="5" w:type="pct"/>
            <w:shd w:val="clear" w:color="auto" w:fill="auto"/>
          </w:tcPr>
          <w:p w14:paraId="7B6712F4" w14:textId="77777777" w:rsidR="0040300B" w:rsidRDefault="0040300B">
            <w:pPr>
              <w:rPr>
                <w:rFonts w:ascii="宋体"/>
              </w:rPr>
            </w:pPr>
          </w:p>
        </w:tc>
        <w:tc>
          <w:tcPr>
            <w:tcW w:w="26" w:type="pct"/>
            <w:shd w:val="clear" w:color="auto" w:fill="auto"/>
          </w:tcPr>
          <w:p w14:paraId="7B6712F5" w14:textId="77777777" w:rsidR="0040300B" w:rsidRDefault="0040300B">
            <w:pPr>
              <w:rPr>
                <w:rFonts w:ascii="宋体"/>
              </w:rPr>
            </w:pPr>
          </w:p>
        </w:tc>
        <w:tc>
          <w:tcPr>
            <w:tcW w:w="5" w:type="pct"/>
            <w:shd w:val="clear" w:color="auto" w:fill="auto"/>
          </w:tcPr>
          <w:p w14:paraId="7B6712F6" w14:textId="77777777" w:rsidR="0040300B" w:rsidRDefault="0040300B">
            <w:pPr>
              <w:rPr>
                <w:rFonts w:ascii="宋体"/>
              </w:rPr>
            </w:pPr>
          </w:p>
        </w:tc>
        <w:tc>
          <w:tcPr>
            <w:tcW w:w="50" w:type="pct"/>
            <w:shd w:val="clear" w:color="auto" w:fill="auto"/>
          </w:tcPr>
          <w:p w14:paraId="7B6712F7" w14:textId="77777777" w:rsidR="0040300B" w:rsidRDefault="0040300B">
            <w:pPr>
              <w:rPr>
                <w:rFonts w:ascii="宋体"/>
              </w:rPr>
            </w:pPr>
          </w:p>
        </w:tc>
        <w:tc>
          <w:tcPr>
            <w:tcW w:w="471" w:type="pct"/>
            <w:shd w:val="clear" w:color="auto" w:fill="auto"/>
          </w:tcPr>
          <w:p w14:paraId="7B6712F8" w14:textId="77777777" w:rsidR="0040300B" w:rsidRDefault="0040300B">
            <w:pPr>
              <w:rPr>
                <w:rFonts w:ascii="宋体"/>
              </w:rPr>
            </w:pPr>
          </w:p>
        </w:tc>
        <w:tc>
          <w:tcPr>
            <w:tcW w:w="5" w:type="pct"/>
            <w:shd w:val="clear" w:color="auto" w:fill="auto"/>
          </w:tcPr>
          <w:p w14:paraId="7B6712F9" w14:textId="77777777" w:rsidR="0040300B" w:rsidRDefault="0040300B">
            <w:pPr>
              <w:rPr>
                <w:rFonts w:ascii="宋体"/>
              </w:rPr>
            </w:pPr>
          </w:p>
        </w:tc>
      </w:tr>
      <w:tr w:rsidR="0040300B" w14:paraId="7B671300" w14:textId="77777777">
        <w:tc>
          <w:tcPr>
            <w:tcW w:w="0" w:type="auto"/>
            <w:gridSpan w:val="3"/>
            <w:shd w:val="clear" w:color="auto" w:fill="auto"/>
            <w:tcMar>
              <w:top w:w="0" w:type="dxa"/>
              <w:left w:w="20" w:type="dxa"/>
              <w:bottom w:w="0" w:type="dxa"/>
              <w:right w:w="20" w:type="dxa"/>
            </w:tcMar>
          </w:tcPr>
          <w:p w14:paraId="7B6712F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2FC"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12FD" w14:textId="77777777" w:rsidR="0040300B" w:rsidRDefault="00BB2D4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tcPr>
          <w:p w14:paraId="7B6712FE"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12FF" w14:textId="77777777" w:rsidR="0040300B" w:rsidRDefault="00BB2D44">
            <w:pPr>
              <w:jc w:val="center"/>
              <w:textAlignment w:val="bottom"/>
            </w:pPr>
            <w:r>
              <w:rPr>
                <w:rFonts w:ascii="Times New Roman" w:eastAsia="宋体" w:hAnsi="Times New Roman"/>
                <w:color w:val="000000"/>
                <w:sz w:val="18"/>
                <w:szCs w:val="18"/>
              </w:rPr>
              <w:t>Nine Months Ended</w:t>
            </w:r>
          </w:p>
        </w:tc>
      </w:tr>
      <w:tr w:rsidR="0040300B" w14:paraId="7B67130E" w14:textId="77777777">
        <w:tc>
          <w:tcPr>
            <w:tcW w:w="0" w:type="auto"/>
            <w:gridSpan w:val="3"/>
            <w:shd w:val="clear" w:color="auto" w:fill="auto"/>
            <w:tcMar>
              <w:top w:w="0" w:type="dxa"/>
              <w:left w:w="20" w:type="dxa"/>
              <w:bottom w:w="0" w:type="dxa"/>
              <w:right w:w="20" w:type="dxa"/>
            </w:tcMar>
          </w:tcPr>
          <w:p w14:paraId="7B67130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30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30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5"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30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7"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 xml:space="preserve">in </w:t>
            </w:r>
            <w:r>
              <w:rPr>
                <w:rFonts w:ascii="Times New Roman" w:eastAsia="宋体" w:hAnsi="Times New Roman"/>
                <w:color w:val="000000"/>
                <w:sz w:val="18"/>
                <w:szCs w:val="18"/>
              </w:rPr>
              <w:t>Dollars</w:t>
            </w:r>
          </w:p>
        </w:tc>
        <w:tc>
          <w:tcPr>
            <w:tcW w:w="0" w:type="auto"/>
            <w:gridSpan w:val="3"/>
            <w:shd w:val="clear" w:color="auto" w:fill="auto"/>
            <w:tcMar>
              <w:top w:w="0" w:type="dxa"/>
              <w:left w:w="20" w:type="dxa"/>
              <w:bottom w:w="0" w:type="dxa"/>
              <w:right w:w="20" w:type="dxa"/>
            </w:tcMar>
          </w:tcPr>
          <w:p w14:paraId="7B67130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9"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30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B"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B67130C"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30D" w14:textId="77777777" w:rsidR="0040300B" w:rsidRDefault="00BB2D4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40300B" w14:paraId="7B67131C" w14:textId="77777777">
        <w:tc>
          <w:tcPr>
            <w:tcW w:w="0" w:type="auto"/>
            <w:gridSpan w:val="3"/>
            <w:shd w:val="clear" w:color="auto" w:fill="CCEEFF"/>
            <w:tcMar>
              <w:top w:w="40" w:type="dxa"/>
              <w:left w:w="20" w:type="dxa"/>
              <w:bottom w:w="40" w:type="dxa"/>
              <w:right w:w="20" w:type="dxa"/>
            </w:tcMar>
          </w:tcPr>
          <w:p w14:paraId="7B67130F" w14:textId="77777777" w:rsidR="0040300B" w:rsidRDefault="00BB2D44">
            <w:pPr>
              <w:textAlignment w:val="top"/>
            </w:pPr>
            <w:r>
              <w:rPr>
                <w:rFonts w:ascii="Times New Roman" w:eastAsia="宋体" w:hAnsi="Times New Roman"/>
                <w:color w:val="000000"/>
                <w:sz w:val="20"/>
                <w:szCs w:val="20"/>
              </w:rPr>
              <w:t>Gains (losses) on investments, net:</w:t>
            </w:r>
          </w:p>
        </w:tc>
        <w:tc>
          <w:tcPr>
            <w:tcW w:w="0" w:type="auto"/>
            <w:gridSpan w:val="3"/>
            <w:shd w:val="clear" w:color="auto" w:fill="CCEEFF"/>
            <w:tcMar>
              <w:top w:w="0" w:type="dxa"/>
              <w:left w:w="20" w:type="dxa"/>
              <w:bottom w:w="0" w:type="dxa"/>
              <w:right w:w="20" w:type="dxa"/>
            </w:tcMar>
          </w:tcPr>
          <w:p w14:paraId="7B67131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31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31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31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31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31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31B" w14:textId="77777777" w:rsidR="0040300B" w:rsidRDefault="0040300B">
            <w:pPr>
              <w:rPr>
                <w:rFonts w:ascii="宋体"/>
              </w:rPr>
            </w:pPr>
          </w:p>
        </w:tc>
      </w:tr>
      <w:tr w:rsidR="0040300B" w14:paraId="7B671336" w14:textId="77777777">
        <w:tc>
          <w:tcPr>
            <w:tcW w:w="0" w:type="auto"/>
            <w:gridSpan w:val="3"/>
            <w:shd w:val="clear" w:color="auto" w:fill="FFFFFF"/>
            <w:tcMar>
              <w:top w:w="40" w:type="dxa"/>
              <w:left w:w="380" w:type="dxa"/>
              <w:bottom w:w="40" w:type="dxa"/>
              <w:right w:w="20" w:type="dxa"/>
            </w:tcMar>
          </w:tcPr>
          <w:p w14:paraId="7B67131D" w14:textId="77777777" w:rsidR="0040300B" w:rsidRDefault="00BB2D44">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tcPr>
          <w:p w14:paraId="7B67131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1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20" w14:textId="77777777" w:rsidR="0040300B" w:rsidRDefault="00BB2D4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B67132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2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2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24" w14:textId="77777777" w:rsidR="0040300B" w:rsidRDefault="00BB2D4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B67132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2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2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28" w14:textId="77777777" w:rsidR="0040300B" w:rsidRDefault="00BB2D44">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7B67132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2A"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2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2C" w14:textId="77777777" w:rsidR="0040300B" w:rsidRDefault="00BB2D44">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7B67132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2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2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30" w14:textId="77777777" w:rsidR="0040300B" w:rsidRDefault="00BB2D4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B67133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3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33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334" w14:textId="77777777" w:rsidR="0040300B" w:rsidRDefault="00BB2D4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B671335" w14:textId="77777777" w:rsidR="0040300B" w:rsidRDefault="0040300B">
            <w:pPr>
              <w:jc w:val="right"/>
              <w:rPr>
                <w:rFonts w:ascii="宋体"/>
              </w:rPr>
            </w:pPr>
          </w:p>
        </w:tc>
      </w:tr>
      <w:tr w:rsidR="0040300B" w14:paraId="7B67134A" w14:textId="77777777">
        <w:tc>
          <w:tcPr>
            <w:tcW w:w="0" w:type="auto"/>
            <w:gridSpan w:val="3"/>
            <w:shd w:val="clear" w:color="auto" w:fill="CCEEFF"/>
            <w:tcMar>
              <w:top w:w="40" w:type="dxa"/>
              <w:left w:w="380" w:type="dxa"/>
              <w:bottom w:w="40" w:type="dxa"/>
              <w:right w:w="20" w:type="dxa"/>
            </w:tcMar>
          </w:tcPr>
          <w:p w14:paraId="7B671337" w14:textId="77777777" w:rsidR="0040300B" w:rsidRDefault="00BB2D44">
            <w:pPr>
              <w:textAlignment w:val="top"/>
            </w:pPr>
            <w:r>
              <w:rPr>
                <w:rFonts w:ascii="Times New Roman" w:eastAsia="宋体" w:hAnsi="Times New Roman"/>
                <w:color w:val="000000"/>
                <w:sz w:val="20"/>
                <w:szCs w:val="20"/>
              </w:rPr>
              <w:t>Marketable equity investments</w:t>
            </w:r>
          </w:p>
        </w:tc>
        <w:tc>
          <w:tcPr>
            <w:tcW w:w="0" w:type="auto"/>
            <w:gridSpan w:val="3"/>
            <w:shd w:val="clear" w:color="auto" w:fill="CCEEFF"/>
            <w:tcMar>
              <w:top w:w="0" w:type="dxa"/>
              <w:left w:w="20" w:type="dxa"/>
              <w:bottom w:w="0" w:type="dxa"/>
              <w:right w:w="20" w:type="dxa"/>
            </w:tcMar>
          </w:tcPr>
          <w:p w14:paraId="7B671338"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39" w14:textId="77777777" w:rsidR="0040300B" w:rsidRDefault="00BB2D4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B67133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3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3C"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B67133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3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3F" w14:textId="77777777" w:rsidR="0040300B" w:rsidRDefault="00BB2D44">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B67134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4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42"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B67134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4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45" w14:textId="77777777" w:rsidR="0040300B" w:rsidRDefault="00BB2D4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B67134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47"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48" w14:textId="77777777" w:rsidR="0040300B" w:rsidRDefault="00BB2D4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7B671349" w14:textId="77777777" w:rsidR="0040300B" w:rsidRDefault="0040300B">
            <w:pPr>
              <w:jc w:val="right"/>
              <w:rPr>
                <w:rFonts w:ascii="宋体"/>
              </w:rPr>
            </w:pPr>
          </w:p>
        </w:tc>
      </w:tr>
      <w:tr w:rsidR="0040300B" w14:paraId="7B67135E" w14:textId="77777777">
        <w:tc>
          <w:tcPr>
            <w:tcW w:w="0" w:type="auto"/>
            <w:gridSpan w:val="3"/>
            <w:shd w:val="clear" w:color="auto" w:fill="FFFFFF"/>
            <w:tcMar>
              <w:top w:w="40" w:type="dxa"/>
              <w:left w:w="380" w:type="dxa"/>
              <w:bottom w:w="40" w:type="dxa"/>
              <w:right w:w="20" w:type="dxa"/>
            </w:tcMar>
          </w:tcPr>
          <w:p w14:paraId="7B67134B" w14:textId="77777777" w:rsidR="0040300B" w:rsidRDefault="00BB2D44">
            <w:pPr>
              <w:textAlignment w:val="top"/>
            </w:pPr>
            <w:r>
              <w:rPr>
                <w:rFonts w:ascii="Times New Roman" w:eastAsia="宋体" w:hAnsi="Times New Roman"/>
                <w:color w:val="000000"/>
                <w:sz w:val="20"/>
                <w:szCs w:val="20"/>
              </w:rPr>
              <w:t>Non-marketable equity and other investments</w:t>
            </w:r>
          </w:p>
        </w:tc>
        <w:tc>
          <w:tcPr>
            <w:tcW w:w="0" w:type="auto"/>
            <w:gridSpan w:val="3"/>
            <w:shd w:val="clear" w:color="auto" w:fill="FFFFFF"/>
            <w:tcMar>
              <w:top w:w="0" w:type="dxa"/>
              <w:left w:w="20" w:type="dxa"/>
              <w:bottom w:w="0" w:type="dxa"/>
              <w:right w:w="20" w:type="dxa"/>
            </w:tcMar>
          </w:tcPr>
          <w:p w14:paraId="7B67134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4D" w14:textId="77777777" w:rsidR="0040300B" w:rsidRDefault="00BB2D44">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B67134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4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50" w14:textId="77777777" w:rsidR="0040300B" w:rsidRDefault="00BB2D44">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B67135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5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53" w14:textId="77777777" w:rsidR="0040300B" w:rsidRDefault="00BB2D44">
            <w:pPr>
              <w:jc w:val="right"/>
              <w:textAlignment w:val="bottom"/>
            </w:pPr>
            <w:r>
              <w:rPr>
                <w:rFonts w:ascii="Times New Roman" w:eastAsia="宋体" w:hAnsi="Times New Roman"/>
                <w:color w:val="000000"/>
                <w:sz w:val="20"/>
                <w:szCs w:val="20"/>
              </w:rPr>
              <w:t>78 </w:t>
            </w:r>
          </w:p>
        </w:tc>
        <w:tc>
          <w:tcPr>
            <w:tcW w:w="0" w:type="auto"/>
            <w:shd w:val="clear" w:color="auto" w:fill="FFFFFF"/>
            <w:tcMar>
              <w:top w:w="40" w:type="dxa"/>
              <w:left w:w="0" w:type="dxa"/>
              <w:bottom w:w="40" w:type="dxa"/>
              <w:right w:w="20" w:type="dxa"/>
            </w:tcMar>
            <w:vAlign w:val="bottom"/>
          </w:tcPr>
          <w:p w14:paraId="7B67135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5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56" w14:textId="77777777" w:rsidR="0040300B" w:rsidRDefault="00BB2D44">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7B6713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5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59" w14:textId="77777777" w:rsidR="0040300B" w:rsidRDefault="00BB2D44">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B67135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5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5C" w14:textId="77777777" w:rsidR="0040300B" w:rsidRDefault="00BB2D44">
            <w:pPr>
              <w:jc w:val="right"/>
              <w:textAlignment w:val="bottom"/>
            </w:pPr>
            <w:r>
              <w:rPr>
                <w:rFonts w:ascii="Times New Roman" w:eastAsia="宋体" w:hAnsi="Times New Roman"/>
                <w:color w:val="000000"/>
                <w:sz w:val="20"/>
                <w:szCs w:val="20"/>
              </w:rPr>
              <w:t>1</w:t>
            </w: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B67135D" w14:textId="77777777" w:rsidR="0040300B" w:rsidRDefault="0040300B">
            <w:pPr>
              <w:jc w:val="right"/>
              <w:rPr>
                <w:rFonts w:ascii="宋体"/>
              </w:rPr>
            </w:pPr>
          </w:p>
        </w:tc>
      </w:tr>
      <w:tr w:rsidR="0040300B" w14:paraId="7B671372" w14:textId="77777777">
        <w:tc>
          <w:tcPr>
            <w:tcW w:w="0" w:type="auto"/>
            <w:gridSpan w:val="3"/>
            <w:shd w:val="clear" w:color="auto" w:fill="CCEEFF"/>
            <w:tcMar>
              <w:top w:w="40" w:type="dxa"/>
              <w:left w:w="740" w:type="dxa"/>
              <w:bottom w:w="40" w:type="dxa"/>
              <w:right w:w="20" w:type="dxa"/>
            </w:tcMar>
          </w:tcPr>
          <w:p w14:paraId="7B67135F" w14:textId="77777777" w:rsidR="0040300B" w:rsidRDefault="00BB2D44">
            <w:pPr>
              <w:textAlignment w:val="top"/>
            </w:pPr>
            <w:r>
              <w:rPr>
                <w:rFonts w:ascii="Times New Roman" w:eastAsia="宋体" w:hAnsi="Times New Roman"/>
                <w:color w:val="000000"/>
                <w:sz w:val="20"/>
                <w:szCs w:val="20"/>
              </w:rPr>
              <w:t>Net gains (losses) on investments</w:t>
            </w:r>
          </w:p>
        </w:tc>
        <w:tc>
          <w:tcPr>
            <w:tcW w:w="0" w:type="auto"/>
            <w:gridSpan w:val="3"/>
            <w:shd w:val="clear" w:color="auto" w:fill="CCEEFF"/>
            <w:tcMar>
              <w:top w:w="0" w:type="dxa"/>
              <w:left w:w="20" w:type="dxa"/>
              <w:bottom w:w="0" w:type="dxa"/>
              <w:right w:w="20" w:type="dxa"/>
            </w:tcMar>
          </w:tcPr>
          <w:p w14:paraId="7B671360"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61" w14:textId="77777777" w:rsidR="0040300B" w:rsidRDefault="00BB2D44">
            <w:pPr>
              <w:jc w:val="right"/>
              <w:textAlignment w:val="bottom"/>
            </w:pPr>
            <w:r>
              <w:rPr>
                <w:rFonts w:ascii="Times New Roman" w:eastAsia="宋体" w:hAnsi="Times New Roman"/>
                <w:color w:val="000000"/>
                <w:sz w:val="20"/>
                <w:szCs w:val="20"/>
              </w:rPr>
              <w:t>119 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6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63"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64"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6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66"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67" w14:textId="77777777" w:rsidR="0040300B" w:rsidRDefault="00BB2D44">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6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69"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6A" w14:textId="77777777" w:rsidR="0040300B" w:rsidRDefault="00BB2D44">
            <w:pPr>
              <w:jc w:val="right"/>
              <w:textAlignment w:val="bottom"/>
            </w:pPr>
            <w:r>
              <w:rPr>
                <w:rFonts w:ascii="Times New Roman" w:eastAsia="宋体" w:hAnsi="Times New Roman"/>
                <w:color w:val="000000"/>
                <w:sz w:val="20"/>
                <w:szCs w:val="20"/>
              </w:rPr>
              <w:t>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6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6C"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6D" w14:textId="77777777" w:rsidR="0040300B" w:rsidRDefault="00BB2D44">
            <w:pPr>
              <w:jc w:val="right"/>
              <w:textAlignment w:val="bottom"/>
            </w:pPr>
            <w:r>
              <w:rPr>
                <w:rFonts w:ascii="Times New Roman" w:eastAsia="宋体" w:hAnsi="Times New Roman"/>
                <w:color w:val="000000"/>
                <w:sz w:val="20"/>
                <w:szCs w:val="20"/>
              </w:rPr>
              <w:t>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6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6F"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370" w14:textId="77777777" w:rsidR="0040300B" w:rsidRDefault="00BB2D44">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71" w14:textId="77777777" w:rsidR="0040300B" w:rsidRDefault="0040300B">
            <w:pPr>
              <w:jc w:val="right"/>
              <w:rPr>
                <w:rFonts w:ascii="宋体"/>
              </w:rPr>
            </w:pPr>
          </w:p>
        </w:tc>
      </w:tr>
      <w:tr w:rsidR="0040300B" w14:paraId="7B671386" w14:textId="77777777">
        <w:tc>
          <w:tcPr>
            <w:tcW w:w="0" w:type="auto"/>
            <w:gridSpan w:val="3"/>
            <w:shd w:val="clear" w:color="auto" w:fill="FFFFFF"/>
            <w:tcMar>
              <w:top w:w="40" w:type="dxa"/>
              <w:left w:w="20" w:type="dxa"/>
              <w:bottom w:w="40" w:type="dxa"/>
              <w:right w:w="20" w:type="dxa"/>
            </w:tcMar>
          </w:tcPr>
          <w:p w14:paraId="7B671373" w14:textId="77777777" w:rsidR="0040300B" w:rsidRDefault="00BB2D44">
            <w:pPr>
              <w:textAlignment w:val="top"/>
            </w:pPr>
            <w:r>
              <w:rPr>
                <w:rFonts w:ascii="Times New Roman" w:eastAsia="宋体" w:hAnsi="Times New Roman"/>
                <w:color w:val="000000"/>
                <w:sz w:val="20"/>
                <w:szCs w:val="20"/>
              </w:rPr>
              <w:t>Other gains (losses), net</w:t>
            </w:r>
          </w:p>
        </w:tc>
        <w:tc>
          <w:tcPr>
            <w:tcW w:w="0" w:type="auto"/>
            <w:gridSpan w:val="3"/>
            <w:shd w:val="clear" w:color="auto" w:fill="FFFFFF"/>
            <w:tcMar>
              <w:top w:w="0" w:type="dxa"/>
              <w:left w:w="20" w:type="dxa"/>
              <w:bottom w:w="0" w:type="dxa"/>
              <w:right w:w="20" w:type="dxa"/>
            </w:tcMar>
          </w:tcPr>
          <w:p w14:paraId="7B67137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75" w14:textId="77777777" w:rsidR="0040300B" w:rsidRDefault="00BB2D44">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7B67137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7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78" w14:textId="77777777" w:rsidR="0040300B" w:rsidRDefault="00BB2D44">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7B6713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7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7B" w14:textId="77777777" w:rsidR="0040300B" w:rsidRDefault="00BB2D44">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7B67137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7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7E" w14:textId="77777777" w:rsidR="0040300B" w:rsidRDefault="00BB2D44">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7B67137F"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80"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81" w14:textId="77777777" w:rsidR="0040300B" w:rsidRDefault="00BB2D44">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7B67138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8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84" w14:textId="77777777" w:rsidR="0040300B" w:rsidRDefault="00BB2D44">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B671385" w14:textId="77777777" w:rsidR="0040300B" w:rsidRDefault="0040300B">
            <w:pPr>
              <w:jc w:val="right"/>
              <w:rPr>
                <w:rFonts w:ascii="宋体"/>
              </w:rPr>
            </w:pPr>
          </w:p>
        </w:tc>
      </w:tr>
      <w:tr w:rsidR="0040300B" w14:paraId="7B6713A0" w14:textId="77777777">
        <w:tc>
          <w:tcPr>
            <w:tcW w:w="0" w:type="auto"/>
            <w:gridSpan w:val="3"/>
            <w:shd w:val="clear" w:color="auto" w:fill="CCEEFF"/>
            <w:tcMar>
              <w:top w:w="40" w:type="dxa"/>
              <w:left w:w="1235" w:type="dxa"/>
              <w:bottom w:w="40" w:type="dxa"/>
              <w:right w:w="20" w:type="dxa"/>
            </w:tcMar>
          </w:tcPr>
          <w:p w14:paraId="7B671387" w14:textId="77777777" w:rsidR="0040300B" w:rsidRDefault="00BB2D44">
            <w:pPr>
              <w:textAlignment w:val="top"/>
            </w:pPr>
            <w:r>
              <w:rPr>
                <w:rFonts w:ascii="Times New Roman" w:eastAsia="宋体" w:hAnsi="Times New Roman"/>
                <w:color w:val="000000"/>
                <w:sz w:val="20"/>
                <w:szCs w:val="20"/>
              </w:rPr>
              <w:t>Other income (loss), net</w:t>
            </w:r>
          </w:p>
        </w:tc>
        <w:tc>
          <w:tcPr>
            <w:tcW w:w="0" w:type="auto"/>
            <w:gridSpan w:val="3"/>
            <w:shd w:val="clear" w:color="auto" w:fill="CCEEFF"/>
            <w:tcMar>
              <w:top w:w="0" w:type="dxa"/>
              <w:left w:w="20" w:type="dxa"/>
              <w:bottom w:w="0" w:type="dxa"/>
              <w:right w:w="20" w:type="dxa"/>
            </w:tcMar>
          </w:tcPr>
          <w:p w14:paraId="7B671388"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8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8A" w14:textId="77777777" w:rsidR="0040300B" w:rsidRDefault="00BB2D44">
            <w:pPr>
              <w:jc w:val="right"/>
              <w:textAlignment w:val="bottom"/>
            </w:pPr>
            <w:r>
              <w:rPr>
                <w:rFonts w:ascii="Times New Roman" w:eastAsia="宋体" w:hAnsi="Times New Roman"/>
                <w:color w:val="000000"/>
                <w:sz w:val="20"/>
                <w:szCs w:val="20"/>
              </w:rPr>
              <w:t>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8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8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8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8E" w14:textId="77777777" w:rsidR="0040300B" w:rsidRDefault="00BB2D44">
            <w:pPr>
              <w:jc w:val="right"/>
              <w:textAlignment w:val="bottom"/>
            </w:pPr>
            <w:r>
              <w:rPr>
                <w:rFonts w:ascii="Times New Roman" w:eastAsia="宋体" w:hAnsi="Times New Roman"/>
                <w:color w:val="000000"/>
                <w:sz w:val="20"/>
                <w:szCs w:val="20"/>
              </w:rPr>
              <w:t>(58)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8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90"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9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92" w14:textId="77777777" w:rsidR="0040300B" w:rsidRDefault="00BB2D44">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9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94"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9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96" w14:textId="77777777" w:rsidR="0040300B" w:rsidRDefault="00BB2D44">
            <w:pPr>
              <w:jc w:val="right"/>
              <w:textAlignment w:val="bottom"/>
            </w:pPr>
            <w:r>
              <w:rPr>
                <w:rFonts w:ascii="Times New Roman" w:eastAsia="宋体" w:hAnsi="Times New Roman"/>
                <w:color w:val="000000"/>
                <w:sz w:val="20"/>
                <w:szCs w:val="20"/>
              </w:rPr>
              <w:t>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9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98"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9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9A" w14:textId="77777777" w:rsidR="0040300B" w:rsidRDefault="00BB2D44">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9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9C"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39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39E" w14:textId="77777777" w:rsidR="0040300B" w:rsidRDefault="00BB2D44">
            <w:pPr>
              <w:jc w:val="right"/>
              <w:textAlignment w:val="bottom"/>
            </w:pPr>
            <w:r>
              <w:rPr>
                <w:rFonts w:ascii="Times New Roman" w:eastAsia="宋体" w:hAnsi="Times New Roman"/>
                <w:color w:val="000000"/>
                <w:sz w:val="20"/>
                <w:szCs w:val="20"/>
              </w:rPr>
              <w:t>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39F" w14:textId="77777777" w:rsidR="0040300B" w:rsidRDefault="0040300B">
            <w:pPr>
              <w:jc w:val="right"/>
              <w:rPr>
                <w:rFonts w:ascii="宋体"/>
              </w:rPr>
            </w:pPr>
          </w:p>
        </w:tc>
      </w:tr>
    </w:tbl>
    <w:p w14:paraId="7B6713A1" w14:textId="77777777" w:rsidR="0040300B" w:rsidRDefault="00BB2D44">
      <w:pPr>
        <w:spacing w:before="120"/>
        <w:jc w:val="both"/>
      </w:pPr>
      <w:r>
        <w:rPr>
          <w:rFonts w:ascii="Times New Roman" w:eastAsia="宋体" w:hAnsi="Times New Roman"/>
          <w:i/>
          <w:iCs/>
          <w:color w:val="000000"/>
          <w:sz w:val="20"/>
          <w:szCs w:val="20"/>
          <w:u w:val="single"/>
        </w:rPr>
        <w:t>Three Months Ended May 1, 2021 Compared with Three Months Ended April 25, 2020</w:t>
      </w:r>
    </w:p>
    <w:p w14:paraId="7B6713A2" w14:textId="77777777" w:rsidR="0040300B" w:rsidRDefault="00BB2D44">
      <w:pPr>
        <w:spacing w:before="120"/>
        <w:jc w:val="both"/>
      </w:pPr>
      <w:r>
        <w:rPr>
          <w:rFonts w:ascii="Times New Roman" w:eastAsia="宋体" w:hAnsi="Times New Roman"/>
          <w:color w:val="000000"/>
          <w:sz w:val="20"/>
          <w:szCs w:val="20"/>
        </w:rPr>
        <w:t xml:space="preserve">The change in net gains </w:t>
      </w:r>
      <w:r>
        <w:rPr>
          <w:rFonts w:ascii="Times New Roman" w:eastAsia="宋体" w:hAnsi="Times New Roman"/>
          <w:color w:val="000000"/>
          <w:sz w:val="20"/>
          <w:szCs w:val="20"/>
        </w:rPr>
        <w:t>(losses) on available-for-sale debt investments was primarily attributable to higher realized gains as a result of market conditions, and the timing of sales of these investments. The change in net gains (losses) on non-marketable equity and other investme</w:t>
      </w:r>
      <w:r>
        <w:rPr>
          <w:rFonts w:ascii="Times New Roman" w:eastAsia="宋体" w:hAnsi="Times New Roman"/>
          <w:color w:val="000000"/>
          <w:sz w:val="20"/>
          <w:szCs w:val="20"/>
        </w:rPr>
        <w:t>nts was primarily due to higher net unrealized gains and higher net realized gains. The change in other gains (losses), net was driven by lower donation expense and favorable impacts from our equity derivatives, partially offset by unfavorable impacts from</w:t>
      </w:r>
      <w:r>
        <w:rPr>
          <w:rFonts w:ascii="Times New Roman" w:eastAsia="宋体" w:hAnsi="Times New Roman"/>
          <w:color w:val="000000"/>
          <w:sz w:val="20"/>
          <w:szCs w:val="20"/>
        </w:rPr>
        <w:t xml:space="preserve"> foreign exchange.</w:t>
      </w:r>
    </w:p>
    <w:p w14:paraId="7B6713A3" w14:textId="77777777" w:rsidR="0040300B" w:rsidRDefault="00BB2D44">
      <w:pPr>
        <w:spacing w:before="120"/>
        <w:jc w:val="both"/>
      </w:pPr>
      <w:r>
        <w:rPr>
          <w:rFonts w:ascii="Times New Roman" w:eastAsia="宋体" w:hAnsi="Times New Roman"/>
          <w:i/>
          <w:iCs/>
          <w:color w:val="000000"/>
          <w:sz w:val="20"/>
          <w:szCs w:val="20"/>
          <w:u w:val="single"/>
        </w:rPr>
        <w:t>Nine Months Ended May 1, 2021 Compared with Nine Months Ended April 25, 2020</w:t>
      </w:r>
    </w:p>
    <w:p w14:paraId="7B6713A4" w14:textId="77777777" w:rsidR="0040300B" w:rsidRDefault="00BB2D44">
      <w:pPr>
        <w:spacing w:before="120"/>
        <w:jc w:val="both"/>
      </w:pPr>
      <w:r>
        <w:rPr>
          <w:rFonts w:ascii="Times New Roman" w:eastAsia="宋体" w:hAnsi="Times New Roman"/>
          <w:color w:val="000000"/>
          <w:sz w:val="20"/>
          <w:szCs w:val="20"/>
        </w:rPr>
        <w:t>The change in net gains (losses) on available-for-sale debt investments was primarily attributable to higher realized gains as a result of market conditions, an</w:t>
      </w:r>
      <w:r>
        <w:rPr>
          <w:rFonts w:ascii="Times New Roman" w:eastAsia="宋体" w:hAnsi="Times New Roman"/>
          <w:color w:val="000000"/>
          <w:sz w:val="20"/>
          <w:szCs w:val="20"/>
        </w:rPr>
        <w:t>d the timing of sales of these investments. The change in net gains (losses) on non-marketable equity and other investments was primarily due to higher net unrealized gains and lower impairment charges, offset by lower net realized gains. The change in oth</w:t>
      </w:r>
      <w:r>
        <w:rPr>
          <w:rFonts w:ascii="Times New Roman" w:eastAsia="宋体" w:hAnsi="Times New Roman"/>
          <w:color w:val="000000"/>
          <w:sz w:val="20"/>
          <w:szCs w:val="20"/>
        </w:rPr>
        <w:t>er gains (losses), net was primarily driven by lower donation expense and favorable impacts from our equity derivatives, partially offset by unfavorable impacts from foreign exchange.</w:t>
      </w:r>
    </w:p>
    <w:p w14:paraId="7B6713A5" w14:textId="77777777" w:rsidR="0040300B" w:rsidRDefault="00BB2D44">
      <w:pPr>
        <w:spacing w:before="120"/>
        <w:jc w:val="both"/>
      </w:pPr>
      <w:r>
        <w:rPr>
          <w:rFonts w:ascii="Times New Roman" w:eastAsia="宋体" w:hAnsi="Times New Roman"/>
          <w:b/>
          <w:bCs/>
          <w:color w:val="000000"/>
          <w:sz w:val="20"/>
          <w:szCs w:val="20"/>
        </w:rPr>
        <w:t xml:space="preserve">Provision for Income Taxes </w:t>
      </w:r>
    </w:p>
    <w:p w14:paraId="7B6713A6" w14:textId="77777777" w:rsidR="0040300B" w:rsidRDefault="00BB2D44">
      <w:pPr>
        <w:spacing w:before="120"/>
        <w:jc w:val="both"/>
      </w:pPr>
      <w:r>
        <w:rPr>
          <w:rFonts w:ascii="Times New Roman" w:eastAsia="宋体" w:hAnsi="Times New Roman"/>
          <w:i/>
          <w:iCs/>
          <w:color w:val="000000"/>
          <w:sz w:val="20"/>
          <w:szCs w:val="20"/>
          <w:u w:val="single"/>
        </w:rPr>
        <w:t xml:space="preserve">Three Months Ended May 1, 2021 </w:t>
      </w:r>
      <w:r>
        <w:rPr>
          <w:rFonts w:ascii="Times New Roman" w:eastAsia="宋体" w:hAnsi="Times New Roman"/>
          <w:i/>
          <w:iCs/>
          <w:color w:val="000000"/>
          <w:sz w:val="20"/>
          <w:szCs w:val="20"/>
          <w:u w:val="single"/>
        </w:rPr>
        <w:t>Compared with Three Months Ended April 25, 2020</w:t>
      </w:r>
    </w:p>
    <w:p w14:paraId="7B6713A7" w14:textId="77777777" w:rsidR="0040300B" w:rsidRDefault="00BB2D44">
      <w:pPr>
        <w:spacing w:before="120"/>
        <w:jc w:val="both"/>
      </w:pPr>
      <w:r>
        <w:rPr>
          <w:rFonts w:ascii="Times New Roman" w:eastAsia="宋体" w:hAnsi="Times New Roman"/>
          <w:color w:val="000000"/>
          <w:sz w:val="20"/>
          <w:szCs w:val="20"/>
        </w:rPr>
        <w:t xml:space="preserve">The provision for income taxes resulted in an effective tax rate of 20.3% for the third quarter of fiscal 2021 compared with 19.4% for the third quarter of fiscal 2020. The increase in the effective tax rate </w:t>
      </w:r>
      <w:r>
        <w:rPr>
          <w:rFonts w:ascii="Times New Roman" w:eastAsia="宋体" w:hAnsi="Times New Roman"/>
          <w:color w:val="000000"/>
          <w:sz w:val="20"/>
          <w:szCs w:val="20"/>
        </w:rPr>
        <w:t xml:space="preserve">was primarily due to a decrease in the tax benefit from foreign income taxed at other than U.S. rates in the third quarter of fiscal 2021 as compared to the third quarter of fiscal 2020. </w:t>
      </w:r>
    </w:p>
    <w:p w14:paraId="7B6713A8" w14:textId="77777777" w:rsidR="0040300B" w:rsidRDefault="00BB2D44">
      <w:pPr>
        <w:spacing w:before="120"/>
        <w:jc w:val="both"/>
      </w:pPr>
      <w:r>
        <w:rPr>
          <w:rFonts w:ascii="Times New Roman" w:eastAsia="宋体" w:hAnsi="Times New Roman"/>
          <w:i/>
          <w:iCs/>
          <w:color w:val="000000"/>
          <w:sz w:val="20"/>
          <w:szCs w:val="20"/>
          <w:u w:val="single"/>
        </w:rPr>
        <w:t xml:space="preserve">Nine Months Ended May 1, 2021 Compared with Nine Months Ended April </w:t>
      </w:r>
      <w:r>
        <w:rPr>
          <w:rFonts w:ascii="Times New Roman" w:eastAsia="宋体" w:hAnsi="Times New Roman"/>
          <w:i/>
          <w:iCs/>
          <w:color w:val="000000"/>
          <w:sz w:val="20"/>
          <w:szCs w:val="20"/>
          <w:u w:val="single"/>
        </w:rPr>
        <w:t>25, 2020</w:t>
      </w:r>
    </w:p>
    <w:p w14:paraId="7B6713A9" w14:textId="77777777" w:rsidR="0040300B" w:rsidRDefault="00BB2D44">
      <w:pPr>
        <w:spacing w:before="120"/>
        <w:jc w:val="both"/>
      </w:pPr>
      <w:r>
        <w:rPr>
          <w:rFonts w:ascii="Times New Roman" w:eastAsia="宋体" w:hAnsi="Times New Roman"/>
          <w:color w:val="000000"/>
          <w:sz w:val="20"/>
          <w:szCs w:val="20"/>
        </w:rPr>
        <w:t xml:space="preserve">The provision for income taxes resulted in an effective tax rate of 20.4% for the first nine months of fiscal 2021 compared with 19.6% for the first nine months of fiscal 2020. The increase in effective tax rate was primarily due to a decrease in </w:t>
      </w:r>
      <w:r>
        <w:rPr>
          <w:rFonts w:ascii="Times New Roman" w:eastAsia="宋体" w:hAnsi="Times New Roman"/>
          <w:color w:val="000000"/>
          <w:sz w:val="20"/>
          <w:szCs w:val="20"/>
        </w:rPr>
        <w:t>the tax benefit from foreign income taxed at other than U.S. rates in fiscal 2021 as compared to fiscal 2020.</w:t>
      </w:r>
    </w:p>
    <w:p w14:paraId="7B6713AA" w14:textId="77777777" w:rsidR="0040300B" w:rsidRDefault="00BB2D44">
      <w:pPr>
        <w:jc w:val="center"/>
      </w:pPr>
      <w:r>
        <w:rPr>
          <w:rFonts w:ascii="Times New Roman" w:eastAsia="宋体" w:hAnsi="Times New Roman"/>
          <w:color w:val="000000"/>
          <w:sz w:val="20"/>
          <w:szCs w:val="20"/>
        </w:rPr>
        <w:t>58</w:t>
      </w:r>
    </w:p>
    <w:p w14:paraId="7B6713AB" w14:textId="77777777" w:rsidR="0040300B" w:rsidRDefault="00BB2D44">
      <w:r>
        <w:pict w14:anchorId="7B671C4A">
          <v:rect id="_x0000_i1082" style="width:415.3pt;height:1.5pt" o:hralign="center" o:hrstd="t" o:hr="t" fillcolor="#a0a0a0" stroked="f"/>
        </w:pict>
      </w:r>
    </w:p>
    <w:p w14:paraId="7B6713AC" w14:textId="77777777" w:rsidR="0040300B" w:rsidRDefault="00BB2D44">
      <w:hyperlink r:id="rId104"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3AD" w14:textId="77777777" w:rsidR="0040300B" w:rsidRDefault="00BB2D44">
      <w:pPr>
        <w:jc w:val="center"/>
      </w:pPr>
      <w:r>
        <w:rPr>
          <w:rFonts w:ascii="Times New Roman" w:eastAsia="宋体" w:hAnsi="Times New Roman"/>
          <w:b/>
          <w:bCs/>
          <w:color w:val="000000"/>
          <w:sz w:val="18"/>
          <w:szCs w:val="18"/>
        </w:rPr>
        <w:t>CISCO SYSTEMS, INC.</w:t>
      </w:r>
    </w:p>
    <w:p w14:paraId="7B6713AE"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13AF" w14:textId="77777777" w:rsidR="0040300B" w:rsidRDefault="0040300B">
      <w:pPr>
        <w:jc w:val="center"/>
      </w:pPr>
    </w:p>
    <w:p w14:paraId="7B6713B0" w14:textId="77777777" w:rsidR="0040300B" w:rsidRDefault="00BB2D44">
      <w:pPr>
        <w:spacing w:before="120"/>
        <w:jc w:val="both"/>
      </w:pPr>
      <w:r>
        <w:rPr>
          <w:rFonts w:ascii="Times New Roman" w:eastAsia="宋体" w:hAnsi="Times New Roman"/>
          <w:color w:val="000000"/>
          <w:sz w:val="20"/>
          <w:szCs w:val="20"/>
        </w:rPr>
        <w:t>Our effective tax rate will increase or decrease based upon the tax effect of the difference between the share</w:t>
      </w:r>
      <w:r>
        <w:rPr>
          <w:rFonts w:ascii="Times New Roman" w:eastAsia="宋体" w:hAnsi="Times New Roman"/>
          <w:color w:val="000000"/>
          <w:sz w:val="20"/>
          <w:szCs w:val="20"/>
        </w:rPr>
        <w:t>-based compensation expenses and the benefits taken on the company's tax returns. We recognize excess tax benefits on a discrete basis and therefore anticipate the effective tax rate to vary from quarter to quarter depending on our share price in each peri</w:t>
      </w:r>
      <w:r>
        <w:rPr>
          <w:rFonts w:ascii="Times New Roman" w:eastAsia="宋体" w:hAnsi="Times New Roman"/>
          <w:color w:val="000000"/>
          <w:sz w:val="20"/>
          <w:szCs w:val="20"/>
        </w:rPr>
        <w:t>od.</w:t>
      </w:r>
    </w:p>
    <w:p w14:paraId="7B6713B1" w14:textId="77777777" w:rsidR="0040300B" w:rsidRDefault="00BB2D44">
      <w:pPr>
        <w:jc w:val="center"/>
      </w:pPr>
      <w:r>
        <w:rPr>
          <w:rFonts w:ascii="Times New Roman" w:eastAsia="宋体" w:hAnsi="Times New Roman"/>
          <w:color w:val="000000"/>
          <w:sz w:val="20"/>
          <w:szCs w:val="20"/>
        </w:rPr>
        <w:t>59</w:t>
      </w:r>
    </w:p>
    <w:p w14:paraId="7B6713B2" w14:textId="77777777" w:rsidR="0040300B" w:rsidRDefault="00BB2D44">
      <w:r>
        <w:pict w14:anchorId="7B671C4B">
          <v:rect id="_x0000_i1083" style="width:415.3pt;height:1.5pt" o:hralign="center" o:hrstd="t" o:hr="t" fillcolor="#a0a0a0" stroked="f"/>
        </w:pict>
      </w:r>
    </w:p>
    <w:p w14:paraId="7B6713B3" w14:textId="77777777" w:rsidR="0040300B" w:rsidRDefault="00BB2D44">
      <w:hyperlink r:id="rId105"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3B4" w14:textId="77777777" w:rsidR="0040300B" w:rsidRDefault="00BB2D44">
      <w:pPr>
        <w:jc w:val="center"/>
      </w:pPr>
      <w:r>
        <w:rPr>
          <w:rFonts w:ascii="Times New Roman" w:eastAsia="宋体" w:hAnsi="Times New Roman"/>
          <w:b/>
          <w:bCs/>
          <w:color w:val="000000"/>
          <w:sz w:val="18"/>
          <w:szCs w:val="18"/>
        </w:rPr>
        <w:t>CISCO SYSTEMS, INC.</w:t>
      </w:r>
    </w:p>
    <w:p w14:paraId="7B6713B5"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w:t>
      </w:r>
      <w:r>
        <w:rPr>
          <w:rFonts w:ascii="Times New Roman" w:eastAsia="宋体" w:hAnsi="Times New Roman"/>
          <w:b/>
          <w:bCs/>
          <w:color w:val="000000"/>
          <w:sz w:val="18"/>
          <w:szCs w:val="18"/>
        </w:rPr>
        <w:t>CONDITION AND RESULTS OF OPERATIONS (Continued)</w:t>
      </w:r>
    </w:p>
    <w:p w14:paraId="7B6713B6" w14:textId="77777777" w:rsidR="0040300B" w:rsidRDefault="0040300B">
      <w:pPr>
        <w:jc w:val="center"/>
      </w:pPr>
    </w:p>
    <w:p w14:paraId="7B6713B7" w14:textId="77777777" w:rsidR="0040300B" w:rsidRDefault="00BB2D44">
      <w:r>
        <w:rPr>
          <w:rFonts w:ascii="Times New Roman" w:eastAsia="宋体" w:hAnsi="Times New Roman"/>
          <w:b/>
          <w:bCs/>
          <w:color w:val="000000"/>
          <w:sz w:val="22"/>
          <w:szCs w:val="22"/>
        </w:rPr>
        <w:t>LIQUIDITY AND CAPITAL RESOURCES</w:t>
      </w:r>
    </w:p>
    <w:p w14:paraId="7B6713B8" w14:textId="77777777" w:rsidR="0040300B" w:rsidRDefault="00BB2D44">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contractual o</w:t>
      </w:r>
      <w:r>
        <w:rPr>
          <w:rFonts w:ascii="Times New Roman" w:eastAsia="宋体" w:hAnsi="Times New Roman"/>
          <w:color w:val="000000"/>
          <w:sz w:val="20"/>
          <w:szCs w:val="20"/>
        </w:rPr>
        <w:t>bligations, and certain other commitments and activities on our liquidity and capital resources.</w:t>
      </w:r>
    </w:p>
    <w:p w14:paraId="7B6713B9" w14:textId="77777777" w:rsidR="0040300B" w:rsidRDefault="00BB2D44">
      <w:pPr>
        <w:spacing w:before="120"/>
        <w:jc w:val="both"/>
      </w:pPr>
      <w:r>
        <w:rPr>
          <w:rFonts w:ascii="Times New Roman" w:eastAsia="宋体" w:hAnsi="Times New Roman"/>
          <w:b/>
          <w:bCs/>
          <w:color w:val="000000"/>
          <w:sz w:val="20"/>
          <w:szCs w:val="20"/>
        </w:rPr>
        <w:t>Balance Sheet and Cash Flows</w:t>
      </w:r>
    </w:p>
    <w:p w14:paraId="7B6713BA" w14:textId="77777777" w:rsidR="0040300B" w:rsidRDefault="00BB2D44">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w:t>
      </w:r>
      <w:r>
        <w:rPr>
          <w:rFonts w:ascii="Times New Roman" w:eastAsia="宋体" w:hAnsi="Times New Roman"/>
          <w:color w:val="000000"/>
          <w:sz w:val="20"/>
          <w:szCs w:val="20"/>
        </w:rPr>
        <w:t>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40300B" w14:paraId="7B6713CD" w14:textId="77777777">
        <w:tc>
          <w:tcPr>
            <w:tcW w:w="50" w:type="pct"/>
            <w:shd w:val="clear" w:color="auto" w:fill="auto"/>
          </w:tcPr>
          <w:p w14:paraId="7B6713BB" w14:textId="77777777" w:rsidR="0040300B" w:rsidRDefault="0040300B">
            <w:pPr>
              <w:rPr>
                <w:rFonts w:ascii="宋体"/>
              </w:rPr>
            </w:pPr>
          </w:p>
        </w:tc>
        <w:tc>
          <w:tcPr>
            <w:tcW w:w="2826" w:type="pct"/>
            <w:shd w:val="clear" w:color="auto" w:fill="auto"/>
          </w:tcPr>
          <w:p w14:paraId="7B6713BC" w14:textId="77777777" w:rsidR="0040300B" w:rsidRDefault="0040300B">
            <w:pPr>
              <w:rPr>
                <w:rFonts w:ascii="宋体"/>
              </w:rPr>
            </w:pPr>
          </w:p>
        </w:tc>
        <w:tc>
          <w:tcPr>
            <w:tcW w:w="5" w:type="pct"/>
            <w:shd w:val="clear" w:color="auto" w:fill="auto"/>
          </w:tcPr>
          <w:p w14:paraId="7B6713BD" w14:textId="77777777" w:rsidR="0040300B" w:rsidRDefault="0040300B">
            <w:pPr>
              <w:rPr>
                <w:rFonts w:ascii="宋体"/>
              </w:rPr>
            </w:pPr>
          </w:p>
        </w:tc>
        <w:tc>
          <w:tcPr>
            <w:tcW w:w="50" w:type="pct"/>
            <w:shd w:val="clear" w:color="auto" w:fill="auto"/>
          </w:tcPr>
          <w:p w14:paraId="7B6713BE" w14:textId="77777777" w:rsidR="0040300B" w:rsidRDefault="0040300B">
            <w:pPr>
              <w:rPr>
                <w:rFonts w:ascii="宋体"/>
              </w:rPr>
            </w:pPr>
          </w:p>
        </w:tc>
        <w:tc>
          <w:tcPr>
            <w:tcW w:w="626" w:type="pct"/>
            <w:shd w:val="clear" w:color="auto" w:fill="auto"/>
          </w:tcPr>
          <w:p w14:paraId="7B6713BF" w14:textId="77777777" w:rsidR="0040300B" w:rsidRDefault="0040300B">
            <w:pPr>
              <w:rPr>
                <w:rFonts w:ascii="宋体"/>
              </w:rPr>
            </w:pPr>
          </w:p>
        </w:tc>
        <w:tc>
          <w:tcPr>
            <w:tcW w:w="5" w:type="pct"/>
            <w:shd w:val="clear" w:color="auto" w:fill="auto"/>
          </w:tcPr>
          <w:p w14:paraId="7B6713C0" w14:textId="77777777" w:rsidR="0040300B" w:rsidRDefault="0040300B">
            <w:pPr>
              <w:rPr>
                <w:rFonts w:ascii="宋体"/>
              </w:rPr>
            </w:pPr>
          </w:p>
        </w:tc>
        <w:tc>
          <w:tcPr>
            <w:tcW w:w="5" w:type="pct"/>
            <w:shd w:val="clear" w:color="auto" w:fill="auto"/>
          </w:tcPr>
          <w:p w14:paraId="7B6713C1" w14:textId="77777777" w:rsidR="0040300B" w:rsidRDefault="0040300B">
            <w:pPr>
              <w:rPr>
                <w:rFonts w:ascii="宋体"/>
              </w:rPr>
            </w:pPr>
          </w:p>
        </w:tc>
        <w:tc>
          <w:tcPr>
            <w:tcW w:w="26" w:type="pct"/>
            <w:shd w:val="clear" w:color="auto" w:fill="auto"/>
          </w:tcPr>
          <w:p w14:paraId="7B6713C2" w14:textId="77777777" w:rsidR="0040300B" w:rsidRDefault="0040300B">
            <w:pPr>
              <w:rPr>
                <w:rFonts w:ascii="宋体"/>
              </w:rPr>
            </w:pPr>
          </w:p>
        </w:tc>
        <w:tc>
          <w:tcPr>
            <w:tcW w:w="5" w:type="pct"/>
            <w:shd w:val="clear" w:color="auto" w:fill="auto"/>
          </w:tcPr>
          <w:p w14:paraId="7B6713C3" w14:textId="77777777" w:rsidR="0040300B" w:rsidRDefault="0040300B">
            <w:pPr>
              <w:rPr>
                <w:rFonts w:ascii="宋体"/>
              </w:rPr>
            </w:pPr>
          </w:p>
        </w:tc>
        <w:tc>
          <w:tcPr>
            <w:tcW w:w="50" w:type="pct"/>
            <w:shd w:val="clear" w:color="auto" w:fill="auto"/>
          </w:tcPr>
          <w:p w14:paraId="7B6713C4" w14:textId="77777777" w:rsidR="0040300B" w:rsidRDefault="0040300B">
            <w:pPr>
              <w:rPr>
                <w:rFonts w:ascii="宋体"/>
              </w:rPr>
            </w:pPr>
          </w:p>
        </w:tc>
        <w:tc>
          <w:tcPr>
            <w:tcW w:w="626" w:type="pct"/>
            <w:shd w:val="clear" w:color="auto" w:fill="auto"/>
          </w:tcPr>
          <w:p w14:paraId="7B6713C5" w14:textId="77777777" w:rsidR="0040300B" w:rsidRDefault="0040300B">
            <w:pPr>
              <w:rPr>
                <w:rFonts w:ascii="宋体"/>
              </w:rPr>
            </w:pPr>
          </w:p>
        </w:tc>
        <w:tc>
          <w:tcPr>
            <w:tcW w:w="5" w:type="pct"/>
            <w:shd w:val="clear" w:color="auto" w:fill="auto"/>
          </w:tcPr>
          <w:p w14:paraId="7B6713C6" w14:textId="77777777" w:rsidR="0040300B" w:rsidRDefault="0040300B">
            <w:pPr>
              <w:rPr>
                <w:rFonts w:ascii="宋体"/>
              </w:rPr>
            </w:pPr>
          </w:p>
        </w:tc>
        <w:tc>
          <w:tcPr>
            <w:tcW w:w="5" w:type="pct"/>
            <w:shd w:val="clear" w:color="auto" w:fill="auto"/>
          </w:tcPr>
          <w:p w14:paraId="7B6713C7" w14:textId="77777777" w:rsidR="0040300B" w:rsidRDefault="0040300B">
            <w:pPr>
              <w:rPr>
                <w:rFonts w:ascii="宋体"/>
              </w:rPr>
            </w:pPr>
          </w:p>
        </w:tc>
        <w:tc>
          <w:tcPr>
            <w:tcW w:w="26" w:type="pct"/>
            <w:shd w:val="clear" w:color="auto" w:fill="auto"/>
          </w:tcPr>
          <w:p w14:paraId="7B6713C8" w14:textId="77777777" w:rsidR="0040300B" w:rsidRDefault="0040300B">
            <w:pPr>
              <w:rPr>
                <w:rFonts w:ascii="宋体"/>
              </w:rPr>
            </w:pPr>
          </w:p>
        </w:tc>
        <w:tc>
          <w:tcPr>
            <w:tcW w:w="5" w:type="pct"/>
            <w:shd w:val="clear" w:color="auto" w:fill="auto"/>
          </w:tcPr>
          <w:p w14:paraId="7B6713C9" w14:textId="77777777" w:rsidR="0040300B" w:rsidRDefault="0040300B">
            <w:pPr>
              <w:rPr>
                <w:rFonts w:ascii="宋体"/>
              </w:rPr>
            </w:pPr>
          </w:p>
        </w:tc>
        <w:tc>
          <w:tcPr>
            <w:tcW w:w="50" w:type="pct"/>
            <w:shd w:val="clear" w:color="auto" w:fill="auto"/>
          </w:tcPr>
          <w:p w14:paraId="7B6713CA" w14:textId="77777777" w:rsidR="0040300B" w:rsidRDefault="0040300B">
            <w:pPr>
              <w:rPr>
                <w:rFonts w:ascii="宋体"/>
              </w:rPr>
            </w:pPr>
          </w:p>
        </w:tc>
        <w:tc>
          <w:tcPr>
            <w:tcW w:w="626" w:type="pct"/>
            <w:shd w:val="clear" w:color="auto" w:fill="auto"/>
          </w:tcPr>
          <w:p w14:paraId="7B6713CB" w14:textId="77777777" w:rsidR="0040300B" w:rsidRDefault="0040300B">
            <w:pPr>
              <w:rPr>
                <w:rFonts w:ascii="宋体"/>
              </w:rPr>
            </w:pPr>
          </w:p>
        </w:tc>
        <w:tc>
          <w:tcPr>
            <w:tcW w:w="5" w:type="pct"/>
            <w:shd w:val="clear" w:color="auto" w:fill="auto"/>
          </w:tcPr>
          <w:p w14:paraId="7B6713CC" w14:textId="77777777" w:rsidR="0040300B" w:rsidRDefault="0040300B">
            <w:pPr>
              <w:rPr>
                <w:rFonts w:ascii="宋体"/>
              </w:rPr>
            </w:pPr>
          </w:p>
        </w:tc>
      </w:tr>
      <w:tr w:rsidR="0040300B" w14:paraId="7B6713D4" w14:textId="77777777">
        <w:tc>
          <w:tcPr>
            <w:tcW w:w="0" w:type="auto"/>
            <w:gridSpan w:val="3"/>
            <w:shd w:val="clear" w:color="auto" w:fill="auto"/>
            <w:tcMar>
              <w:top w:w="40" w:type="dxa"/>
              <w:left w:w="20" w:type="dxa"/>
              <w:bottom w:w="40" w:type="dxa"/>
              <w:right w:w="20" w:type="dxa"/>
            </w:tcMar>
            <w:vAlign w:val="bottom"/>
          </w:tcPr>
          <w:p w14:paraId="7B6713CE"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3CF"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3D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3D1"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3D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3D3"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3E1" w14:textId="77777777">
        <w:tc>
          <w:tcPr>
            <w:tcW w:w="0" w:type="auto"/>
            <w:gridSpan w:val="3"/>
            <w:shd w:val="clear" w:color="auto" w:fill="CCEEFF"/>
            <w:tcMar>
              <w:top w:w="40" w:type="dxa"/>
              <w:left w:w="20" w:type="dxa"/>
              <w:bottom w:w="40" w:type="dxa"/>
              <w:right w:w="20" w:type="dxa"/>
            </w:tcMar>
            <w:vAlign w:val="bottom"/>
          </w:tcPr>
          <w:p w14:paraId="7B6713D5" w14:textId="77777777" w:rsidR="0040300B" w:rsidRDefault="00BB2D44">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3D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3D7" w14:textId="77777777" w:rsidR="0040300B" w:rsidRDefault="00BB2D44">
            <w:pPr>
              <w:jc w:val="right"/>
              <w:textAlignment w:val="bottom"/>
            </w:pPr>
            <w:r>
              <w:rPr>
                <w:rFonts w:ascii="Times New Roman" w:eastAsia="宋体" w:hAnsi="Times New Roman"/>
                <w:color w:val="000000"/>
                <w:sz w:val="20"/>
                <w:szCs w:val="20"/>
              </w:rPr>
              <w:t>7,350 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D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3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3DB" w14:textId="77777777" w:rsidR="0040300B" w:rsidRDefault="00BB2D44">
            <w:pPr>
              <w:jc w:val="right"/>
              <w:textAlignment w:val="bottom"/>
            </w:pPr>
            <w:r>
              <w:rPr>
                <w:rFonts w:ascii="Times New Roman" w:eastAsia="宋体" w:hAnsi="Times New Roman"/>
                <w:color w:val="000000"/>
                <w:sz w:val="20"/>
                <w:szCs w:val="20"/>
              </w:rPr>
              <w:t>11,809 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D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D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3D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3DF" w14:textId="77777777" w:rsidR="0040300B" w:rsidRDefault="00BB2D44">
            <w:pPr>
              <w:jc w:val="right"/>
              <w:textAlignment w:val="bottom"/>
            </w:pPr>
            <w:r>
              <w:rPr>
                <w:rFonts w:ascii="Times New Roman" w:eastAsia="宋体" w:hAnsi="Times New Roman"/>
                <w:color w:val="000000"/>
                <w:sz w:val="20"/>
                <w:szCs w:val="20"/>
              </w:rPr>
              <w:t>(4,459)</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3E0" w14:textId="77777777" w:rsidR="0040300B" w:rsidRDefault="0040300B">
            <w:pPr>
              <w:jc w:val="right"/>
              <w:rPr>
                <w:rFonts w:ascii="宋体"/>
              </w:rPr>
            </w:pPr>
          </w:p>
        </w:tc>
      </w:tr>
      <w:tr w:rsidR="0040300B" w14:paraId="7B6713EB" w14:textId="77777777">
        <w:tc>
          <w:tcPr>
            <w:tcW w:w="0" w:type="auto"/>
            <w:gridSpan w:val="3"/>
            <w:shd w:val="clear" w:color="auto" w:fill="FFFFFF"/>
            <w:tcMar>
              <w:top w:w="40" w:type="dxa"/>
              <w:left w:w="20" w:type="dxa"/>
              <w:bottom w:w="40" w:type="dxa"/>
              <w:right w:w="20" w:type="dxa"/>
            </w:tcMar>
            <w:vAlign w:val="bottom"/>
          </w:tcPr>
          <w:p w14:paraId="7B6713E2" w14:textId="77777777" w:rsidR="0040300B" w:rsidRDefault="00BB2D44">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7B6713E3" w14:textId="77777777" w:rsidR="0040300B" w:rsidRDefault="00BB2D44">
            <w:pPr>
              <w:jc w:val="right"/>
              <w:textAlignment w:val="bottom"/>
            </w:pPr>
            <w:r>
              <w:rPr>
                <w:rFonts w:ascii="Times New Roman" w:eastAsia="宋体" w:hAnsi="Times New Roman"/>
                <w:color w:val="000000"/>
                <w:sz w:val="20"/>
                <w:szCs w:val="20"/>
              </w:rPr>
              <w:t>16,168 </w:t>
            </w:r>
          </w:p>
        </w:tc>
        <w:tc>
          <w:tcPr>
            <w:tcW w:w="0" w:type="auto"/>
            <w:shd w:val="clear" w:color="auto" w:fill="FFFFFF"/>
            <w:tcMar>
              <w:top w:w="40" w:type="dxa"/>
              <w:left w:w="0" w:type="dxa"/>
              <w:bottom w:w="40" w:type="dxa"/>
              <w:right w:w="20" w:type="dxa"/>
            </w:tcMar>
            <w:vAlign w:val="bottom"/>
          </w:tcPr>
          <w:p w14:paraId="7B6713E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E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E6" w14:textId="77777777" w:rsidR="0040300B" w:rsidRDefault="00BB2D44">
            <w:pPr>
              <w:jc w:val="right"/>
              <w:textAlignment w:val="bottom"/>
            </w:pPr>
            <w:r>
              <w:rPr>
                <w:rFonts w:ascii="Times New Roman" w:eastAsia="宋体" w:hAnsi="Times New Roman"/>
                <w:color w:val="000000"/>
                <w:sz w:val="20"/>
                <w:szCs w:val="20"/>
              </w:rPr>
              <w:t>17,610 </w:t>
            </w:r>
          </w:p>
        </w:tc>
        <w:tc>
          <w:tcPr>
            <w:tcW w:w="0" w:type="auto"/>
            <w:shd w:val="clear" w:color="auto" w:fill="FFFFFF"/>
            <w:tcMar>
              <w:top w:w="40" w:type="dxa"/>
              <w:left w:w="0" w:type="dxa"/>
              <w:bottom w:w="40" w:type="dxa"/>
              <w:right w:w="20" w:type="dxa"/>
            </w:tcMar>
            <w:vAlign w:val="bottom"/>
          </w:tcPr>
          <w:p w14:paraId="7B6713E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E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3E9" w14:textId="77777777" w:rsidR="0040300B" w:rsidRDefault="00BB2D44">
            <w:pPr>
              <w:jc w:val="right"/>
              <w:textAlignment w:val="bottom"/>
            </w:pPr>
            <w:r>
              <w:rPr>
                <w:rFonts w:ascii="Times New Roman" w:eastAsia="宋体" w:hAnsi="Times New Roman"/>
                <w:color w:val="000000"/>
                <w:sz w:val="20"/>
                <w:szCs w:val="20"/>
              </w:rPr>
              <w:t>(1,442)</w:t>
            </w:r>
          </w:p>
        </w:tc>
        <w:tc>
          <w:tcPr>
            <w:tcW w:w="0" w:type="auto"/>
            <w:shd w:val="clear" w:color="auto" w:fill="FFFFFF"/>
            <w:tcMar>
              <w:top w:w="40" w:type="dxa"/>
              <w:left w:w="0" w:type="dxa"/>
              <w:bottom w:w="40" w:type="dxa"/>
              <w:right w:w="20" w:type="dxa"/>
            </w:tcMar>
            <w:vAlign w:val="bottom"/>
          </w:tcPr>
          <w:p w14:paraId="7B6713EA" w14:textId="77777777" w:rsidR="0040300B" w:rsidRDefault="0040300B">
            <w:pPr>
              <w:jc w:val="right"/>
              <w:rPr>
                <w:rFonts w:ascii="宋体"/>
              </w:rPr>
            </w:pPr>
          </w:p>
        </w:tc>
      </w:tr>
      <w:tr w:rsidR="0040300B" w14:paraId="7B6713F5" w14:textId="77777777">
        <w:tc>
          <w:tcPr>
            <w:tcW w:w="0" w:type="auto"/>
            <w:gridSpan w:val="3"/>
            <w:shd w:val="clear" w:color="auto" w:fill="CCEEFF"/>
            <w:tcMar>
              <w:top w:w="40" w:type="dxa"/>
              <w:left w:w="20" w:type="dxa"/>
              <w:bottom w:w="40" w:type="dxa"/>
              <w:right w:w="20" w:type="dxa"/>
            </w:tcMar>
            <w:vAlign w:val="bottom"/>
          </w:tcPr>
          <w:p w14:paraId="7B6713EC" w14:textId="77777777" w:rsidR="0040300B" w:rsidRDefault="00BB2D44">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7B6713ED"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713E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E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F0"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3F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3F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3F3" w14:textId="77777777" w:rsidR="0040300B" w:rsidRDefault="00BB2D44">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7B6713F4" w14:textId="77777777" w:rsidR="0040300B" w:rsidRDefault="0040300B">
            <w:pPr>
              <w:jc w:val="right"/>
              <w:rPr>
                <w:rFonts w:ascii="宋体"/>
              </w:rPr>
            </w:pPr>
          </w:p>
        </w:tc>
      </w:tr>
      <w:tr w:rsidR="0040300B" w14:paraId="7B671402" w14:textId="77777777">
        <w:tc>
          <w:tcPr>
            <w:tcW w:w="0" w:type="auto"/>
            <w:gridSpan w:val="3"/>
            <w:shd w:val="clear" w:color="auto" w:fill="FFFFFF"/>
            <w:tcMar>
              <w:top w:w="40" w:type="dxa"/>
              <w:left w:w="245" w:type="dxa"/>
              <w:bottom w:w="40" w:type="dxa"/>
              <w:right w:w="20" w:type="dxa"/>
            </w:tcMar>
            <w:vAlign w:val="bottom"/>
          </w:tcPr>
          <w:p w14:paraId="7B6713F6"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3F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3F8" w14:textId="77777777" w:rsidR="0040300B" w:rsidRDefault="00BB2D44">
            <w:pPr>
              <w:jc w:val="right"/>
              <w:textAlignment w:val="bottom"/>
            </w:pPr>
            <w:r>
              <w:rPr>
                <w:rFonts w:ascii="Times New Roman" w:eastAsia="宋体" w:hAnsi="Times New Roman"/>
                <w:color w:val="000000"/>
                <w:sz w:val="20"/>
                <w:szCs w:val="20"/>
              </w:rPr>
              <w:t>23,579 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3F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FA"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3FB"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3FC" w14:textId="77777777" w:rsidR="0040300B" w:rsidRDefault="00BB2D44">
            <w:pPr>
              <w:jc w:val="right"/>
              <w:textAlignment w:val="bottom"/>
            </w:pPr>
            <w:r>
              <w:rPr>
                <w:rFonts w:ascii="Times New Roman" w:eastAsia="宋体" w:hAnsi="Times New Roman"/>
                <w:color w:val="000000"/>
                <w:sz w:val="20"/>
                <w:szCs w:val="20"/>
              </w:rPr>
              <w:t>29,419 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3FD"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3FE"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3F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400" w14:textId="77777777" w:rsidR="0040300B" w:rsidRDefault="00BB2D44">
            <w:pPr>
              <w:jc w:val="right"/>
              <w:textAlignment w:val="bottom"/>
            </w:pPr>
            <w:r>
              <w:rPr>
                <w:rFonts w:ascii="Times New Roman" w:eastAsia="宋体" w:hAnsi="Times New Roman"/>
                <w:color w:val="000000"/>
                <w:sz w:val="20"/>
                <w:szCs w:val="20"/>
              </w:rPr>
              <w:t>(5,840)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401" w14:textId="77777777" w:rsidR="0040300B" w:rsidRDefault="0040300B">
            <w:pPr>
              <w:jc w:val="right"/>
              <w:rPr>
                <w:rFonts w:ascii="宋体"/>
              </w:rPr>
            </w:pPr>
          </w:p>
        </w:tc>
      </w:tr>
    </w:tbl>
    <w:p w14:paraId="7B671403" w14:textId="77777777" w:rsidR="0040300B" w:rsidRDefault="00BB2D44">
      <w:pPr>
        <w:spacing w:before="120"/>
        <w:jc w:val="both"/>
      </w:pPr>
      <w:r>
        <w:rPr>
          <w:rFonts w:ascii="Times New Roman" w:eastAsia="宋体" w:hAnsi="Times New Roman"/>
          <w:color w:val="000000"/>
          <w:sz w:val="20"/>
          <w:szCs w:val="20"/>
        </w:rPr>
        <w:t>The net decrease in cash and cash equivalents and investments in the first nine months of fiscal 2021 was driven by net cash paid for acquisitions and divestitures of $6.3 billion; cash retur</w:t>
      </w:r>
      <w:r>
        <w:rPr>
          <w:rFonts w:ascii="Times New Roman" w:eastAsia="宋体" w:hAnsi="Times New Roman"/>
          <w:color w:val="000000"/>
          <w:sz w:val="20"/>
          <w:szCs w:val="20"/>
        </w:rPr>
        <w:t xml:space="preserve">ned to stockholders in the form of repurchases of common stock of $2.1 billion, and cash dividends of $4.6 billion; net decrease in debt of $3.0 billion and capital expenditures of $0.5 billion. These uses of cash were partially offset by cash provided by </w:t>
      </w:r>
      <w:r>
        <w:rPr>
          <w:rFonts w:ascii="Times New Roman" w:eastAsia="宋体" w:hAnsi="Times New Roman"/>
          <w:color w:val="000000"/>
          <w:sz w:val="20"/>
          <w:szCs w:val="20"/>
        </w:rPr>
        <w:t>operating activities of $11.0 billion.</w:t>
      </w:r>
    </w:p>
    <w:p w14:paraId="7B671404" w14:textId="77777777" w:rsidR="0040300B" w:rsidRDefault="00BB2D44">
      <w:pPr>
        <w:spacing w:before="90"/>
        <w:jc w:val="both"/>
      </w:pPr>
      <w:r>
        <w:rPr>
          <w:rFonts w:ascii="Times New Roman" w:eastAsia="宋体" w:hAnsi="Times New Roman"/>
          <w:color w:val="000000"/>
          <w:sz w:val="20"/>
          <w:szCs w:val="20"/>
        </w:rPr>
        <w:t xml:space="preserve">In addition to cash requirements in the normal course of business, we have approximately $0.7 billion of the U.S. transition tax on accumulated earnings for foreign subsidiaries that is payable in less than one year. </w:t>
      </w:r>
      <w:r>
        <w:rPr>
          <w:rFonts w:ascii="Times New Roman" w:eastAsia="宋体" w:hAnsi="Times New Roman"/>
          <w:color w:val="000000"/>
          <w:sz w:val="20"/>
          <w:szCs w:val="20"/>
        </w:rPr>
        <w:t>Also, $2.0 billion of long-term debt outstanding at May 1, 2021 will mature within the next 12 months from the balance sheet date. See further discussion of liquidity under “Liquidity and Capital Resource Requirements” below.</w:t>
      </w:r>
    </w:p>
    <w:p w14:paraId="7B671405" w14:textId="77777777" w:rsidR="0040300B" w:rsidRDefault="00BB2D44">
      <w:pPr>
        <w:spacing w:before="120"/>
        <w:jc w:val="both"/>
      </w:pPr>
      <w:r>
        <w:rPr>
          <w:rFonts w:ascii="Times New Roman" w:eastAsia="宋体" w:hAnsi="Times New Roman"/>
          <w:color w:val="000000"/>
          <w:sz w:val="20"/>
          <w:szCs w:val="20"/>
        </w:rPr>
        <w:t>We maintain an investment port</w:t>
      </w:r>
      <w:r>
        <w:rPr>
          <w:rFonts w:ascii="Times New Roman" w:eastAsia="宋体" w:hAnsi="Times New Roman"/>
          <w:color w:val="000000"/>
          <w:sz w:val="20"/>
          <w:szCs w:val="20"/>
        </w:rPr>
        <w:t>folio of various holdings, types, and maturities. We classify our investments as short-term investments based on their nature and their availability for use in current operations. We believe the overall credit quality of our portfolio is strong, with our c</w:t>
      </w:r>
      <w:r>
        <w:rPr>
          <w:rFonts w:ascii="Times New Roman" w:eastAsia="宋体" w:hAnsi="Times New Roman"/>
          <w:color w:val="000000"/>
          <w:sz w:val="20"/>
          <w:szCs w:val="20"/>
        </w:rPr>
        <w:t>ash equivalents and our available-for-sale debt investment portfolio consisting primarily of high quality investment-grade securities. We believe that our strong cash and cash equivalents and investments position is critical at this time of uncertainty due</w:t>
      </w:r>
      <w:r>
        <w:rPr>
          <w:rFonts w:ascii="Times New Roman" w:eastAsia="宋体" w:hAnsi="Times New Roman"/>
          <w:color w:val="000000"/>
          <w:sz w:val="20"/>
          <w:szCs w:val="20"/>
        </w:rPr>
        <w:t xml:space="preserve"> to the COVID-19 pandemic and allows us to use our cash resources for strategic investments to gain access to new technologies, for acquisitions, for customer financing activities, for working capital needs, and for the repurchase of shares of common stock</w:t>
      </w:r>
      <w:r>
        <w:rPr>
          <w:rFonts w:ascii="Times New Roman" w:eastAsia="宋体" w:hAnsi="Times New Roman"/>
          <w:color w:val="000000"/>
          <w:sz w:val="20"/>
          <w:szCs w:val="20"/>
        </w:rPr>
        <w:t xml:space="preserve"> and payment of dividends as discussed below. </w:t>
      </w:r>
    </w:p>
    <w:p w14:paraId="7B671406" w14:textId="77777777" w:rsidR="0040300B" w:rsidRDefault="00BB2D44">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available-for-sale debt investments. These transactions are accounted for as a secured lending of the securities, </w:t>
      </w:r>
      <w:r>
        <w:rPr>
          <w:rFonts w:ascii="Times New Roman" w:eastAsia="宋体" w:hAnsi="Times New Roman"/>
          <w:color w:val="000000"/>
          <w:sz w:val="20"/>
          <w:szCs w:val="20"/>
        </w:rPr>
        <w:t>and the securities are typically loaned only on an overnight basis. We require collateral equal to at least 102% of the fair market value of the loaned security and that the collateral be in the form of cash or liquid, high-quality assets. We engage in the</w:t>
      </w:r>
      <w:r>
        <w:rPr>
          <w:rFonts w:ascii="Times New Roman" w:eastAsia="宋体" w:hAnsi="Times New Roman"/>
          <w:color w:val="000000"/>
          <w:sz w:val="20"/>
          <w:szCs w:val="20"/>
        </w:rPr>
        <w:t>se secured lending transactions only with highly creditworthy counterparties, and the associated portfolio custodian has agreed to indemnify us against collateral losses. We did not experience any losses in connection with the secured lending of securities</w:t>
      </w:r>
      <w:r>
        <w:rPr>
          <w:rFonts w:ascii="Times New Roman" w:eastAsia="宋体" w:hAnsi="Times New Roman"/>
          <w:color w:val="000000"/>
          <w:sz w:val="20"/>
          <w:szCs w:val="20"/>
        </w:rPr>
        <w:t xml:space="preserve"> during the periods presented. </w:t>
      </w:r>
    </w:p>
    <w:p w14:paraId="7B671407" w14:textId="77777777" w:rsidR="0040300B" w:rsidRDefault="00BB2D44">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intend to return a minimum of 50% of our free cash flow annually to our stockholders through cash dividends and repurchases of common stock</w:t>
      </w:r>
      <w:r>
        <w:rPr>
          <w:rFonts w:ascii="Times New Roman" w:eastAsia="宋体" w:hAnsi="Times New Roman"/>
          <w:color w:val="000000"/>
          <w:sz w:val="20"/>
          <w:szCs w:val="20"/>
        </w:rPr>
        <w:t>.</w:t>
      </w:r>
    </w:p>
    <w:p w14:paraId="7B671408" w14:textId="77777777" w:rsidR="0040300B" w:rsidRDefault="00BB2D44">
      <w:pPr>
        <w:spacing w:before="120"/>
        <w:jc w:val="both"/>
      </w:pPr>
      <w:r>
        <w:rPr>
          <w:rFonts w:ascii="Times New Roman" w:eastAsia="宋体" w:hAnsi="Times New Roman"/>
          <w:color w:val="000000"/>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40300B" w14:paraId="7B671415" w14:textId="77777777">
        <w:trPr>
          <w:jc w:val="center"/>
        </w:trPr>
        <w:tc>
          <w:tcPr>
            <w:tcW w:w="50" w:type="pct"/>
            <w:shd w:val="clear" w:color="auto" w:fill="auto"/>
          </w:tcPr>
          <w:p w14:paraId="7B671409" w14:textId="77777777" w:rsidR="0040300B" w:rsidRDefault="0040300B">
            <w:pPr>
              <w:rPr>
                <w:rFonts w:ascii="宋体"/>
              </w:rPr>
            </w:pPr>
          </w:p>
        </w:tc>
        <w:tc>
          <w:tcPr>
            <w:tcW w:w="3546" w:type="pct"/>
            <w:shd w:val="clear" w:color="auto" w:fill="auto"/>
          </w:tcPr>
          <w:p w14:paraId="7B67140A" w14:textId="77777777" w:rsidR="0040300B" w:rsidRDefault="0040300B">
            <w:pPr>
              <w:rPr>
                <w:rFonts w:ascii="宋体"/>
              </w:rPr>
            </w:pPr>
          </w:p>
        </w:tc>
        <w:tc>
          <w:tcPr>
            <w:tcW w:w="5" w:type="pct"/>
            <w:shd w:val="clear" w:color="auto" w:fill="auto"/>
          </w:tcPr>
          <w:p w14:paraId="7B67140B" w14:textId="77777777" w:rsidR="0040300B" w:rsidRDefault="0040300B">
            <w:pPr>
              <w:rPr>
                <w:rFonts w:ascii="宋体"/>
              </w:rPr>
            </w:pPr>
          </w:p>
        </w:tc>
        <w:tc>
          <w:tcPr>
            <w:tcW w:w="50" w:type="pct"/>
            <w:shd w:val="clear" w:color="auto" w:fill="auto"/>
          </w:tcPr>
          <w:p w14:paraId="7B67140C" w14:textId="77777777" w:rsidR="0040300B" w:rsidRDefault="0040300B">
            <w:pPr>
              <w:rPr>
                <w:rFonts w:ascii="宋体"/>
              </w:rPr>
            </w:pPr>
          </w:p>
        </w:tc>
        <w:tc>
          <w:tcPr>
            <w:tcW w:w="625" w:type="pct"/>
            <w:shd w:val="clear" w:color="auto" w:fill="auto"/>
          </w:tcPr>
          <w:p w14:paraId="7B67140D" w14:textId="77777777" w:rsidR="0040300B" w:rsidRDefault="0040300B">
            <w:pPr>
              <w:rPr>
                <w:rFonts w:ascii="宋体"/>
              </w:rPr>
            </w:pPr>
          </w:p>
        </w:tc>
        <w:tc>
          <w:tcPr>
            <w:tcW w:w="5" w:type="pct"/>
            <w:shd w:val="clear" w:color="auto" w:fill="auto"/>
          </w:tcPr>
          <w:p w14:paraId="7B67140E" w14:textId="77777777" w:rsidR="0040300B" w:rsidRDefault="0040300B">
            <w:pPr>
              <w:rPr>
                <w:rFonts w:ascii="宋体"/>
              </w:rPr>
            </w:pPr>
          </w:p>
        </w:tc>
        <w:tc>
          <w:tcPr>
            <w:tcW w:w="5" w:type="pct"/>
            <w:shd w:val="clear" w:color="auto" w:fill="auto"/>
          </w:tcPr>
          <w:p w14:paraId="7B67140F" w14:textId="77777777" w:rsidR="0040300B" w:rsidRDefault="0040300B">
            <w:pPr>
              <w:rPr>
                <w:rFonts w:ascii="宋体"/>
              </w:rPr>
            </w:pPr>
          </w:p>
        </w:tc>
        <w:tc>
          <w:tcPr>
            <w:tcW w:w="26" w:type="pct"/>
            <w:shd w:val="clear" w:color="auto" w:fill="auto"/>
          </w:tcPr>
          <w:p w14:paraId="7B671410" w14:textId="77777777" w:rsidR="0040300B" w:rsidRDefault="0040300B">
            <w:pPr>
              <w:rPr>
                <w:rFonts w:ascii="宋体"/>
              </w:rPr>
            </w:pPr>
          </w:p>
        </w:tc>
        <w:tc>
          <w:tcPr>
            <w:tcW w:w="5" w:type="pct"/>
            <w:shd w:val="clear" w:color="auto" w:fill="auto"/>
          </w:tcPr>
          <w:p w14:paraId="7B671411" w14:textId="77777777" w:rsidR="0040300B" w:rsidRDefault="0040300B">
            <w:pPr>
              <w:rPr>
                <w:rFonts w:ascii="宋体"/>
              </w:rPr>
            </w:pPr>
          </w:p>
        </w:tc>
        <w:tc>
          <w:tcPr>
            <w:tcW w:w="50" w:type="pct"/>
            <w:shd w:val="clear" w:color="auto" w:fill="auto"/>
          </w:tcPr>
          <w:p w14:paraId="7B671412" w14:textId="77777777" w:rsidR="0040300B" w:rsidRDefault="0040300B">
            <w:pPr>
              <w:rPr>
                <w:rFonts w:ascii="宋体"/>
              </w:rPr>
            </w:pPr>
          </w:p>
        </w:tc>
        <w:tc>
          <w:tcPr>
            <w:tcW w:w="625" w:type="pct"/>
            <w:shd w:val="clear" w:color="auto" w:fill="auto"/>
          </w:tcPr>
          <w:p w14:paraId="7B671413" w14:textId="77777777" w:rsidR="0040300B" w:rsidRDefault="0040300B">
            <w:pPr>
              <w:rPr>
                <w:rFonts w:ascii="宋体"/>
              </w:rPr>
            </w:pPr>
          </w:p>
        </w:tc>
        <w:tc>
          <w:tcPr>
            <w:tcW w:w="5" w:type="pct"/>
            <w:shd w:val="clear" w:color="auto" w:fill="auto"/>
          </w:tcPr>
          <w:p w14:paraId="7B671414" w14:textId="77777777" w:rsidR="0040300B" w:rsidRDefault="0040300B">
            <w:pPr>
              <w:rPr>
                <w:rFonts w:ascii="宋体"/>
              </w:rPr>
            </w:pPr>
          </w:p>
        </w:tc>
      </w:tr>
      <w:tr w:rsidR="0040300B" w14:paraId="7B671418" w14:textId="77777777">
        <w:trPr>
          <w:jc w:val="center"/>
        </w:trPr>
        <w:tc>
          <w:tcPr>
            <w:tcW w:w="0" w:type="auto"/>
            <w:gridSpan w:val="3"/>
            <w:shd w:val="clear" w:color="auto" w:fill="auto"/>
            <w:tcMar>
              <w:top w:w="0" w:type="dxa"/>
              <w:left w:w="20" w:type="dxa"/>
              <w:bottom w:w="0" w:type="dxa"/>
              <w:right w:w="20" w:type="dxa"/>
            </w:tcMar>
          </w:tcPr>
          <w:p w14:paraId="7B671416"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417" w14:textId="77777777" w:rsidR="0040300B" w:rsidRDefault="00BB2D44">
            <w:pPr>
              <w:jc w:val="center"/>
              <w:textAlignment w:val="bottom"/>
            </w:pPr>
            <w:r>
              <w:rPr>
                <w:rFonts w:ascii="Times New Roman" w:eastAsia="宋体" w:hAnsi="Times New Roman"/>
                <w:color w:val="000000"/>
                <w:sz w:val="18"/>
                <w:szCs w:val="18"/>
              </w:rPr>
              <w:t xml:space="preserve">Nine </w:t>
            </w:r>
            <w:r>
              <w:rPr>
                <w:rFonts w:ascii="Times New Roman" w:eastAsia="宋体" w:hAnsi="Times New Roman"/>
                <w:color w:val="000000"/>
                <w:sz w:val="18"/>
                <w:szCs w:val="18"/>
              </w:rPr>
              <w:t>Months Ended</w:t>
            </w:r>
          </w:p>
        </w:tc>
      </w:tr>
      <w:tr w:rsidR="0040300B" w14:paraId="7B67141D" w14:textId="77777777">
        <w:trPr>
          <w:jc w:val="center"/>
        </w:trPr>
        <w:tc>
          <w:tcPr>
            <w:tcW w:w="0" w:type="auto"/>
            <w:gridSpan w:val="3"/>
            <w:shd w:val="clear" w:color="auto" w:fill="auto"/>
            <w:tcMar>
              <w:top w:w="0" w:type="dxa"/>
              <w:left w:w="20" w:type="dxa"/>
              <w:bottom w:w="0" w:type="dxa"/>
              <w:right w:w="20" w:type="dxa"/>
            </w:tcMar>
          </w:tcPr>
          <w:p w14:paraId="7B671419"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1A"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B67141B"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1C" w14:textId="77777777" w:rsidR="0040300B" w:rsidRDefault="00BB2D44">
            <w:pPr>
              <w:jc w:val="center"/>
              <w:textAlignment w:val="bottom"/>
            </w:pPr>
            <w:r>
              <w:rPr>
                <w:rFonts w:ascii="Times New Roman" w:eastAsia="宋体" w:hAnsi="Times New Roman"/>
                <w:color w:val="000000"/>
                <w:sz w:val="18"/>
                <w:szCs w:val="18"/>
              </w:rPr>
              <w:t>April 25,</w:t>
            </w:r>
            <w:r>
              <w:rPr>
                <w:rFonts w:ascii="Times New Roman" w:eastAsia="宋体" w:hAnsi="Times New Roman"/>
                <w:color w:val="000000"/>
                <w:sz w:val="18"/>
                <w:szCs w:val="18"/>
              </w:rPr>
              <w:br/>
              <w:t>2020</w:t>
            </w:r>
          </w:p>
        </w:tc>
      </w:tr>
      <w:tr w:rsidR="0040300B" w14:paraId="7B671426" w14:textId="77777777">
        <w:trPr>
          <w:jc w:val="center"/>
        </w:trPr>
        <w:tc>
          <w:tcPr>
            <w:tcW w:w="0" w:type="auto"/>
            <w:gridSpan w:val="3"/>
            <w:shd w:val="clear" w:color="auto" w:fill="CCEEFF"/>
            <w:tcMar>
              <w:top w:w="40" w:type="dxa"/>
              <w:left w:w="20" w:type="dxa"/>
              <w:bottom w:w="40" w:type="dxa"/>
              <w:right w:w="20" w:type="dxa"/>
            </w:tcMar>
            <w:vAlign w:val="bottom"/>
          </w:tcPr>
          <w:p w14:paraId="7B67141E" w14:textId="77777777" w:rsidR="0040300B" w:rsidRDefault="00BB2D44">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41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420" w14:textId="77777777" w:rsidR="0040300B" w:rsidRDefault="00BB2D44">
            <w:pPr>
              <w:jc w:val="right"/>
              <w:textAlignment w:val="bottom"/>
            </w:pPr>
            <w:r>
              <w:rPr>
                <w:rFonts w:ascii="Times New Roman" w:eastAsia="宋体" w:hAnsi="Times New Roman"/>
                <w:color w:val="000000"/>
                <w:sz w:val="20"/>
                <w:szCs w:val="20"/>
              </w:rPr>
              <w:t>10,950 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42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2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42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424" w14:textId="77777777" w:rsidR="0040300B" w:rsidRDefault="00BB2D44">
            <w:pPr>
              <w:jc w:val="right"/>
              <w:textAlignment w:val="bottom"/>
            </w:pPr>
            <w:r>
              <w:rPr>
                <w:rFonts w:ascii="Times New Roman" w:eastAsia="宋体" w:hAnsi="Times New Roman"/>
                <w:color w:val="000000"/>
                <w:sz w:val="20"/>
                <w:szCs w:val="20"/>
              </w:rPr>
              <w:t>11,624 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425" w14:textId="77777777" w:rsidR="0040300B" w:rsidRDefault="0040300B">
            <w:pPr>
              <w:jc w:val="right"/>
              <w:rPr>
                <w:rFonts w:ascii="宋体"/>
              </w:rPr>
            </w:pPr>
          </w:p>
        </w:tc>
      </w:tr>
      <w:tr w:rsidR="0040300B" w14:paraId="7B67142D" w14:textId="77777777">
        <w:trPr>
          <w:jc w:val="center"/>
        </w:trPr>
        <w:tc>
          <w:tcPr>
            <w:tcW w:w="0" w:type="auto"/>
            <w:gridSpan w:val="3"/>
            <w:shd w:val="clear" w:color="auto" w:fill="FFFFFF"/>
            <w:tcMar>
              <w:top w:w="40" w:type="dxa"/>
              <w:left w:w="20" w:type="dxa"/>
              <w:bottom w:w="40" w:type="dxa"/>
              <w:right w:w="20" w:type="dxa"/>
            </w:tcMar>
            <w:vAlign w:val="bottom"/>
          </w:tcPr>
          <w:p w14:paraId="7B671427" w14:textId="77777777" w:rsidR="0040300B" w:rsidRDefault="00BB2D44">
            <w:pPr>
              <w:textAlignment w:val="bottom"/>
            </w:pPr>
            <w:r>
              <w:rPr>
                <w:rFonts w:ascii="Times New Roman" w:eastAsia="宋体" w:hAnsi="Times New Roman"/>
                <w:color w:val="000000"/>
                <w:sz w:val="20"/>
                <w:szCs w:val="20"/>
              </w:rPr>
              <w:t>Acquisition of property and equipment</w:t>
            </w:r>
          </w:p>
        </w:tc>
        <w:tc>
          <w:tcPr>
            <w:tcW w:w="0" w:type="auto"/>
            <w:gridSpan w:val="2"/>
            <w:shd w:val="clear" w:color="auto" w:fill="FFFFFF"/>
            <w:tcMar>
              <w:top w:w="40" w:type="dxa"/>
              <w:left w:w="20" w:type="dxa"/>
              <w:bottom w:w="40" w:type="dxa"/>
              <w:right w:w="0" w:type="dxa"/>
            </w:tcMar>
            <w:vAlign w:val="bottom"/>
          </w:tcPr>
          <w:p w14:paraId="7B671428" w14:textId="77777777" w:rsidR="0040300B" w:rsidRDefault="00BB2D44">
            <w:pPr>
              <w:jc w:val="right"/>
              <w:textAlignment w:val="bottom"/>
            </w:pPr>
            <w:r>
              <w:rPr>
                <w:rFonts w:ascii="Times New Roman" w:eastAsia="宋体" w:hAnsi="Times New Roman"/>
                <w:color w:val="000000"/>
                <w:sz w:val="20"/>
                <w:szCs w:val="20"/>
              </w:rPr>
              <w:t>(530)</w:t>
            </w:r>
          </w:p>
        </w:tc>
        <w:tc>
          <w:tcPr>
            <w:tcW w:w="0" w:type="auto"/>
            <w:shd w:val="clear" w:color="auto" w:fill="FFFFFF"/>
            <w:tcMar>
              <w:top w:w="40" w:type="dxa"/>
              <w:left w:w="0" w:type="dxa"/>
              <w:bottom w:w="40" w:type="dxa"/>
              <w:right w:w="20" w:type="dxa"/>
            </w:tcMar>
            <w:vAlign w:val="bottom"/>
          </w:tcPr>
          <w:p w14:paraId="7B67142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2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42B" w14:textId="77777777" w:rsidR="0040300B" w:rsidRDefault="00BB2D44">
            <w:pPr>
              <w:jc w:val="right"/>
              <w:textAlignment w:val="bottom"/>
            </w:pPr>
            <w:r>
              <w:rPr>
                <w:rFonts w:ascii="Times New Roman" w:eastAsia="宋体" w:hAnsi="Times New Roman"/>
                <w:color w:val="000000"/>
                <w:sz w:val="20"/>
                <w:szCs w:val="20"/>
              </w:rPr>
              <w:t>(562)</w:t>
            </w:r>
          </w:p>
        </w:tc>
        <w:tc>
          <w:tcPr>
            <w:tcW w:w="0" w:type="auto"/>
            <w:shd w:val="clear" w:color="auto" w:fill="FFFFFF"/>
            <w:tcMar>
              <w:top w:w="40" w:type="dxa"/>
              <w:left w:w="0" w:type="dxa"/>
              <w:bottom w:w="40" w:type="dxa"/>
              <w:right w:w="20" w:type="dxa"/>
            </w:tcMar>
            <w:vAlign w:val="bottom"/>
          </w:tcPr>
          <w:p w14:paraId="7B67142C" w14:textId="77777777" w:rsidR="0040300B" w:rsidRDefault="0040300B">
            <w:pPr>
              <w:jc w:val="right"/>
              <w:rPr>
                <w:rFonts w:ascii="宋体"/>
              </w:rPr>
            </w:pPr>
          </w:p>
        </w:tc>
      </w:tr>
      <w:tr w:rsidR="0040300B" w14:paraId="7B671436" w14:textId="77777777">
        <w:trPr>
          <w:jc w:val="center"/>
        </w:trPr>
        <w:tc>
          <w:tcPr>
            <w:tcW w:w="0" w:type="auto"/>
            <w:gridSpan w:val="3"/>
            <w:shd w:val="clear" w:color="auto" w:fill="CCEEFF"/>
            <w:tcMar>
              <w:top w:w="40" w:type="dxa"/>
              <w:left w:w="20" w:type="dxa"/>
              <w:bottom w:w="40" w:type="dxa"/>
              <w:right w:w="20" w:type="dxa"/>
            </w:tcMar>
            <w:vAlign w:val="bottom"/>
          </w:tcPr>
          <w:p w14:paraId="7B67142E" w14:textId="77777777" w:rsidR="0040300B" w:rsidRDefault="00BB2D44">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42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430" w14:textId="77777777" w:rsidR="0040300B" w:rsidRDefault="00BB2D44">
            <w:pPr>
              <w:jc w:val="right"/>
              <w:textAlignment w:val="bottom"/>
            </w:pPr>
            <w:r>
              <w:rPr>
                <w:rFonts w:ascii="Times New Roman" w:eastAsia="宋体" w:hAnsi="Times New Roman"/>
                <w:color w:val="000000"/>
                <w:sz w:val="20"/>
                <w:szCs w:val="20"/>
              </w:rPr>
              <w:t>10,420 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4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32"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43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434" w14:textId="77777777" w:rsidR="0040300B" w:rsidRDefault="00BB2D44">
            <w:pPr>
              <w:jc w:val="right"/>
              <w:textAlignment w:val="bottom"/>
            </w:pPr>
            <w:r>
              <w:rPr>
                <w:rFonts w:ascii="Times New Roman" w:eastAsia="宋体" w:hAnsi="Times New Roman"/>
                <w:color w:val="000000"/>
                <w:sz w:val="20"/>
                <w:szCs w:val="20"/>
              </w:rPr>
              <w:t>11,062 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435" w14:textId="77777777" w:rsidR="0040300B" w:rsidRDefault="0040300B">
            <w:pPr>
              <w:jc w:val="right"/>
              <w:rPr>
                <w:rFonts w:ascii="宋体"/>
              </w:rPr>
            </w:pPr>
          </w:p>
        </w:tc>
      </w:tr>
    </w:tbl>
    <w:p w14:paraId="7B671437" w14:textId="77777777" w:rsidR="0040300B" w:rsidRDefault="00BB2D44">
      <w:pPr>
        <w:spacing w:before="120"/>
        <w:jc w:val="both"/>
      </w:pPr>
      <w:r>
        <w:rPr>
          <w:rFonts w:ascii="Times New Roman" w:eastAsia="宋体" w:hAnsi="Times New Roman"/>
          <w:color w:val="000000"/>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w:t>
      </w:r>
      <w:r>
        <w:rPr>
          <w:rFonts w:ascii="Times New Roman" w:eastAsia="宋体" w:hAnsi="Times New Roman"/>
          <w:color w:val="000000"/>
          <w:sz w:val="20"/>
          <w:szCs w:val="20"/>
        </w:rPr>
        <w:t xml:space="preserve">nt linearity), the timing and collection of accounts receivable and financing receivables, inventory and supply chain management, </w:t>
      </w:r>
    </w:p>
    <w:p w14:paraId="7B671438" w14:textId="77777777" w:rsidR="0040300B" w:rsidRDefault="00BB2D44">
      <w:pPr>
        <w:jc w:val="center"/>
      </w:pPr>
      <w:r>
        <w:rPr>
          <w:rFonts w:ascii="Times New Roman" w:eastAsia="宋体" w:hAnsi="Times New Roman"/>
          <w:color w:val="000000"/>
          <w:sz w:val="20"/>
          <w:szCs w:val="20"/>
        </w:rPr>
        <w:t>60</w:t>
      </w:r>
    </w:p>
    <w:p w14:paraId="7B671439" w14:textId="77777777" w:rsidR="0040300B" w:rsidRDefault="00BB2D44">
      <w:r>
        <w:pict w14:anchorId="7B671C4C">
          <v:rect id="_x0000_i1084" style="width:415.3pt;height:1.5pt" o:hralign="center" o:hrstd="t" o:hr="t" fillcolor="#a0a0a0" stroked="f"/>
        </w:pict>
      </w:r>
    </w:p>
    <w:p w14:paraId="7B67143A" w14:textId="77777777" w:rsidR="0040300B" w:rsidRDefault="00BB2D44">
      <w:hyperlink r:id="rId106"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43B" w14:textId="77777777" w:rsidR="0040300B" w:rsidRDefault="00BB2D44">
      <w:pPr>
        <w:jc w:val="center"/>
      </w:pPr>
      <w:r>
        <w:rPr>
          <w:rFonts w:ascii="Times New Roman" w:eastAsia="宋体" w:hAnsi="Times New Roman"/>
          <w:b/>
          <w:bCs/>
          <w:color w:val="000000"/>
          <w:sz w:val="18"/>
          <w:szCs w:val="18"/>
        </w:rPr>
        <w:t>CISCO SYSTEMS, INC.</w:t>
      </w:r>
    </w:p>
    <w:p w14:paraId="7B67143C" w14:textId="77777777" w:rsidR="0040300B" w:rsidRDefault="00BB2D4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7B67143D" w14:textId="77777777" w:rsidR="0040300B" w:rsidRDefault="0040300B">
      <w:pPr>
        <w:jc w:val="center"/>
      </w:pPr>
    </w:p>
    <w:p w14:paraId="7B67143E" w14:textId="77777777" w:rsidR="0040300B" w:rsidRDefault="00BB2D44">
      <w:pPr>
        <w:spacing w:before="120"/>
        <w:jc w:val="both"/>
      </w:pPr>
      <w:r>
        <w:rPr>
          <w:rFonts w:ascii="Times New Roman" w:eastAsia="宋体" w:hAnsi="Times New Roman"/>
          <w:color w:val="000000"/>
          <w:sz w:val="20"/>
          <w:szCs w:val="20"/>
        </w:rPr>
        <w:t>deferred revenue, and the timing and amount of tax and other payments. For additional discussion, see “Part II, Item 1A. Risk Factors” in this report.</w:t>
      </w:r>
    </w:p>
    <w:p w14:paraId="7B67143F" w14:textId="77777777" w:rsidR="0040300B" w:rsidRDefault="00BB2D44">
      <w:pPr>
        <w:spacing w:before="120"/>
        <w:jc w:val="both"/>
      </w:pPr>
      <w:r>
        <w:rPr>
          <w:rFonts w:ascii="Times New Roman" w:eastAsia="宋体" w:hAnsi="Times New Roman"/>
          <w:color w:val="000000"/>
          <w:sz w:val="20"/>
          <w:szCs w:val="20"/>
        </w:rPr>
        <w:t>We consider free cash flow to be a liquidity measure that provides use</w:t>
      </w:r>
      <w:r>
        <w:rPr>
          <w:rFonts w:ascii="Times New Roman" w:eastAsia="宋体" w:hAnsi="Times New Roman"/>
          <w:color w:val="000000"/>
          <w:sz w:val="20"/>
          <w:szCs w:val="20"/>
        </w:rPr>
        <w:t xml:space="preserve">ful information to management and investors because of our intent to return a stated percentage of free cash flow to stockholders in the form of dividends and stock repurchases. We further regard free cash flow as a useful measure because it reflects cash </w:t>
      </w:r>
      <w:r>
        <w:rPr>
          <w:rFonts w:ascii="Times New Roman" w:eastAsia="宋体" w:hAnsi="Times New Roman"/>
          <w:color w:val="000000"/>
          <w:sz w:val="20"/>
          <w:szCs w:val="20"/>
        </w:rPr>
        <w:t>that can be used to, among other things, invest in our business, make strategic acquisitions, repurchase common stock, and pay dividends on our common stock, after deducting capital investments. A limitation of the utility of free cash flow as a measure of</w:t>
      </w:r>
      <w:r>
        <w:rPr>
          <w:rFonts w:ascii="Times New Roman" w:eastAsia="宋体" w:hAnsi="Times New Roman"/>
          <w:color w:val="000000"/>
          <w:sz w:val="20"/>
          <w:szCs w:val="20"/>
        </w:rPr>
        <w:t xml:space="preserve"> financial performance and liquidity is that the free cash flow does not represent the total increase or decrease in our cash balance for the period. In addition, we have other required uses of cash, including repaying the principal of our outstanding inde</w:t>
      </w:r>
      <w:r>
        <w:rPr>
          <w:rFonts w:ascii="Times New Roman" w:eastAsia="宋体" w:hAnsi="Times New Roman"/>
          <w:color w:val="000000"/>
          <w:sz w:val="20"/>
          <w:szCs w:val="20"/>
        </w:rPr>
        <w:t>btedness. Free cash flow is not a measure calculated in accordance with U.S. generally accepted accounting principles and should not be regarded in isolation or as an alternative for net cash provided by operating activities or any other measure calculated</w:t>
      </w:r>
      <w:r>
        <w:rPr>
          <w:rFonts w:ascii="Times New Roman" w:eastAsia="宋体" w:hAnsi="Times New Roman"/>
          <w:color w:val="000000"/>
          <w:sz w:val="20"/>
          <w:szCs w:val="20"/>
        </w:rPr>
        <w:t xml:space="preserve"> in accordance with such principles, and other companies may calculate free cash flow in a different manner than we do. </w:t>
      </w:r>
    </w:p>
    <w:p w14:paraId="7B671440" w14:textId="77777777" w:rsidR="0040300B" w:rsidRDefault="00BB2D44">
      <w:pPr>
        <w:spacing w:before="120"/>
        <w:jc w:val="both"/>
      </w:pPr>
      <w:r>
        <w:rPr>
          <w:rFonts w:ascii="Times New Roman" w:eastAsia="宋体" w:hAnsi="Times New Roman"/>
          <w:color w:val="000000"/>
          <w:sz w:val="20"/>
          <w:szCs w:val="20"/>
        </w:rPr>
        <w:t>The following table summarizes the dividends paid and stock repurchases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8"/>
        <w:gridCol w:w="1582"/>
        <w:gridCol w:w="37"/>
        <w:gridCol w:w="36"/>
        <w:gridCol w:w="36"/>
        <w:gridCol w:w="36"/>
        <w:gridCol w:w="120"/>
        <w:gridCol w:w="703"/>
        <w:gridCol w:w="36"/>
        <w:gridCol w:w="36"/>
        <w:gridCol w:w="36"/>
        <w:gridCol w:w="36"/>
        <w:gridCol w:w="120"/>
        <w:gridCol w:w="848"/>
        <w:gridCol w:w="36"/>
        <w:gridCol w:w="36"/>
        <w:gridCol w:w="36"/>
        <w:gridCol w:w="36"/>
        <w:gridCol w:w="49"/>
        <w:gridCol w:w="650"/>
        <w:gridCol w:w="36"/>
        <w:gridCol w:w="36"/>
        <w:gridCol w:w="36"/>
        <w:gridCol w:w="36"/>
        <w:gridCol w:w="121"/>
        <w:gridCol w:w="1304"/>
        <w:gridCol w:w="36"/>
        <w:gridCol w:w="36"/>
        <w:gridCol w:w="36"/>
        <w:gridCol w:w="36"/>
        <w:gridCol w:w="121"/>
        <w:gridCol w:w="794"/>
        <w:gridCol w:w="37"/>
        <w:gridCol w:w="36"/>
        <w:gridCol w:w="36"/>
        <w:gridCol w:w="36"/>
        <w:gridCol w:w="120"/>
        <w:gridCol w:w="852"/>
        <w:gridCol w:w="36"/>
      </w:tblGrid>
      <w:tr w:rsidR="0040300B" w14:paraId="7B671468" w14:textId="77777777">
        <w:tc>
          <w:tcPr>
            <w:tcW w:w="50" w:type="pct"/>
            <w:shd w:val="clear" w:color="auto" w:fill="auto"/>
          </w:tcPr>
          <w:p w14:paraId="7B671441" w14:textId="77777777" w:rsidR="0040300B" w:rsidRDefault="0040300B">
            <w:pPr>
              <w:rPr>
                <w:rFonts w:ascii="宋体"/>
              </w:rPr>
            </w:pPr>
          </w:p>
        </w:tc>
        <w:tc>
          <w:tcPr>
            <w:tcW w:w="999" w:type="pct"/>
            <w:shd w:val="clear" w:color="auto" w:fill="auto"/>
          </w:tcPr>
          <w:p w14:paraId="7B671442" w14:textId="77777777" w:rsidR="0040300B" w:rsidRDefault="0040300B">
            <w:pPr>
              <w:rPr>
                <w:rFonts w:ascii="宋体"/>
              </w:rPr>
            </w:pPr>
          </w:p>
        </w:tc>
        <w:tc>
          <w:tcPr>
            <w:tcW w:w="5" w:type="pct"/>
            <w:shd w:val="clear" w:color="auto" w:fill="auto"/>
          </w:tcPr>
          <w:p w14:paraId="7B671443" w14:textId="77777777" w:rsidR="0040300B" w:rsidRDefault="0040300B">
            <w:pPr>
              <w:rPr>
                <w:rFonts w:ascii="宋体"/>
              </w:rPr>
            </w:pPr>
          </w:p>
        </w:tc>
        <w:tc>
          <w:tcPr>
            <w:tcW w:w="5" w:type="pct"/>
            <w:shd w:val="clear" w:color="auto" w:fill="auto"/>
          </w:tcPr>
          <w:p w14:paraId="7B671444" w14:textId="77777777" w:rsidR="0040300B" w:rsidRDefault="0040300B">
            <w:pPr>
              <w:rPr>
                <w:rFonts w:ascii="宋体"/>
              </w:rPr>
            </w:pPr>
          </w:p>
        </w:tc>
        <w:tc>
          <w:tcPr>
            <w:tcW w:w="26" w:type="pct"/>
            <w:shd w:val="clear" w:color="auto" w:fill="auto"/>
          </w:tcPr>
          <w:p w14:paraId="7B671445" w14:textId="77777777" w:rsidR="0040300B" w:rsidRDefault="0040300B">
            <w:pPr>
              <w:rPr>
                <w:rFonts w:ascii="宋体"/>
              </w:rPr>
            </w:pPr>
          </w:p>
        </w:tc>
        <w:tc>
          <w:tcPr>
            <w:tcW w:w="5" w:type="pct"/>
            <w:shd w:val="clear" w:color="auto" w:fill="auto"/>
          </w:tcPr>
          <w:p w14:paraId="7B671446" w14:textId="77777777" w:rsidR="0040300B" w:rsidRDefault="0040300B">
            <w:pPr>
              <w:rPr>
                <w:rFonts w:ascii="宋体"/>
              </w:rPr>
            </w:pPr>
          </w:p>
        </w:tc>
        <w:tc>
          <w:tcPr>
            <w:tcW w:w="50" w:type="pct"/>
            <w:shd w:val="clear" w:color="auto" w:fill="auto"/>
          </w:tcPr>
          <w:p w14:paraId="7B671447" w14:textId="77777777" w:rsidR="0040300B" w:rsidRDefault="0040300B">
            <w:pPr>
              <w:rPr>
                <w:rFonts w:ascii="宋体"/>
              </w:rPr>
            </w:pPr>
          </w:p>
        </w:tc>
        <w:tc>
          <w:tcPr>
            <w:tcW w:w="494" w:type="pct"/>
            <w:shd w:val="clear" w:color="auto" w:fill="auto"/>
          </w:tcPr>
          <w:p w14:paraId="7B671448" w14:textId="77777777" w:rsidR="0040300B" w:rsidRDefault="0040300B">
            <w:pPr>
              <w:rPr>
                <w:rFonts w:ascii="宋体"/>
              </w:rPr>
            </w:pPr>
          </w:p>
        </w:tc>
        <w:tc>
          <w:tcPr>
            <w:tcW w:w="5" w:type="pct"/>
            <w:shd w:val="clear" w:color="auto" w:fill="auto"/>
          </w:tcPr>
          <w:p w14:paraId="7B671449" w14:textId="77777777" w:rsidR="0040300B" w:rsidRDefault="0040300B">
            <w:pPr>
              <w:rPr>
                <w:rFonts w:ascii="宋体"/>
              </w:rPr>
            </w:pPr>
          </w:p>
        </w:tc>
        <w:tc>
          <w:tcPr>
            <w:tcW w:w="5" w:type="pct"/>
            <w:shd w:val="clear" w:color="auto" w:fill="auto"/>
          </w:tcPr>
          <w:p w14:paraId="7B67144A" w14:textId="77777777" w:rsidR="0040300B" w:rsidRDefault="0040300B">
            <w:pPr>
              <w:rPr>
                <w:rFonts w:ascii="宋体"/>
              </w:rPr>
            </w:pPr>
          </w:p>
        </w:tc>
        <w:tc>
          <w:tcPr>
            <w:tcW w:w="26" w:type="pct"/>
            <w:shd w:val="clear" w:color="auto" w:fill="auto"/>
          </w:tcPr>
          <w:p w14:paraId="7B67144B" w14:textId="77777777" w:rsidR="0040300B" w:rsidRDefault="0040300B">
            <w:pPr>
              <w:rPr>
                <w:rFonts w:ascii="宋体"/>
              </w:rPr>
            </w:pPr>
          </w:p>
        </w:tc>
        <w:tc>
          <w:tcPr>
            <w:tcW w:w="5" w:type="pct"/>
            <w:shd w:val="clear" w:color="auto" w:fill="auto"/>
          </w:tcPr>
          <w:p w14:paraId="7B67144C" w14:textId="77777777" w:rsidR="0040300B" w:rsidRDefault="0040300B">
            <w:pPr>
              <w:rPr>
                <w:rFonts w:ascii="宋体"/>
              </w:rPr>
            </w:pPr>
          </w:p>
        </w:tc>
        <w:tc>
          <w:tcPr>
            <w:tcW w:w="50" w:type="pct"/>
            <w:shd w:val="clear" w:color="auto" w:fill="auto"/>
          </w:tcPr>
          <w:p w14:paraId="7B67144D" w14:textId="77777777" w:rsidR="0040300B" w:rsidRDefault="0040300B">
            <w:pPr>
              <w:rPr>
                <w:rFonts w:ascii="宋体"/>
              </w:rPr>
            </w:pPr>
          </w:p>
        </w:tc>
        <w:tc>
          <w:tcPr>
            <w:tcW w:w="581" w:type="pct"/>
            <w:shd w:val="clear" w:color="auto" w:fill="auto"/>
          </w:tcPr>
          <w:p w14:paraId="7B67144E" w14:textId="77777777" w:rsidR="0040300B" w:rsidRDefault="0040300B">
            <w:pPr>
              <w:rPr>
                <w:rFonts w:ascii="宋体"/>
              </w:rPr>
            </w:pPr>
          </w:p>
        </w:tc>
        <w:tc>
          <w:tcPr>
            <w:tcW w:w="5" w:type="pct"/>
            <w:shd w:val="clear" w:color="auto" w:fill="auto"/>
          </w:tcPr>
          <w:p w14:paraId="7B67144F" w14:textId="77777777" w:rsidR="0040300B" w:rsidRDefault="0040300B">
            <w:pPr>
              <w:rPr>
                <w:rFonts w:ascii="宋体"/>
              </w:rPr>
            </w:pPr>
          </w:p>
        </w:tc>
        <w:tc>
          <w:tcPr>
            <w:tcW w:w="5" w:type="pct"/>
            <w:shd w:val="clear" w:color="auto" w:fill="auto"/>
          </w:tcPr>
          <w:p w14:paraId="7B671450" w14:textId="77777777" w:rsidR="0040300B" w:rsidRDefault="0040300B">
            <w:pPr>
              <w:rPr>
                <w:rFonts w:ascii="宋体"/>
              </w:rPr>
            </w:pPr>
          </w:p>
        </w:tc>
        <w:tc>
          <w:tcPr>
            <w:tcW w:w="26" w:type="pct"/>
            <w:shd w:val="clear" w:color="auto" w:fill="auto"/>
          </w:tcPr>
          <w:p w14:paraId="7B671451" w14:textId="77777777" w:rsidR="0040300B" w:rsidRDefault="0040300B">
            <w:pPr>
              <w:rPr>
                <w:rFonts w:ascii="宋体"/>
              </w:rPr>
            </w:pPr>
          </w:p>
        </w:tc>
        <w:tc>
          <w:tcPr>
            <w:tcW w:w="5" w:type="pct"/>
            <w:shd w:val="clear" w:color="auto" w:fill="auto"/>
          </w:tcPr>
          <w:p w14:paraId="7B671452" w14:textId="77777777" w:rsidR="0040300B" w:rsidRDefault="0040300B">
            <w:pPr>
              <w:rPr>
                <w:rFonts w:ascii="宋体"/>
              </w:rPr>
            </w:pPr>
          </w:p>
        </w:tc>
        <w:tc>
          <w:tcPr>
            <w:tcW w:w="50" w:type="pct"/>
            <w:shd w:val="clear" w:color="auto" w:fill="auto"/>
          </w:tcPr>
          <w:p w14:paraId="7B671453" w14:textId="77777777" w:rsidR="0040300B" w:rsidRDefault="0040300B">
            <w:pPr>
              <w:rPr>
                <w:rFonts w:ascii="宋体"/>
              </w:rPr>
            </w:pPr>
          </w:p>
        </w:tc>
        <w:tc>
          <w:tcPr>
            <w:tcW w:w="479" w:type="pct"/>
            <w:shd w:val="clear" w:color="auto" w:fill="auto"/>
          </w:tcPr>
          <w:p w14:paraId="7B671454" w14:textId="77777777" w:rsidR="0040300B" w:rsidRDefault="0040300B">
            <w:pPr>
              <w:rPr>
                <w:rFonts w:ascii="宋体"/>
              </w:rPr>
            </w:pPr>
          </w:p>
        </w:tc>
        <w:tc>
          <w:tcPr>
            <w:tcW w:w="5" w:type="pct"/>
            <w:shd w:val="clear" w:color="auto" w:fill="auto"/>
          </w:tcPr>
          <w:p w14:paraId="7B671455" w14:textId="77777777" w:rsidR="0040300B" w:rsidRDefault="0040300B">
            <w:pPr>
              <w:rPr>
                <w:rFonts w:ascii="宋体"/>
              </w:rPr>
            </w:pPr>
          </w:p>
        </w:tc>
        <w:tc>
          <w:tcPr>
            <w:tcW w:w="5" w:type="pct"/>
            <w:shd w:val="clear" w:color="auto" w:fill="auto"/>
          </w:tcPr>
          <w:p w14:paraId="7B671456" w14:textId="77777777" w:rsidR="0040300B" w:rsidRDefault="0040300B">
            <w:pPr>
              <w:rPr>
                <w:rFonts w:ascii="宋体"/>
              </w:rPr>
            </w:pPr>
          </w:p>
        </w:tc>
        <w:tc>
          <w:tcPr>
            <w:tcW w:w="26" w:type="pct"/>
            <w:shd w:val="clear" w:color="auto" w:fill="auto"/>
          </w:tcPr>
          <w:p w14:paraId="7B671457" w14:textId="77777777" w:rsidR="0040300B" w:rsidRDefault="0040300B">
            <w:pPr>
              <w:rPr>
                <w:rFonts w:ascii="宋体"/>
              </w:rPr>
            </w:pPr>
          </w:p>
        </w:tc>
        <w:tc>
          <w:tcPr>
            <w:tcW w:w="5" w:type="pct"/>
            <w:shd w:val="clear" w:color="auto" w:fill="auto"/>
          </w:tcPr>
          <w:p w14:paraId="7B671458" w14:textId="77777777" w:rsidR="0040300B" w:rsidRDefault="0040300B">
            <w:pPr>
              <w:rPr>
                <w:rFonts w:ascii="宋体"/>
              </w:rPr>
            </w:pPr>
          </w:p>
        </w:tc>
        <w:tc>
          <w:tcPr>
            <w:tcW w:w="50" w:type="pct"/>
            <w:shd w:val="clear" w:color="auto" w:fill="auto"/>
          </w:tcPr>
          <w:p w14:paraId="7B671459" w14:textId="77777777" w:rsidR="0040300B" w:rsidRDefault="0040300B">
            <w:pPr>
              <w:rPr>
                <w:rFonts w:ascii="宋体"/>
              </w:rPr>
            </w:pPr>
          </w:p>
        </w:tc>
        <w:tc>
          <w:tcPr>
            <w:tcW w:w="677" w:type="pct"/>
            <w:shd w:val="clear" w:color="auto" w:fill="auto"/>
          </w:tcPr>
          <w:p w14:paraId="7B67145A" w14:textId="77777777" w:rsidR="0040300B" w:rsidRDefault="0040300B">
            <w:pPr>
              <w:rPr>
                <w:rFonts w:ascii="宋体"/>
              </w:rPr>
            </w:pPr>
          </w:p>
        </w:tc>
        <w:tc>
          <w:tcPr>
            <w:tcW w:w="5" w:type="pct"/>
            <w:shd w:val="clear" w:color="auto" w:fill="auto"/>
          </w:tcPr>
          <w:p w14:paraId="7B67145B" w14:textId="77777777" w:rsidR="0040300B" w:rsidRDefault="0040300B">
            <w:pPr>
              <w:rPr>
                <w:rFonts w:ascii="宋体"/>
              </w:rPr>
            </w:pPr>
          </w:p>
        </w:tc>
        <w:tc>
          <w:tcPr>
            <w:tcW w:w="5" w:type="pct"/>
            <w:shd w:val="clear" w:color="auto" w:fill="auto"/>
          </w:tcPr>
          <w:p w14:paraId="7B67145C" w14:textId="77777777" w:rsidR="0040300B" w:rsidRDefault="0040300B">
            <w:pPr>
              <w:rPr>
                <w:rFonts w:ascii="宋体"/>
              </w:rPr>
            </w:pPr>
          </w:p>
        </w:tc>
        <w:tc>
          <w:tcPr>
            <w:tcW w:w="26" w:type="pct"/>
            <w:shd w:val="clear" w:color="auto" w:fill="auto"/>
          </w:tcPr>
          <w:p w14:paraId="7B67145D" w14:textId="77777777" w:rsidR="0040300B" w:rsidRDefault="0040300B">
            <w:pPr>
              <w:rPr>
                <w:rFonts w:ascii="宋体"/>
              </w:rPr>
            </w:pPr>
          </w:p>
        </w:tc>
        <w:tc>
          <w:tcPr>
            <w:tcW w:w="5" w:type="pct"/>
            <w:shd w:val="clear" w:color="auto" w:fill="auto"/>
          </w:tcPr>
          <w:p w14:paraId="7B67145E" w14:textId="77777777" w:rsidR="0040300B" w:rsidRDefault="0040300B">
            <w:pPr>
              <w:rPr>
                <w:rFonts w:ascii="宋体"/>
              </w:rPr>
            </w:pPr>
          </w:p>
        </w:tc>
        <w:tc>
          <w:tcPr>
            <w:tcW w:w="50" w:type="pct"/>
            <w:shd w:val="clear" w:color="auto" w:fill="auto"/>
          </w:tcPr>
          <w:p w14:paraId="7B67145F" w14:textId="77777777" w:rsidR="0040300B" w:rsidRDefault="0040300B">
            <w:pPr>
              <w:rPr>
                <w:rFonts w:ascii="宋体"/>
              </w:rPr>
            </w:pPr>
          </w:p>
        </w:tc>
        <w:tc>
          <w:tcPr>
            <w:tcW w:w="581" w:type="pct"/>
            <w:shd w:val="clear" w:color="auto" w:fill="auto"/>
          </w:tcPr>
          <w:p w14:paraId="7B671460" w14:textId="77777777" w:rsidR="0040300B" w:rsidRDefault="0040300B">
            <w:pPr>
              <w:rPr>
                <w:rFonts w:ascii="宋体"/>
              </w:rPr>
            </w:pPr>
          </w:p>
        </w:tc>
        <w:tc>
          <w:tcPr>
            <w:tcW w:w="5" w:type="pct"/>
            <w:shd w:val="clear" w:color="auto" w:fill="auto"/>
          </w:tcPr>
          <w:p w14:paraId="7B671461" w14:textId="77777777" w:rsidR="0040300B" w:rsidRDefault="0040300B">
            <w:pPr>
              <w:rPr>
                <w:rFonts w:ascii="宋体"/>
              </w:rPr>
            </w:pPr>
          </w:p>
        </w:tc>
        <w:tc>
          <w:tcPr>
            <w:tcW w:w="5" w:type="pct"/>
            <w:shd w:val="clear" w:color="auto" w:fill="auto"/>
          </w:tcPr>
          <w:p w14:paraId="7B671462" w14:textId="77777777" w:rsidR="0040300B" w:rsidRDefault="0040300B">
            <w:pPr>
              <w:rPr>
                <w:rFonts w:ascii="宋体"/>
              </w:rPr>
            </w:pPr>
          </w:p>
        </w:tc>
        <w:tc>
          <w:tcPr>
            <w:tcW w:w="26" w:type="pct"/>
            <w:shd w:val="clear" w:color="auto" w:fill="auto"/>
          </w:tcPr>
          <w:p w14:paraId="7B671463" w14:textId="77777777" w:rsidR="0040300B" w:rsidRDefault="0040300B">
            <w:pPr>
              <w:rPr>
                <w:rFonts w:ascii="宋体"/>
              </w:rPr>
            </w:pPr>
          </w:p>
        </w:tc>
        <w:tc>
          <w:tcPr>
            <w:tcW w:w="5" w:type="pct"/>
            <w:shd w:val="clear" w:color="auto" w:fill="auto"/>
          </w:tcPr>
          <w:p w14:paraId="7B671464" w14:textId="77777777" w:rsidR="0040300B" w:rsidRDefault="0040300B">
            <w:pPr>
              <w:rPr>
                <w:rFonts w:ascii="宋体"/>
              </w:rPr>
            </w:pPr>
          </w:p>
        </w:tc>
        <w:tc>
          <w:tcPr>
            <w:tcW w:w="50" w:type="pct"/>
            <w:shd w:val="clear" w:color="auto" w:fill="auto"/>
          </w:tcPr>
          <w:p w14:paraId="7B671465" w14:textId="77777777" w:rsidR="0040300B" w:rsidRDefault="0040300B">
            <w:pPr>
              <w:rPr>
                <w:rFonts w:ascii="宋体"/>
              </w:rPr>
            </w:pPr>
          </w:p>
        </w:tc>
        <w:tc>
          <w:tcPr>
            <w:tcW w:w="582" w:type="pct"/>
            <w:shd w:val="clear" w:color="auto" w:fill="auto"/>
          </w:tcPr>
          <w:p w14:paraId="7B671466" w14:textId="77777777" w:rsidR="0040300B" w:rsidRDefault="0040300B">
            <w:pPr>
              <w:rPr>
                <w:rFonts w:ascii="宋体"/>
              </w:rPr>
            </w:pPr>
          </w:p>
        </w:tc>
        <w:tc>
          <w:tcPr>
            <w:tcW w:w="5" w:type="pct"/>
            <w:shd w:val="clear" w:color="auto" w:fill="auto"/>
          </w:tcPr>
          <w:p w14:paraId="7B671467" w14:textId="77777777" w:rsidR="0040300B" w:rsidRDefault="0040300B">
            <w:pPr>
              <w:rPr>
                <w:rFonts w:ascii="宋体"/>
              </w:rPr>
            </w:pPr>
          </w:p>
        </w:tc>
      </w:tr>
      <w:tr w:rsidR="0040300B" w14:paraId="7B671470" w14:textId="77777777">
        <w:tc>
          <w:tcPr>
            <w:tcW w:w="0" w:type="auto"/>
            <w:gridSpan w:val="3"/>
            <w:shd w:val="clear" w:color="auto" w:fill="auto"/>
            <w:tcMar>
              <w:top w:w="0" w:type="dxa"/>
              <w:left w:w="20" w:type="dxa"/>
              <w:bottom w:w="0" w:type="dxa"/>
              <w:right w:w="20" w:type="dxa"/>
            </w:tcMar>
          </w:tcPr>
          <w:p w14:paraId="7B67146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46A"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46B" w14:textId="77777777" w:rsidR="0040300B" w:rsidRDefault="00BB2D44">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tcPr>
          <w:p w14:paraId="7B67146C" w14:textId="77777777" w:rsidR="0040300B" w:rsidRDefault="0040300B">
            <w:pPr>
              <w:rPr>
                <w:rFonts w:ascii="宋体"/>
              </w:rPr>
            </w:pPr>
          </w:p>
        </w:tc>
        <w:tc>
          <w:tcPr>
            <w:tcW w:w="0" w:type="auto"/>
            <w:gridSpan w:val="15"/>
            <w:shd w:val="clear" w:color="auto" w:fill="auto"/>
            <w:tcMar>
              <w:top w:w="40" w:type="dxa"/>
              <w:left w:w="20" w:type="dxa"/>
              <w:bottom w:w="40" w:type="dxa"/>
              <w:right w:w="20" w:type="dxa"/>
            </w:tcMar>
            <w:vAlign w:val="bottom"/>
          </w:tcPr>
          <w:p w14:paraId="7B67146D" w14:textId="77777777" w:rsidR="0040300B" w:rsidRDefault="00BB2D44">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tcPr>
          <w:p w14:paraId="7B67146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46F" w14:textId="77777777" w:rsidR="0040300B" w:rsidRDefault="0040300B">
            <w:pPr>
              <w:rPr>
                <w:rFonts w:ascii="宋体"/>
              </w:rPr>
            </w:pPr>
          </w:p>
        </w:tc>
      </w:tr>
      <w:tr w:rsidR="0040300B" w14:paraId="7B67147E" w14:textId="77777777">
        <w:tc>
          <w:tcPr>
            <w:tcW w:w="0" w:type="auto"/>
            <w:gridSpan w:val="3"/>
            <w:shd w:val="clear" w:color="auto" w:fill="auto"/>
            <w:tcMar>
              <w:top w:w="40" w:type="dxa"/>
              <w:left w:w="20" w:type="dxa"/>
              <w:bottom w:w="40" w:type="dxa"/>
              <w:right w:w="20" w:type="dxa"/>
            </w:tcMar>
            <w:vAlign w:val="bottom"/>
          </w:tcPr>
          <w:p w14:paraId="7B671471" w14:textId="77777777" w:rsidR="0040300B" w:rsidRDefault="00BB2D44">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tcPr>
          <w:p w14:paraId="7B671472"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73" w14:textId="77777777" w:rsidR="0040300B" w:rsidRDefault="00BB2D44">
            <w:pPr>
              <w:jc w:val="center"/>
              <w:textAlignment w:val="bottom"/>
            </w:pPr>
            <w:r>
              <w:rPr>
                <w:rFonts w:ascii="Times New Roman" w:eastAsia="宋体" w:hAnsi="Times New Roman"/>
                <w:color w:val="000000"/>
                <w:sz w:val="18"/>
                <w:szCs w:val="18"/>
              </w:rPr>
              <w:t xml:space="preserve">Per </w:t>
            </w:r>
            <w:r>
              <w:rPr>
                <w:rFonts w:ascii="Times New Roman" w:eastAsia="宋体" w:hAnsi="Times New Roman"/>
                <w:color w:val="000000"/>
                <w:sz w:val="18"/>
                <w:szCs w:val="18"/>
              </w:rPr>
              <w:t>Share</w:t>
            </w:r>
          </w:p>
        </w:tc>
        <w:tc>
          <w:tcPr>
            <w:tcW w:w="0" w:type="auto"/>
            <w:gridSpan w:val="3"/>
            <w:tcBorders>
              <w:top w:val="single" w:sz="8" w:space="0" w:color="000000"/>
            </w:tcBorders>
            <w:shd w:val="clear" w:color="auto" w:fill="auto"/>
            <w:tcMar>
              <w:top w:w="0" w:type="dxa"/>
              <w:left w:w="20" w:type="dxa"/>
              <w:bottom w:w="0" w:type="dxa"/>
              <w:right w:w="20" w:type="dxa"/>
            </w:tcMar>
          </w:tcPr>
          <w:p w14:paraId="7B671474"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75"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tcPr>
          <w:p w14:paraId="7B671476"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77" w14:textId="77777777" w:rsidR="0040300B" w:rsidRDefault="00BB2D44">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7B671478"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79" w14:textId="77777777" w:rsidR="0040300B" w:rsidRDefault="00BB2D44">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tcPr>
          <w:p w14:paraId="7B67147A"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47B" w14:textId="77777777" w:rsidR="0040300B" w:rsidRDefault="00BB2D44">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tcPr>
          <w:p w14:paraId="7B67147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47D" w14:textId="77777777" w:rsidR="0040300B" w:rsidRDefault="00BB2D44">
            <w:pPr>
              <w:jc w:val="center"/>
              <w:textAlignment w:val="bottom"/>
            </w:pPr>
            <w:r>
              <w:rPr>
                <w:rFonts w:ascii="Times New Roman" w:eastAsia="宋体" w:hAnsi="Times New Roman"/>
                <w:color w:val="000000"/>
                <w:sz w:val="18"/>
                <w:szCs w:val="18"/>
              </w:rPr>
              <w:t>TOTAL</w:t>
            </w:r>
          </w:p>
        </w:tc>
      </w:tr>
      <w:tr w:rsidR="0040300B" w14:paraId="7B67148C" w14:textId="77777777">
        <w:tc>
          <w:tcPr>
            <w:tcW w:w="0" w:type="auto"/>
            <w:gridSpan w:val="3"/>
            <w:shd w:val="clear" w:color="auto" w:fill="CCEEFF"/>
            <w:tcMar>
              <w:top w:w="40" w:type="dxa"/>
              <w:left w:w="20" w:type="dxa"/>
              <w:bottom w:w="40" w:type="dxa"/>
              <w:right w:w="20" w:type="dxa"/>
            </w:tcMar>
            <w:vAlign w:val="bottom"/>
          </w:tcPr>
          <w:p w14:paraId="7B67147F" w14:textId="77777777" w:rsidR="0040300B" w:rsidRDefault="00BB2D44">
            <w:pPr>
              <w:textAlignment w:val="bottom"/>
            </w:pPr>
            <w:r>
              <w:rPr>
                <w:rFonts w:ascii="Times New Roman" w:eastAsia="宋体" w:hAnsi="Times New Roman"/>
                <w:color w:val="000000"/>
                <w:sz w:val="20"/>
                <w:szCs w:val="20"/>
              </w:rPr>
              <w:t>Fiscal 2021</w:t>
            </w:r>
          </w:p>
        </w:tc>
        <w:tc>
          <w:tcPr>
            <w:tcW w:w="0" w:type="auto"/>
            <w:gridSpan w:val="3"/>
            <w:shd w:val="clear" w:color="auto" w:fill="CCEEFF"/>
            <w:tcMar>
              <w:top w:w="0" w:type="dxa"/>
              <w:left w:w="20" w:type="dxa"/>
              <w:bottom w:w="0" w:type="dxa"/>
              <w:right w:w="20" w:type="dxa"/>
            </w:tcMar>
          </w:tcPr>
          <w:p w14:paraId="7B67148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82"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84"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86"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88"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8A"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48B" w14:textId="77777777" w:rsidR="0040300B" w:rsidRDefault="0040300B">
            <w:pPr>
              <w:rPr>
                <w:rFonts w:ascii="宋体"/>
              </w:rPr>
            </w:pPr>
          </w:p>
        </w:tc>
      </w:tr>
      <w:tr w:rsidR="0040300B" w14:paraId="7B6714A5" w14:textId="77777777">
        <w:tc>
          <w:tcPr>
            <w:tcW w:w="0" w:type="auto"/>
            <w:gridSpan w:val="3"/>
            <w:shd w:val="clear" w:color="auto" w:fill="FFFFFF"/>
            <w:tcMar>
              <w:top w:w="40" w:type="dxa"/>
              <w:left w:w="155" w:type="dxa"/>
              <w:bottom w:w="40" w:type="dxa"/>
              <w:right w:w="20" w:type="dxa"/>
            </w:tcMar>
            <w:vAlign w:val="bottom"/>
          </w:tcPr>
          <w:p w14:paraId="7B67148D" w14:textId="77777777" w:rsidR="0040300B" w:rsidRDefault="00BB2D44">
            <w:pPr>
              <w:textAlignment w:val="bottom"/>
            </w:pPr>
            <w:r>
              <w:rPr>
                <w:rFonts w:ascii="Times New Roman" w:eastAsia="宋体" w:hAnsi="Times New Roman"/>
                <w:color w:val="000000"/>
                <w:sz w:val="20"/>
                <w:szCs w:val="20"/>
              </w:rPr>
              <w:t>May 1, 2021</w:t>
            </w:r>
          </w:p>
        </w:tc>
        <w:tc>
          <w:tcPr>
            <w:tcW w:w="0" w:type="auto"/>
            <w:gridSpan w:val="3"/>
            <w:shd w:val="clear" w:color="auto" w:fill="FFFFFF"/>
            <w:tcMar>
              <w:top w:w="0" w:type="dxa"/>
              <w:left w:w="20" w:type="dxa"/>
              <w:bottom w:w="0" w:type="dxa"/>
              <w:right w:w="20" w:type="dxa"/>
            </w:tcMar>
          </w:tcPr>
          <w:p w14:paraId="7B67148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8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90" w14:textId="77777777" w:rsidR="0040300B" w:rsidRDefault="00BB2D44">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7B67149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9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9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94" w14:textId="77777777" w:rsidR="0040300B" w:rsidRDefault="00BB2D44">
            <w:pPr>
              <w:jc w:val="right"/>
              <w:textAlignment w:val="bottom"/>
            </w:pPr>
            <w:r>
              <w:rPr>
                <w:rFonts w:ascii="Times New Roman" w:eastAsia="宋体" w:hAnsi="Times New Roman"/>
                <w:color w:val="000000"/>
                <w:sz w:val="20"/>
                <w:szCs w:val="20"/>
              </w:rPr>
              <w:t>1,560 </w:t>
            </w:r>
          </w:p>
        </w:tc>
        <w:tc>
          <w:tcPr>
            <w:tcW w:w="0" w:type="auto"/>
            <w:shd w:val="clear" w:color="auto" w:fill="FFFFFF"/>
            <w:tcMar>
              <w:top w:w="40" w:type="dxa"/>
              <w:left w:w="0" w:type="dxa"/>
              <w:bottom w:w="40" w:type="dxa"/>
              <w:right w:w="20" w:type="dxa"/>
            </w:tcMar>
            <w:vAlign w:val="bottom"/>
          </w:tcPr>
          <w:p w14:paraId="7B67149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9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497" w14:textId="77777777" w:rsidR="0040300B" w:rsidRDefault="00BB2D4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B67149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9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9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9B" w14:textId="77777777" w:rsidR="0040300B" w:rsidRDefault="00BB2D44">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7B67149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9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9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9F" w14:textId="77777777" w:rsidR="0040300B" w:rsidRDefault="00BB2D44">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7B6714A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A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A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A3" w14:textId="77777777" w:rsidR="0040300B" w:rsidRDefault="00BB2D44">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7B6714A4" w14:textId="77777777" w:rsidR="0040300B" w:rsidRDefault="0040300B">
            <w:pPr>
              <w:jc w:val="right"/>
              <w:rPr>
                <w:rFonts w:ascii="宋体"/>
              </w:rPr>
            </w:pPr>
          </w:p>
        </w:tc>
      </w:tr>
      <w:tr w:rsidR="0040300B" w14:paraId="7B6714BE" w14:textId="77777777">
        <w:tc>
          <w:tcPr>
            <w:tcW w:w="0" w:type="auto"/>
            <w:gridSpan w:val="3"/>
            <w:shd w:val="clear" w:color="auto" w:fill="CCEEFF"/>
            <w:tcMar>
              <w:top w:w="40" w:type="dxa"/>
              <w:left w:w="155" w:type="dxa"/>
              <w:bottom w:w="40" w:type="dxa"/>
              <w:right w:w="20" w:type="dxa"/>
            </w:tcMar>
            <w:vAlign w:val="bottom"/>
          </w:tcPr>
          <w:p w14:paraId="7B6714A6" w14:textId="77777777" w:rsidR="0040300B" w:rsidRDefault="00BB2D44">
            <w:pPr>
              <w:textAlignment w:val="bottom"/>
            </w:pPr>
            <w:r>
              <w:rPr>
                <w:rFonts w:ascii="Times New Roman" w:eastAsia="宋体" w:hAnsi="Times New Roman"/>
                <w:color w:val="000000"/>
                <w:sz w:val="20"/>
                <w:szCs w:val="20"/>
              </w:rPr>
              <w:t>January 23, 2021</w:t>
            </w:r>
          </w:p>
        </w:tc>
        <w:tc>
          <w:tcPr>
            <w:tcW w:w="0" w:type="auto"/>
            <w:gridSpan w:val="3"/>
            <w:shd w:val="clear" w:color="auto" w:fill="CCEEFF"/>
            <w:tcMar>
              <w:top w:w="0" w:type="dxa"/>
              <w:left w:w="20" w:type="dxa"/>
              <w:bottom w:w="0" w:type="dxa"/>
              <w:right w:w="20" w:type="dxa"/>
            </w:tcMar>
          </w:tcPr>
          <w:p w14:paraId="7B6714A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A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A9" w14:textId="77777777" w:rsidR="0040300B" w:rsidRDefault="00BB2D44">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7B6714A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A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A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AD" w14:textId="77777777" w:rsidR="0040300B" w:rsidRDefault="00BB2D44">
            <w:pPr>
              <w:jc w:val="right"/>
              <w:textAlignment w:val="bottom"/>
            </w:pPr>
            <w:r>
              <w:rPr>
                <w:rFonts w:ascii="Times New Roman" w:eastAsia="宋体" w:hAnsi="Times New Roman"/>
                <w:color w:val="000000"/>
                <w:sz w:val="20"/>
                <w:szCs w:val="20"/>
              </w:rPr>
              <w:t>1,521 </w:t>
            </w:r>
          </w:p>
        </w:tc>
        <w:tc>
          <w:tcPr>
            <w:tcW w:w="0" w:type="auto"/>
            <w:shd w:val="clear" w:color="auto" w:fill="CCEEFF"/>
            <w:tcMar>
              <w:top w:w="40" w:type="dxa"/>
              <w:left w:w="0" w:type="dxa"/>
              <w:bottom w:w="40" w:type="dxa"/>
              <w:right w:w="20" w:type="dxa"/>
            </w:tcMar>
            <w:vAlign w:val="bottom"/>
          </w:tcPr>
          <w:p w14:paraId="7B6714A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A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4B0" w14:textId="77777777" w:rsidR="0040300B" w:rsidRDefault="00BB2D4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7B6714B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B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B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B4" w14:textId="77777777" w:rsidR="0040300B" w:rsidRDefault="00BB2D44">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7B6714B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B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B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B8" w14:textId="77777777" w:rsidR="0040300B" w:rsidRDefault="00BB2D44">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7B6714B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BA"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B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BC" w14:textId="77777777" w:rsidR="0040300B" w:rsidRDefault="00BB2D44">
            <w:pPr>
              <w:jc w:val="right"/>
              <w:textAlignment w:val="bottom"/>
            </w:pPr>
            <w:r>
              <w:rPr>
                <w:rFonts w:ascii="Times New Roman" w:eastAsia="宋体" w:hAnsi="Times New Roman"/>
                <w:color w:val="000000"/>
                <w:sz w:val="20"/>
                <w:szCs w:val="20"/>
              </w:rPr>
              <w:t>2,322 </w:t>
            </w:r>
          </w:p>
        </w:tc>
        <w:tc>
          <w:tcPr>
            <w:tcW w:w="0" w:type="auto"/>
            <w:shd w:val="clear" w:color="auto" w:fill="CCEEFF"/>
            <w:tcMar>
              <w:top w:w="40" w:type="dxa"/>
              <w:left w:w="0" w:type="dxa"/>
              <w:bottom w:w="40" w:type="dxa"/>
              <w:right w:w="20" w:type="dxa"/>
            </w:tcMar>
            <w:vAlign w:val="bottom"/>
          </w:tcPr>
          <w:p w14:paraId="7B6714BD" w14:textId="77777777" w:rsidR="0040300B" w:rsidRDefault="0040300B">
            <w:pPr>
              <w:jc w:val="right"/>
              <w:rPr>
                <w:rFonts w:ascii="宋体"/>
              </w:rPr>
            </w:pPr>
          </w:p>
        </w:tc>
      </w:tr>
      <w:tr w:rsidR="0040300B" w14:paraId="7B6714D7" w14:textId="77777777">
        <w:tc>
          <w:tcPr>
            <w:tcW w:w="0" w:type="auto"/>
            <w:gridSpan w:val="3"/>
            <w:shd w:val="clear" w:color="auto" w:fill="FFFFFF"/>
            <w:tcMar>
              <w:top w:w="40" w:type="dxa"/>
              <w:left w:w="155" w:type="dxa"/>
              <w:bottom w:w="40" w:type="dxa"/>
              <w:right w:w="20" w:type="dxa"/>
            </w:tcMar>
            <w:vAlign w:val="bottom"/>
          </w:tcPr>
          <w:p w14:paraId="7B6714BF" w14:textId="77777777" w:rsidR="0040300B" w:rsidRDefault="00BB2D44">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tcPr>
          <w:p w14:paraId="7B6714C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C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C2" w14:textId="77777777" w:rsidR="0040300B" w:rsidRDefault="00BB2D44">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7B6714C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C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C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C6" w14:textId="77777777" w:rsidR="0040300B" w:rsidRDefault="00BB2D44">
            <w:pPr>
              <w:jc w:val="right"/>
              <w:textAlignment w:val="bottom"/>
            </w:pPr>
            <w:r>
              <w:rPr>
                <w:rFonts w:ascii="Times New Roman" w:eastAsia="宋体" w:hAnsi="Times New Roman"/>
                <w:color w:val="000000"/>
                <w:sz w:val="20"/>
                <w:szCs w:val="20"/>
              </w:rPr>
              <w:t>1,520 </w:t>
            </w:r>
          </w:p>
        </w:tc>
        <w:tc>
          <w:tcPr>
            <w:tcW w:w="0" w:type="auto"/>
            <w:shd w:val="clear" w:color="auto" w:fill="FFFFFF"/>
            <w:tcMar>
              <w:top w:w="40" w:type="dxa"/>
              <w:left w:w="0" w:type="dxa"/>
              <w:bottom w:w="40" w:type="dxa"/>
              <w:right w:w="20" w:type="dxa"/>
            </w:tcMar>
            <w:vAlign w:val="bottom"/>
          </w:tcPr>
          <w:p w14:paraId="7B6714C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C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4C9" w14:textId="77777777" w:rsidR="0040300B" w:rsidRDefault="00BB2D4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B6714C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C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C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CD" w14:textId="77777777" w:rsidR="0040300B" w:rsidRDefault="00BB2D44">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7B6714C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C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D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D1" w14:textId="77777777" w:rsidR="0040300B" w:rsidRDefault="00BB2D44">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7B6714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4D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4D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4D5" w14:textId="77777777" w:rsidR="0040300B" w:rsidRDefault="00BB2D44">
            <w:pPr>
              <w:jc w:val="right"/>
              <w:textAlignment w:val="bottom"/>
            </w:pPr>
            <w:r>
              <w:rPr>
                <w:rFonts w:ascii="Times New Roman" w:eastAsia="宋体" w:hAnsi="Times New Roman"/>
                <w:color w:val="000000"/>
                <w:sz w:val="20"/>
                <w:szCs w:val="20"/>
              </w:rPr>
              <w:t>2,320 </w:t>
            </w:r>
          </w:p>
        </w:tc>
        <w:tc>
          <w:tcPr>
            <w:tcW w:w="0" w:type="auto"/>
            <w:shd w:val="clear" w:color="auto" w:fill="FFFFFF"/>
            <w:tcMar>
              <w:top w:w="40" w:type="dxa"/>
              <w:left w:w="0" w:type="dxa"/>
              <w:bottom w:w="40" w:type="dxa"/>
              <w:right w:w="20" w:type="dxa"/>
            </w:tcMar>
            <w:vAlign w:val="bottom"/>
          </w:tcPr>
          <w:p w14:paraId="7B6714D6" w14:textId="77777777" w:rsidR="0040300B" w:rsidRDefault="0040300B">
            <w:pPr>
              <w:jc w:val="right"/>
              <w:rPr>
                <w:rFonts w:ascii="宋体"/>
              </w:rPr>
            </w:pPr>
          </w:p>
        </w:tc>
      </w:tr>
      <w:tr w:rsidR="0040300B" w14:paraId="7B6714E5" w14:textId="77777777">
        <w:trPr>
          <w:trHeight w:val="280"/>
        </w:trPr>
        <w:tc>
          <w:tcPr>
            <w:tcW w:w="0" w:type="auto"/>
            <w:gridSpan w:val="3"/>
            <w:shd w:val="clear" w:color="auto" w:fill="CCEEFF"/>
            <w:tcMar>
              <w:top w:w="0" w:type="dxa"/>
              <w:left w:w="20" w:type="dxa"/>
              <w:bottom w:w="0" w:type="dxa"/>
              <w:right w:w="20" w:type="dxa"/>
            </w:tcMar>
          </w:tcPr>
          <w:p w14:paraId="7B6714D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D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E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E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E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E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4E4" w14:textId="77777777" w:rsidR="0040300B" w:rsidRDefault="0040300B">
            <w:pPr>
              <w:rPr>
                <w:rFonts w:ascii="宋体"/>
              </w:rPr>
            </w:pPr>
          </w:p>
        </w:tc>
      </w:tr>
      <w:tr w:rsidR="0040300B" w14:paraId="7B6714F3" w14:textId="77777777">
        <w:tc>
          <w:tcPr>
            <w:tcW w:w="0" w:type="auto"/>
            <w:gridSpan w:val="3"/>
            <w:shd w:val="clear" w:color="auto" w:fill="FFFFFF"/>
            <w:tcMar>
              <w:top w:w="40" w:type="dxa"/>
              <w:left w:w="20" w:type="dxa"/>
              <w:bottom w:w="40" w:type="dxa"/>
              <w:right w:w="20" w:type="dxa"/>
            </w:tcMar>
            <w:vAlign w:val="bottom"/>
          </w:tcPr>
          <w:p w14:paraId="7B6714E6" w14:textId="77777777" w:rsidR="0040300B" w:rsidRDefault="00BB2D44">
            <w:pPr>
              <w:textAlignment w:val="bottom"/>
            </w:pPr>
            <w:r>
              <w:rPr>
                <w:rFonts w:ascii="Times New Roman" w:eastAsia="宋体" w:hAnsi="Times New Roman"/>
                <w:color w:val="000000"/>
                <w:sz w:val="20"/>
                <w:szCs w:val="20"/>
              </w:rPr>
              <w:t>Fiscal 2020</w:t>
            </w:r>
          </w:p>
        </w:tc>
        <w:tc>
          <w:tcPr>
            <w:tcW w:w="0" w:type="auto"/>
            <w:gridSpan w:val="3"/>
            <w:shd w:val="clear" w:color="auto" w:fill="FFFFFF"/>
            <w:tcMar>
              <w:top w:w="0" w:type="dxa"/>
              <w:left w:w="20" w:type="dxa"/>
              <w:bottom w:w="0" w:type="dxa"/>
              <w:right w:w="20" w:type="dxa"/>
            </w:tcMar>
          </w:tcPr>
          <w:p w14:paraId="7B6714E7"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8"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9"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A"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B"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C"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E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F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F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4F2" w14:textId="77777777" w:rsidR="0040300B" w:rsidRDefault="0040300B">
            <w:pPr>
              <w:rPr>
                <w:rFonts w:ascii="宋体"/>
              </w:rPr>
            </w:pPr>
          </w:p>
        </w:tc>
      </w:tr>
      <w:tr w:rsidR="0040300B" w14:paraId="7B67150C" w14:textId="77777777">
        <w:tc>
          <w:tcPr>
            <w:tcW w:w="0" w:type="auto"/>
            <w:gridSpan w:val="3"/>
            <w:shd w:val="clear" w:color="auto" w:fill="CCEEFF"/>
            <w:tcMar>
              <w:top w:w="40" w:type="dxa"/>
              <w:left w:w="155" w:type="dxa"/>
              <w:bottom w:w="40" w:type="dxa"/>
              <w:right w:w="20" w:type="dxa"/>
            </w:tcMar>
            <w:vAlign w:val="bottom"/>
          </w:tcPr>
          <w:p w14:paraId="7B6714F4" w14:textId="77777777" w:rsidR="0040300B" w:rsidRDefault="00BB2D44">
            <w:pPr>
              <w:textAlignment w:val="bottom"/>
            </w:pPr>
            <w:r>
              <w:rPr>
                <w:rFonts w:ascii="Times New Roman" w:eastAsia="宋体" w:hAnsi="Times New Roman"/>
                <w:color w:val="000000"/>
                <w:sz w:val="20"/>
                <w:szCs w:val="20"/>
              </w:rPr>
              <w:t>July 25, 2020</w:t>
            </w:r>
          </w:p>
        </w:tc>
        <w:tc>
          <w:tcPr>
            <w:tcW w:w="0" w:type="auto"/>
            <w:gridSpan w:val="3"/>
            <w:shd w:val="clear" w:color="auto" w:fill="CCEEFF"/>
            <w:tcMar>
              <w:top w:w="0" w:type="dxa"/>
              <w:left w:w="20" w:type="dxa"/>
              <w:bottom w:w="0" w:type="dxa"/>
              <w:right w:w="20" w:type="dxa"/>
            </w:tcMar>
          </w:tcPr>
          <w:p w14:paraId="7B6714F5"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F6"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F7" w14:textId="77777777" w:rsidR="0040300B" w:rsidRDefault="00BB2D44">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7B6714F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F9"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4F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4FB" w14:textId="77777777" w:rsidR="0040300B" w:rsidRDefault="00BB2D44">
            <w:pPr>
              <w:jc w:val="right"/>
              <w:textAlignment w:val="bottom"/>
            </w:pPr>
            <w:r>
              <w:rPr>
                <w:rFonts w:ascii="Times New Roman" w:eastAsia="宋体" w:hAnsi="Times New Roman"/>
                <w:color w:val="000000"/>
                <w:sz w:val="20"/>
                <w:szCs w:val="20"/>
              </w:rPr>
              <w:t>1,525 </w:t>
            </w:r>
          </w:p>
        </w:tc>
        <w:tc>
          <w:tcPr>
            <w:tcW w:w="0" w:type="auto"/>
            <w:shd w:val="clear" w:color="auto" w:fill="CCEEFF"/>
            <w:tcMar>
              <w:top w:w="40" w:type="dxa"/>
              <w:left w:w="0" w:type="dxa"/>
              <w:bottom w:w="40" w:type="dxa"/>
              <w:right w:w="20" w:type="dxa"/>
            </w:tcMar>
            <w:vAlign w:val="bottom"/>
          </w:tcPr>
          <w:p w14:paraId="7B6714F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4F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4FE"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4F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0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0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02"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50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04"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0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06"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50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0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0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0A" w14:textId="77777777" w:rsidR="0040300B" w:rsidRDefault="00BB2D44">
            <w:pPr>
              <w:jc w:val="right"/>
              <w:textAlignment w:val="bottom"/>
            </w:pPr>
            <w:r>
              <w:rPr>
                <w:rFonts w:ascii="Times New Roman" w:eastAsia="宋体" w:hAnsi="Times New Roman"/>
                <w:color w:val="000000"/>
                <w:sz w:val="20"/>
                <w:szCs w:val="20"/>
              </w:rPr>
              <w:t>1,525 </w:t>
            </w:r>
          </w:p>
        </w:tc>
        <w:tc>
          <w:tcPr>
            <w:tcW w:w="0" w:type="auto"/>
            <w:shd w:val="clear" w:color="auto" w:fill="CCEEFF"/>
            <w:tcMar>
              <w:top w:w="40" w:type="dxa"/>
              <w:left w:w="0" w:type="dxa"/>
              <w:bottom w:w="40" w:type="dxa"/>
              <w:right w:w="20" w:type="dxa"/>
            </w:tcMar>
            <w:vAlign w:val="bottom"/>
          </w:tcPr>
          <w:p w14:paraId="7B67150B" w14:textId="77777777" w:rsidR="0040300B" w:rsidRDefault="0040300B">
            <w:pPr>
              <w:jc w:val="right"/>
              <w:rPr>
                <w:rFonts w:ascii="宋体"/>
              </w:rPr>
            </w:pPr>
          </w:p>
        </w:tc>
      </w:tr>
      <w:tr w:rsidR="0040300B" w14:paraId="7B671525" w14:textId="77777777">
        <w:tc>
          <w:tcPr>
            <w:tcW w:w="0" w:type="auto"/>
            <w:gridSpan w:val="3"/>
            <w:shd w:val="clear" w:color="auto" w:fill="FFFFFF"/>
            <w:tcMar>
              <w:top w:w="40" w:type="dxa"/>
              <w:left w:w="155" w:type="dxa"/>
              <w:bottom w:w="40" w:type="dxa"/>
              <w:right w:w="20" w:type="dxa"/>
            </w:tcMar>
            <w:vAlign w:val="bottom"/>
          </w:tcPr>
          <w:p w14:paraId="7B67150D" w14:textId="77777777" w:rsidR="0040300B" w:rsidRDefault="00BB2D44">
            <w:pPr>
              <w:textAlignment w:val="bottom"/>
            </w:pPr>
            <w:r>
              <w:rPr>
                <w:rFonts w:ascii="Times New Roman" w:eastAsia="宋体" w:hAnsi="Times New Roman"/>
                <w:color w:val="000000"/>
                <w:sz w:val="20"/>
                <w:szCs w:val="20"/>
              </w:rPr>
              <w:t>April 25, 2020</w:t>
            </w:r>
          </w:p>
        </w:tc>
        <w:tc>
          <w:tcPr>
            <w:tcW w:w="0" w:type="auto"/>
            <w:gridSpan w:val="3"/>
            <w:shd w:val="clear" w:color="auto" w:fill="FFFFFF"/>
            <w:tcMar>
              <w:top w:w="0" w:type="dxa"/>
              <w:left w:w="20" w:type="dxa"/>
              <w:bottom w:w="0" w:type="dxa"/>
              <w:right w:w="20" w:type="dxa"/>
            </w:tcMar>
          </w:tcPr>
          <w:p w14:paraId="7B67150E"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0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10" w14:textId="77777777" w:rsidR="0040300B" w:rsidRDefault="00BB2D44">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7B67151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12"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1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14" w14:textId="77777777" w:rsidR="0040300B" w:rsidRDefault="00BB2D44">
            <w:pPr>
              <w:jc w:val="right"/>
              <w:textAlignment w:val="bottom"/>
            </w:pPr>
            <w:r>
              <w:rPr>
                <w:rFonts w:ascii="Times New Roman" w:eastAsia="宋体" w:hAnsi="Times New Roman"/>
                <w:color w:val="000000"/>
                <w:sz w:val="20"/>
                <w:szCs w:val="20"/>
              </w:rPr>
              <w:t>1,519 </w:t>
            </w:r>
          </w:p>
        </w:tc>
        <w:tc>
          <w:tcPr>
            <w:tcW w:w="0" w:type="auto"/>
            <w:shd w:val="clear" w:color="auto" w:fill="FFFFFF"/>
            <w:tcMar>
              <w:top w:w="40" w:type="dxa"/>
              <w:left w:w="0" w:type="dxa"/>
              <w:bottom w:w="40" w:type="dxa"/>
              <w:right w:w="20" w:type="dxa"/>
            </w:tcMar>
            <w:vAlign w:val="bottom"/>
          </w:tcPr>
          <w:p w14:paraId="7B67151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1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517" w14:textId="77777777" w:rsidR="0040300B" w:rsidRDefault="00BB2D4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B67151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19"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1A"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1B" w14:textId="77777777" w:rsidR="0040300B" w:rsidRDefault="00BB2D44">
            <w:pPr>
              <w:jc w:val="right"/>
              <w:textAlignment w:val="bottom"/>
            </w:pPr>
            <w:r>
              <w:rPr>
                <w:rFonts w:ascii="Times New Roman" w:eastAsia="宋体" w:hAnsi="Times New Roman"/>
                <w:color w:val="000000"/>
                <w:sz w:val="20"/>
                <w:szCs w:val="20"/>
              </w:rPr>
              <w:t>39.71 </w:t>
            </w:r>
          </w:p>
        </w:tc>
        <w:tc>
          <w:tcPr>
            <w:tcW w:w="0" w:type="auto"/>
            <w:shd w:val="clear" w:color="auto" w:fill="FFFFFF"/>
            <w:tcMar>
              <w:top w:w="40" w:type="dxa"/>
              <w:left w:w="0" w:type="dxa"/>
              <w:bottom w:w="40" w:type="dxa"/>
              <w:right w:w="20" w:type="dxa"/>
            </w:tcMar>
            <w:vAlign w:val="bottom"/>
          </w:tcPr>
          <w:p w14:paraId="7B67151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1D"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1E"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1F" w14:textId="77777777" w:rsidR="0040300B" w:rsidRDefault="00BB2D44">
            <w:pPr>
              <w:jc w:val="right"/>
              <w:textAlignment w:val="bottom"/>
            </w:pPr>
            <w:r>
              <w:rPr>
                <w:rFonts w:ascii="Times New Roman" w:eastAsia="宋体" w:hAnsi="Times New Roman"/>
                <w:color w:val="000000"/>
                <w:sz w:val="20"/>
                <w:szCs w:val="20"/>
              </w:rPr>
              <w:t>981 </w:t>
            </w:r>
          </w:p>
        </w:tc>
        <w:tc>
          <w:tcPr>
            <w:tcW w:w="0" w:type="auto"/>
            <w:shd w:val="clear" w:color="auto" w:fill="FFFFFF"/>
            <w:tcMar>
              <w:top w:w="40" w:type="dxa"/>
              <w:left w:w="0" w:type="dxa"/>
              <w:bottom w:w="40" w:type="dxa"/>
              <w:right w:w="20" w:type="dxa"/>
            </w:tcMar>
            <w:vAlign w:val="bottom"/>
          </w:tcPr>
          <w:p w14:paraId="7B671520"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21"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22"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23" w14:textId="77777777" w:rsidR="0040300B" w:rsidRDefault="00BB2D44">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B671524" w14:textId="77777777" w:rsidR="0040300B" w:rsidRDefault="0040300B">
            <w:pPr>
              <w:jc w:val="right"/>
              <w:rPr>
                <w:rFonts w:ascii="宋体"/>
              </w:rPr>
            </w:pPr>
          </w:p>
        </w:tc>
      </w:tr>
      <w:tr w:rsidR="0040300B" w14:paraId="7B67153E" w14:textId="77777777">
        <w:tc>
          <w:tcPr>
            <w:tcW w:w="0" w:type="auto"/>
            <w:gridSpan w:val="3"/>
            <w:shd w:val="clear" w:color="auto" w:fill="CCEEFF"/>
            <w:tcMar>
              <w:top w:w="40" w:type="dxa"/>
              <w:left w:w="155" w:type="dxa"/>
              <w:bottom w:w="40" w:type="dxa"/>
              <w:right w:w="20" w:type="dxa"/>
            </w:tcMar>
            <w:vAlign w:val="bottom"/>
          </w:tcPr>
          <w:p w14:paraId="7B671526" w14:textId="77777777" w:rsidR="0040300B" w:rsidRDefault="00BB2D44">
            <w:pPr>
              <w:textAlignment w:val="bottom"/>
            </w:pPr>
            <w:r>
              <w:rPr>
                <w:rFonts w:ascii="Times New Roman" w:eastAsia="宋体" w:hAnsi="Times New Roman"/>
                <w:color w:val="000000"/>
                <w:sz w:val="20"/>
                <w:szCs w:val="20"/>
              </w:rPr>
              <w:t>January 25, 2020</w:t>
            </w:r>
          </w:p>
        </w:tc>
        <w:tc>
          <w:tcPr>
            <w:tcW w:w="0" w:type="auto"/>
            <w:gridSpan w:val="3"/>
            <w:shd w:val="clear" w:color="auto" w:fill="CCEEFF"/>
            <w:tcMar>
              <w:top w:w="0" w:type="dxa"/>
              <w:left w:w="20" w:type="dxa"/>
              <w:bottom w:w="0" w:type="dxa"/>
              <w:right w:w="20" w:type="dxa"/>
            </w:tcMar>
          </w:tcPr>
          <w:p w14:paraId="7B67152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2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29" w14:textId="77777777" w:rsidR="0040300B" w:rsidRDefault="00BB2D44">
            <w:pPr>
              <w:jc w:val="right"/>
              <w:textAlignment w:val="bottom"/>
            </w:pPr>
            <w:r>
              <w:rPr>
                <w:rFonts w:ascii="Times New Roman" w:eastAsia="宋体" w:hAnsi="Times New Roman"/>
                <w:color w:val="000000"/>
                <w:sz w:val="20"/>
                <w:szCs w:val="20"/>
              </w:rPr>
              <w:t>0.35 </w:t>
            </w:r>
          </w:p>
        </w:tc>
        <w:tc>
          <w:tcPr>
            <w:tcW w:w="0" w:type="auto"/>
            <w:shd w:val="clear" w:color="auto" w:fill="CCEEFF"/>
            <w:tcMar>
              <w:top w:w="40" w:type="dxa"/>
              <w:left w:w="0" w:type="dxa"/>
              <w:bottom w:w="40" w:type="dxa"/>
              <w:right w:w="20" w:type="dxa"/>
            </w:tcMar>
            <w:vAlign w:val="bottom"/>
          </w:tcPr>
          <w:p w14:paraId="7B67152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2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2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2D" w14:textId="77777777" w:rsidR="0040300B" w:rsidRDefault="00BB2D44">
            <w:pPr>
              <w:jc w:val="right"/>
              <w:textAlignment w:val="bottom"/>
            </w:pPr>
            <w:r>
              <w:rPr>
                <w:rFonts w:ascii="Times New Roman" w:eastAsia="宋体" w:hAnsi="Times New Roman"/>
                <w:color w:val="000000"/>
                <w:sz w:val="20"/>
                <w:szCs w:val="20"/>
              </w:rPr>
              <w:t>1,486 </w:t>
            </w:r>
          </w:p>
        </w:tc>
        <w:tc>
          <w:tcPr>
            <w:tcW w:w="0" w:type="auto"/>
            <w:shd w:val="clear" w:color="auto" w:fill="CCEEFF"/>
            <w:tcMar>
              <w:top w:w="40" w:type="dxa"/>
              <w:left w:w="0" w:type="dxa"/>
              <w:bottom w:w="40" w:type="dxa"/>
              <w:right w:w="20" w:type="dxa"/>
            </w:tcMar>
            <w:vAlign w:val="bottom"/>
          </w:tcPr>
          <w:p w14:paraId="7B67152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2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530" w14:textId="77777777" w:rsidR="0040300B" w:rsidRDefault="00BB2D44">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7B67153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32"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33"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34" w14:textId="77777777" w:rsidR="0040300B" w:rsidRDefault="00BB2D44">
            <w:pPr>
              <w:jc w:val="right"/>
              <w:textAlignment w:val="bottom"/>
            </w:pPr>
            <w:r>
              <w:rPr>
                <w:rFonts w:ascii="Times New Roman" w:eastAsia="宋体" w:hAnsi="Times New Roman"/>
                <w:color w:val="000000"/>
                <w:sz w:val="20"/>
                <w:szCs w:val="20"/>
              </w:rPr>
              <w:t>46.71 </w:t>
            </w:r>
          </w:p>
        </w:tc>
        <w:tc>
          <w:tcPr>
            <w:tcW w:w="0" w:type="auto"/>
            <w:shd w:val="clear" w:color="auto" w:fill="CCEEFF"/>
            <w:tcMar>
              <w:top w:w="40" w:type="dxa"/>
              <w:left w:w="0" w:type="dxa"/>
              <w:bottom w:w="40" w:type="dxa"/>
              <w:right w:w="20" w:type="dxa"/>
            </w:tcMar>
            <w:vAlign w:val="bottom"/>
          </w:tcPr>
          <w:p w14:paraId="7B67153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36"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3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38" w14:textId="77777777" w:rsidR="0040300B" w:rsidRDefault="00BB2D44">
            <w:pPr>
              <w:jc w:val="right"/>
              <w:textAlignment w:val="bottom"/>
            </w:pPr>
            <w:r>
              <w:rPr>
                <w:rFonts w:ascii="Times New Roman" w:eastAsia="宋体" w:hAnsi="Times New Roman"/>
                <w:color w:val="000000"/>
                <w:sz w:val="20"/>
                <w:szCs w:val="20"/>
              </w:rPr>
              <w:t>870 </w:t>
            </w:r>
          </w:p>
        </w:tc>
        <w:tc>
          <w:tcPr>
            <w:tcW w:w="0" w:type="auto"/>
            <w:shd w:val="clear" w:color="auto" w:fill="CCEEFF"/>
            <w:tcMar>
              <w:top w:w="40" w:type="dxa"/>
              <w:left w:w="0" w:type="dxa"/>
              <w:bottom w:w="40" w:type="dxa"/>
              <w:right w:w="20" w:type="dxa"/>
            </w:tcMar>
            <w:vAlign w:val="bottom"/>
          </w:tcPr>
          <w:p w14:paraId="7B67153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3A"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53B"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53C" w14:textId="77777777" w:rsidR="0040300B" w:rsidRDefault="00BB2D44">
            <w:pPr>
              <w:jc w:val="right"/>
              <w:textAlignment w:val="bottom"/>
            </w:pPr>
            <w:r>
              <w:rPr>
                <w:rFonts w:ascii="Times New Roman" w:eastAsia="宋体" w:hAnsi="Times New Roman"/>
                <w:color w:val="000000"/>
                <w:sz w:val="20"/>
                <w:szCs w:val="20"/>
              </w:rPr>
              <w:t>2,356 </w:t>
            </w:r>
          </w:p>
        </w:tc>
        <w:tc>
          <w:tcPr>
            <w:tcW w:w="0" w:type="auto"/>
            <w:shd w:val="clear" w:color="auto" w:fill="CCEEFF"/>
            <w:tcMar>
              <w:top w:w="40" w:type="dxa"/>
              <w:left w:w="0" w:type="dxa"/>
              <w:bottom w:w="40" w:type="dxa"/>
              <w:right w:w="20" w:type="dxa"/>
            </w:tcMar>
            <w:vAlign w:val="bottom"/>
          </w:tcPr>
          <w:p w14:paraId="7B67153D" w14:textId="77777777" w:rsidR="0040300B" w:rsidRDefault="0040300B">
            <w:pPr>
              <w:jc w:val="right"/>
              <w:rPr>
                <w:rFonts w:ascii="宋体"/>
              </w:rPr>
            </w:pPr>
          </w:p>
        </w:tc>
      </w:tr>
      <w:tr w:rsidR="0040300B" w14:paraId="7B671557" w14:textId="77777777">
        <w:tc>
          <w:tcPr>
            <w:tcW w:w="0" w:type="auto"/>
            <w:gridSpan w:val="3"/>
            <w:shd w:val="clear" w:color="auto" w:fill="FFFFFF"/>
            <w:tcMar>
              <w:top w:w="40" w:type="dxa"/>
              <w:left w:w="155" w:type="dxa"/>
              <w:bottom w:w="40" w:type="dxa"/>
              <w:right w:w="20" w:type="dxa"/>
            </w:tcMar>
            <w:vAlign w:val="bottom"/>
          </w:tcPr>
          <w:p w14:paraId="7B67153F" w14:textId="77777777" w:rsidR="0040300B" w:rsidRDefault="00BB2D44">
            <w:pPr>
              <w:textAlignment w:val="bottom"/>
            </w:pPr>
            <w:r>
              <w:rPr>
                <w:rFonts w:ascii="Times New Roman" w:eastAsia="宋体" w:hAnsi="Times New Roman"/>
                <w:color w:val="000000"/>
                <w:sz w:val="20"/>
                <w:szCs w:val="20"/>
              </w:rPr>
              <w:t>October 26, 2019</w:t>
            </w:r>
          </w:p>
        </w:tc>
        <w:tc>
          <w:tcPr>
            <w:tcW w:w="0" w:type="auto"/>
            <w:gridSpan w:val="3"/>
            <w:shd w:val="clear" w:color="auto" w:fill="FFFFFF"/>
            <w:tcMar>
              <w:top w:w="0" w:type="dxa"/>
              <w:left w:w="20" w:type="dxa"/>
              <w:bottom w:w="0" w:type="dxa"/>
              <w:right w:w="20" w:type="dxa"/>
            </w:tcMar>
          </w:tcPr>
          <w:p w14:paraId="7B671540"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4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42" w14:textId="77777777" w:rsidR="0040300B" w:rsidRDefault="00BB2D44">
            <w:pPr>
              <w:jc w:val="right"/>
              <w:textAlignment w:val="bottom"/>
            </w:pPr>
            <w:r>
              <w:rPr>
                <w:rFonts w:ascii="Times New Roman" w:eastAsia="宋体" w:hAnsi="Times New Roman"/>
                <w:color w:val="000000"/>
                <w:sz w:val="20"/>
                <w:szCs w:val="20"/>
              </w:rPr>
              <w:t>0.35 </w:t>
            </w:r>
          </w:p>
        </w:tc>
        <w:tc>
          <w:tcPr>
            <w:tcW w:w="0" w:type="auto"/>
            <w:shd w:val="clear" w:color="auto" w:fill="FFFFFF"/>
            <w:tcMar>
              <w:top w:w="40" w:type="dxa"/>
              <w:left w:w="0" w:type="dxa"/>
              <w:bottom w:w="40" w:type="dxa"/>
              <w:right w:w="20" w:type="dxa"/>
            </w:tcMar>
            <w:vAlign w:val="bottom"/>
          </w:tcPr>
          <w:p w14:paraId="7B6715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44"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4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46" w14:textId="77777777" w:rsidR="0040300B" w:rsidRDefault="00BB2D44">
            <w:pPr>
              <w:jc w:val="right"/>
              <w:textAlignment w:val="bottom"/>
            </w:pPr>
            <w:r>
              <w:rPr>
                <w:rFonts w:ascii="Times New Roman" w:eastAsia="宋体" w:hAnsi="Times New Roman"/>
                <w:color w:val="000000"/>
                <w:sz w:val="20"/>
                <w:szCs w:val="20"/>
              </w:rPr>
              <w:t>1,486 </w:t>
            </w:r>
          </w:p>
        </w:tc>
        <w:tc>
          <w:tcPr>
            <w:tcW w:w="0" w:type="auto"/>
            <w:shd w:val="clear" w:color="auto" w:fill="FFFFFF"/>
            <w:tcMar>
              <w:top w:w="40" w:type="dxa"/>
              <w:left w:w="0" w:type="dxa"/>
              <w:bottom w:w="40" w:type="dxa"/>
              <w:right w:w="20" w:type="dxa"/>
            </w:tcMar>
            <w:vAlign w:val="bottom"/>
          </w:tcPr>
          <w:p w14:paraId="7B67154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4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549" w14:textId="77777777" w:rsidR="0040300B" w:rsidRDefault="00BB2D44">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B67154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4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4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4D" w14:textId="77777777" w:rsidR="0040300B" w:rsidRDefault="00BB2D44">
            <w:pPr>
              <w:jc w:val="right"/>
              <w:textAlignment w:val="bottom"/>
            </w:pPr>
            <w:r>
              <w:rPr>
                <w:rFonts w:ascii="Times New Roman" w:eastAsia="宋体" w:hAnsi="Times New Roman"/>
                <w:color w:val="000000"/>
                <w:sz w:val="20"/>
                <w:szCs w:val="20"/>
              </w:rPr>
              <w:t>48.91 </w:t>
            </w:r>
          </w:p>
        </w:tc>
        <w:tc>
          <w:tcPr>
            <w:tcW w:w="0" w:type="auto"/>
            <w:shd w:val="clear" w:color="auto" w:fill="FFFFFF"/>
            <w:tcMar>
              <w:top w:w="40" w:type="dxa"/>
              <w:left w:w="0" w:type="dxa"/>
              <w:bottom w:w="40" w:type="dxa"/>
              <w:right w:w="20" w:type="dxa"/>
            </w:tcMar>
            <w:vAlign w:val="bottom"/>
          </w:tcPr>
          <w:p w14:paraId="7B67154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4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5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51" w14:textId="77777777" w:rsidR="0040300B" w:rsidRDefault="00BB2D44">
            <w:pPr>
              <w:jc w:val="right"/>
              <w:textAlignment w:val="bottom"/>
            </w:pPr>
            <w:r>
              <w:rPr>
                <w:rFonts w:ascii="Times New Roman" w:eastAsia="宋体" w:hAnsi="Times New Roman"/>
                <w:color w:val="000000"/>
                <w:sz w:val="20"/>
                <w:szCs w:val="20"/>
              </w:rPr>
              <w:t>768 </w:t>
            </w:r>
          </w:p>
        </w:tc>
        <w:tc>
          <w:tcPr>
            <w:tcW w:w="0" w:type="auto"/>
            <w:shd w:val="clear" w:color="auto" w:fill="FFFFFF"/>
            <w:tcMar>
              <w:top w:w="40" w:type="dxa"/>
              <w:left w:w="0" w:type="dxa"/>
              <w:bottom w:w="40" w:type="dxa"/>
              <w:right w:w="20" w:type="dxa"/>
            </w:tcMar>
            <w:vAlign w:val="bottom"/>
          </w:tcPr>
          <w:p w14:paraId="7B67155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53"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55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555" w14:textId="77777777" w:rsidR="0040300B" w:rsidRDefault="00BB2D44">
            <w:pPr>
              <w:jc w:val="right"/>
              <w:textAlignment w:val="bottom"/>
            </w:pPr>
            <w:r>
              <w:rPr>
                <w:rFonts w:ascii="Times New Roman" w:eastAsia="宋体" w:hAnsi="Times New Roman"/>
                <w:color w:val="000000"/>
                <w:sz w:val="20"/>
                <w:szCs w:val="20"/>
              </w:rPr>
              <w:t>2,254 </w:t>
            </w:r>
          </w:p>
        </w:tc>
        <w:tc>
          <w:tcPr>
            <w:tcW w:w="0" w:type="auto"/>
            <w:shd w:val="clear" w:color="auto" w:fill="FFFFFF"/>
            <w:tcMar>
              <w:top w:w="40" w:type="dxa"/>
              <w:left w:w="0" w:type="dxa"/>
              <w:bottom w:w="40" w:type="dxa"/>
              <w:right w:w="20" w:type="dxa"/>
            </w:tcMar>
            <w:vAlign w:val="bottom"/>
          </w:tcPr>
          <w:p w14:paraId="7B671556" w14:textId="77777777" w:rsidR="0040300B" w:rsidRDefault="0040300B">
            <w:pPr>
              <w:jc w:val="right"/>
              <w:rPr>
                <w:rFonts w:ascii="宋体"/>
              </w:rPr>
            </w:pPr>
          </w:p>
        </w:tc>
      </w:tr>
    </w:tbl>
    <w:p w14:paraId="7B671558" w14:textId="77777777" w:rsidR="0040300B" w:rsidRDefault="00BB2D44">
      <w:pPr>
        <w:spacing w:before="120"/>
        <w:jc w:val="both"/>
      </w:pPr>
      <w:r>
        <w:rPr>
          <w:rFonts w:ascii="Times New Roman" w:eastAsia="宋体" w:hAnsi="Times New Roman"/>
          <w:color w:val="000000"/>
          <w:sz w:val="20"/>
          <w:szCs w:val="20"/>
        </w:rPr>
        <w:t>Any future dividends are subject to the approval of our Board of Directors.</w:t>
      </w:r>
    </w:p>
    <w:p w14:paraId="7B671559" w14:textId="77777777" w:rsidR="0040300B" w:rsidRDefault="00BB2D44">
      <w:pPr>
        <w:spacing w:before="120"/>
        <w:jc w:val="both"/>
      </w:pPr>
      <w:r>
        <w:rPr>
          <w:rFonts w:ascii="Times New Roman" w:eastAsia="宋体" w:hAnsi="Times New Roman"/>
          <w:color w:val="000000"/>
          <w:sz w:val="20"/>
          <w:szCs w:val="20"/>
        </w:rPr>
        <w:t xml:space="preserve">The remaining authorized amount for stock repurchases under this program is approximately $8.7 billion, with no termination date. </w:t>
      </w:r>
    </w:p>
    <w:p w14:paraId="7B67155A" w14:textId="77777777" w:rsidR="0040300B" w:rsidRDefault="00BB2D44">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xml:space="preserve">  The followin</w:t>
      </w:r>
      <w:r>
        <w:rPr>
          <w:rFonts w:ascii="Times New Roman" w:eastAsia="宋体" w:hAnsi="Times New Roman"/>
          <w:color w:val="000000"/>
          <w:sz w:val="20"/>
          <w:szCs w:val="20"/>
        </w:rPr>
        <w:t>g table summarizes our accounts receivable, net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40300B" w14:paraId="7B67156D" w14:textId="77777777">
        <w:tc>
          <w:tcPr>
            <w:tcW w:w="50" w:type="pct"/>
            <w:shd w:val="clear" w:color="auto" w:fill="auto"/>
          </w:tcPr>
          <w:p w14:paraId="7B67155B" w14:textId="77777777" w:rsidR="0040300B" w:rsidRDefault="0040300B">
            <w:pPr>
              <w:rPr>
                <w:rFonts w:ascii="宋体"/>
              </w:rPr>
            </w:pPr>
          </w:p>
        </w:tc>
        <w:tc>
          <w:tcPr>
            <w:tcW w:w="2826" w:type="pct"/>
            <w:shd w:val="clear" w:color="auto" w:fill="auto"/>
          </w:tcPr>
          <w:p w14:paraId="7B67155C" w14:textId="77777777" w:rsidR="0040300B" w:rsidRDefault="0040300B">
            <w:pPr>
              <w:rPr>
                <w:rFonts w:ascii="宋体"/>
              </w:rPr>
            </w:pPr>
          </w:p>
        </w:tc>
        <w:tc>
          <w:tcPr>
            <w:tcW w:w="5" w:type="pct"/>
            <w:shd w:val="clear" w:color="auto" w:fill="auto"/>
          </w:tcPr>
          <w:p w14:paraId="7B67155D" w14:textId="77777777" w:rsidR="0040300B" w:rsidRDefault="0040300B">
            <w:pPr>
              <w:rPr>
                <w:rFonts w:ascii="宋体"/>
              </w:rPr>
            </w:pPr>
          </w:p>
        </w:tc>
        <w:tc>
          <w:tcPr>
            <w:tcW w:w="50" w:type="pct"/>
            <w:shd w:val="clear" w:color="auto" w:fill="auto"/>
          </w:tcPr>
          <w:p w14:paraId="7B67155E" w14:textId="77777777" w:rsidR="0040300B" w:rsidRDefault="0040300B">
            <w:pPr>
              <w:rPr>
                <w:rFonts w:ascii="宋体"/>
              </w:rPr>
            </w:pPr>
          </w:p>
        </w:tc>
        <w:tc>
          <w:tcPr>
            <w:tcW w:w="626" w:type="pct"/>
            <w:shd w:val="clear" w:color="auto" w:fill="auto"/>
          </w:tcPr>
          <w:p w14:paraId="7B67155F" w14:textId="77777777" w:rsidR="0040300B" w:rsidRDefault="0040300B">
            <w:pPr>
              <w:rPr>
                <w:rFonts w:ascii="宋体"/>
              </w:rPr>
            </w:pPr>
          </w:p>
        </w:tc>
        <w:tc>
          <w:tcPr>
            <w:tcW w:w="5" w:type="pct"/>
            <w:shd w:val="clear" w:color="auto" w:fill="auto"/>
          </w:tcPr>
          <w:p w14:paraId="7B671560" w14:textId="77777777" w:rsidR="0040300B" w:rsidRDefault="0040300B">
            <w:pPr>
              <w:rPr>
                <w:rFonts w:ascii="宋体"/>
              </w:rPr>
            </w:pPr>
          </w:p>
        </w:tc>
        <w:tc>
          <w:tcPr>
            <w:tcW w:w="5" w:type="pct"/>
            <w:shd w:val="clear" w:color="auto" w:fill="auto"/>
          </w:tcPr>
          <w:p w14:paraId="7B671561" w14:textId="77777777" w:rsidR="0040300B" w:rsidRDefault="0040300B">
            <w:pPr>
              <w:rPr>
                <w:rFonts w:ascii="宋体"/>
              </w:rPr>
            </w:pPr>
          </w:p>
        </w:tc>
        <w:tc>
          <w:tcPr>
            <w:tcW w:w="26" w:type="pct"/>
            <w:shd w:val="clear" w:color="auto" w:fill="auto"/>
          </w:tcPr>
          <w:p w14:paraId="7B671562" w14:textId="77777777" w:rsidR="0040300B" w:rsidRDefault="0040300B">
            <w:pPr>
              <w:rPr>
                <w:rFonts w:ascii="宋体"/>
              </w:rPr>
            </w:pPr>
          </w:p>
        </w:tc>
        <w:tc>
          <w:tcPr>
            <w:tcW w:w="5" w:type="pct"/>
            <w:shd w:val="clear" w:color="auto" w:fill="auto"/>
          </w:tcPr>
          <w:p w14:paraId="7B671563" w14:textId="77777777" w:rsidR="0040300B" w:rsidRDefault="0040300B">
            <w:pPr>
              <w:rPr>
                <w:rFonts w:ascii="宋体"/>
              </w:rPr>
            </w:pPr>
          </w:p>
        </w:tc>
        <w:tc>
          <w:tcPr>
            <w:tcW w:w="50" w:type="pct"/>
            <w:shd w:val="clear" w:color="auto" w:fill="auto"/>
          </w:tcPr>
          <w:p w14:paraId="7B671564" w14:textId="77777777" w:rsidR="0040300B" w:rsidRDefault="0040300B">
            <w:pPr>
              <w:rPr>
                <w:rFonts w:ascii="宋体"/>
              </w:rPr>
            </w:pPr>
          </w:p>
        </w:tc>
        <w:tc>
          <w:tcPr>
            <w:tcW w:w="626" w:type="pct"/>
            <w:shd w:val="clear" w:color="auto" w:fill="auto"/>
          </w:tcPr>
          <w:p w14:paraId="7B671565" w14:textId="77777777" w:rsidR="0040300B" w:rsidRDefault="0040300B">
            <w:pPr>
              <w:rPr>
                <w:rFonts w:ascii="宋体"/>
              </w:rPr>
            </w:pPr>
          </w:p>
        </w:tc>
        <w:tc>
          <w:tcPr>
            <w:tcW w:w="5" w:type="pct"/>
            <w:shd w:val="clear" w:color="auto" w:fill="auto"/>
          </w:tcPr>
          <w:p w14:paraId="7B671566" w14:textId="77777777" w:rsidR="0040300B" w:rsidRDefault="0040300B">
            <w:pPr>
              <w:rPr>
                <w:rFonts w:ascii="宋体"/>
              </w:rPr>
            </w:pPr>
          </w:p>
        </w:tc>
        <w:tc>
          <w:tcPr>
            <w:tcW w:w="5" w:type="pct"/>
            <w:shd w:val="clear" w:color="auto" w:fill="auto"/>
          </w:tcPr>
          <w:p w14:paraId="7B671567" w14:textId="77777777" w:rsidR="0040300B" w:rsidRDefault="0040300B">
            <w:pPr>
              <w:rPr>
                <w:rFonts w:ascii="宋体"/>
              </w:rPr>
            </w:pPr>
          </w:p>
        </w:tc>
        <w:tc>
          <w:tcPr>
            <w:tcW w:w="26" w:type="pct"/>
            <w:shd w:val="clear" w:color="auto" w:fill="auto"/>
          </w:tcPr>
          <w:p w14:paraId="7B671568" w14:textId="77777777" w:rsidR="0040300B" w:rsidRDefault="0040300B">
            <w:pPr>
              <w:rPr>
                <w:rFonts w:ascii="宋体"/>
              </w:rPr>
            </w:pPr>
          </w:p>
        </w:tc>
        <w:tc>
          <w:tcPr>
            <w:tcW w:w="5" w:type="pct"/>
            <w:shd w:val="clear" w:color="auto" w:fill="auto"/>
          </w:tcPr>
          <w:p w14:paraId="7B671569" w14:textId="77777777" w:rsidR="0040300B" w:rsidRDefault="0040300B">
            <w:pPr>
              <w:rPr>
                <w:rFonts w:ascii="宋体"/>
              </w:rPr>
            </w:pPr>
          </w:p>
        </w:tc>
        <w:tc>
          <w:tcPr>
            <w:tcW w:w="50" w:type="pct"/>
            <w:shd w:val="clear" w:color="auto" w:fill="auto"/>
          </w:tcPr>
          <w:p w14:paraId="7B67156A" w14:textId="77777777" w:rsidR="0040300B" w:rsidRDefault="0040300B">
            <w:pPr>
              <w:rPr>
                <w:rFonts w:ascii="宋体"/>
              </w:rPr>
            </w:pPr>
          </w:p>
        </w:tc>
        <w:tc>
          <w:tcPr>
            <w:tcW w:w="626" w:type="pct"/>
            <w:shd w:val="clear" w:color="auto" w:fill="auto"/>
          </w:tcPr>
          <w:p w14:paraId="7B67156B" w14:textId="77777777" w:rsidR="0040300B" w:rsidRDefault="0040300B">
            <w:pPr>
              <w:rPr>
                <w:rFonts w:ascii="宋体"/>
              </w:rPr>
            </w:pPr>
          </w:p>
        </w:tc>
        <w:tc>
          <w:tcPr>
            <w:tcW w:w="5" w:type="pct"/>
            <w:shd w:val="clear" w:color="auto" w:fill="auto"/>
          </w:tcPr>
          <w:p w14:paraId="7B67156C" w14:textId="77777777" w:rsidR="0040300B" w:rsidRDefault="0040300B">
            <w:pPr>
              <w:rPr>
                <w:rFonts w:ascii="宋体"/>
              </w:rPr>
            </w:pPr>
          </w:p>
        </w:tc>
      </w:tr>
      <w:tr w:rsidR="0040300B" w14:paraId="7B671574" w14:textId="77777777">
        <w:tc>
          <w:tcPr>
            <w:tcW w:w="0" w:type="auto"/>
            <w:gridSpan w:val="3"/>
            <w:shd w:val="clear" w:color="auto" w:fill="auto"/>
            <w:tcMar>
              <w:top w:w="40" w:type="dxa"/>
              <w:left w:w="20" w:type="dxa"/>
              <w:bottom w:w="40" w:type="dxa"/>
              <w:right w:w="20" w:type="dxa"/>
            </w:tcMar>
            <w:vAlign w:val="bottom"/>
          </w:tcPr>
          <w:p w14:paraId="7B67156E"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56F"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570"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571"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57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573"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581" w14:textId="77777777">
        <w:tc>
          <w:tcPr>
            <w:tcW w:w="0" w:type="auto"/>
            <w:gridSpan w:val="3"/>
            <w:shd w:val="clear" w:color="auto" w:fill="CCEEFF"/>
            <w:tcMar>
              <w:top w:w="40" w:type="dxa"/>
              <w:left w:w="20" w:type="dxa"/>
              <w:bottom w:w="40" w:type="dxa"/>
              <w:right w:w="20" w:type="dxa"/>
            </w:tcMar>
            <w:vAlign w:val="bottom"/>
          </w:tcPr>
          <w:p w14:paraId="7B671575" w14:textId="77777777" w:rsidR="0040300B" w:rsidRDefault="00BB2D44">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57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77" w14:textId="77777777" w:rsidR="0040300B" w:rsidRDefault="00BB2D44">
            <w:pPr>
              <w:jc w:val="right"/>
              <w:textAlignment w:val="bottom"/>
            </w:pPr>
            <w:r>
              <w:rPr>
                <w:rFonts w:ascii="Times New Roman" w:eastAsia="宋体" w:hAnsi="Times New Roman"/>
                <w:color w:val="000000"/>
                <w:sz w:val="20"/>
                <w:szCs w:val="20"/>
              </w:rPr>
              <w:t>4,425 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7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7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57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7B" w14:textId="77777777" w:rsidR="0040300B" w:rsidRDefault="00BB2D44">
            <w:pPr>
              <w:jc w:val="right"/>
              <w:textAlignment w:val="bottom"/>
            </w:pPr>
            <w:r>
              <w:rPr>
                <w:rFonts w:ascii="Times New Roman" w:eastAsia="宋体" w:hAnsi="Times New Roman"/>
                <w:color w:val="000000"/>
                <w:sz w:val="20"/>
                <w:szCs w:val="20"/>
              </w:rPr>
              <w:t>5,472 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7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7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57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7F" w14:textId="77777777" w:rsidR="0040300B" w:rsidRDefault="00BB2D44">
            <w:pPr>
              <w:jc w:val="right"/>
              <w:textAlignment w:val="bottom"/>
            </w:pPr>
            <w:r>
              <w:rPr>
                <w:rFonts w:ascii="Times New Roman" w:eastAsia="宋体" w:hAnsi="Times New Roman"/>
                <w:color w:val="000000"/>
                <w:sz w:val="20"/>
                <w:szCs w:val="20"/>
              </w:rPr>
              <w:t>(1,047)</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80" w14:textId="77777777" w:rsidR="0040300B" w:rsidRDefault="0040300B">
            <w:pPr>
              <w:jc w:val="right"/>
              <w:rPr>
                <w:rFonts w:ascii="宋体"/>
              </w:rPr>
            </w:pPr>
          </w:p>
        </w:tc>
      </w:tr>
    </w:tbl>
    <w:p w14:paraId="7B671582" w14:textId="77777777" w:rsidR="0040300B" w:rsidRDefault="00BB2D44">
      <w:pPr>
        <w:spacing w:before="120"/>
        <w:jc w:val="both"/>
      </w:pPr>
      <w:r>
        <w:rPr>
          <w:rFonts w:ascii="Times New Roman" w:eastAsia="宋体" w:hAnsi="Times New Roman"/>
          <w:color w:val="000000"/>
          <w:sz w:val="20"/>
          <w:szCs w:val="20"/>
        </w:rPr>
        <w:t>Our accounts receivable net, as of May 1, 2021 decreased by approximately 19%, as compared with the end of fiscal 2020, primarily due to timing and amount of product and service billings in the third quarter of fiscal</w:t>
      </w:r>
      <w:r>
        <w:rPr>
          <w:rFonts w:ascii="Times New Roman" w:eastAsia="宋体" w:hAnsi="Times New Roman"/>
          <w:color w:val="000000"/>
          <w:sz w:val="20"/>
          <w:szCs w:val="20"/>
        </w:rPr>
        <w:t xml:space="preserve"> 2021 compared with the fourth quarter of fiscal 2020. </w:t>
      </w:r>
    </w:p>
    <w:p w14:paraId="7B671583" w14:textId="77777777" w:rsidR="0040300B" w:rsidRDefault="00BB2D44">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purchase commitments with contract manufacturers and suppliers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40300B" w14:paraId="7B671596" w14:textId="77777777">
        <w:tc>
          <w:tcPr>
            <w:tcW w:w="50" w:type="pct"/>
            <w:shd w:val="clear" w:color="auto" w:fill="auto"/>
          </w:tcPr>
          <w:p w14:paraId="7B671584" w14:textId="77777777" w:rsidR="0040300B" w:rsidRDefault="0040300B">
            <w:pPr>
              <w:rPr>
                <w:rFonts w:ascii="宋体"/>
              </w:rPr>
            </w:pPr>
          </w:p>
        </w:tc>
        <w:tc>
          <w:tcPr>
            <w:tcW w:w="2826" w:type="pct"/>
            <w:shd w:val="clear" w:color="auto" w:fill="auto"/>
          </w:tcPr>
          <w:p w14:paraId="7B671585" w14:textId="77777777" w:rsidR="0040300B" w:rsidRDefault="0040300B">
            <w:pPr>
              <w:rPr>
                <w:rFonts w:ascii="宋体"/>
              </w:rPr>
            </w:pPr>
          </w:p>
        </w:tc>
        <w:tc>
          <w:tcPr>
            <w:tcW w:w="5" w:type="pct"/>
            <w:shd w:val="clear" w:color="auto" w:fill="auto"/>
          </w:tcPr>
          <w:p w14:paraId="7B671586" w14:textId="77777777" w:rsidR="0040300B" w:rsidRDefault="0040300B">
            <w:pPr>
              <w:rPr>
                <w:rFonts w:ascii="宋体"/>
              </w:rPr>
            </w:pPr>
          </w:p>
        </w:tc>
        <w:tc>
          <w:tcPr>
            <w:tcW w:w="50" w:type="pct"/>
            <w:shd w:val="clear" w:color="auto" w:fill="auto"/>
          </w:tcPr>
          <w:p w14:paraId="7B671587" w14:textId="77777777" w:rsidR="0040300B" w:rsidRDefault="0040300B">
            <w:pPr>
              <w:rPr>
                <w:rFonts w:ascii="宋体"/>
              </w:rPr>
            </w:pPr>
          </w:p>
        </w:tc>
        <w:tc>
          <w:tcPr>
            <w:tcW w:w="626" w:type="pct"/>
            <w:shd w:val="clear" w:color="auto" w:fill="auto"/>
          </w:tcPr>
          <w:p w14:paraId="7B671588" w14:textId="77777777" w:rsidR="0040300B" w:rsidRDefault="0040300B">
            <w:pPr>
              <w:rPr>
                <w:rFonts w:ascii="宋体"/>
              </w:rPr>
            </w:pPr>
          </w:p>
        </w:tc>
        <w:tc>
          <w:tcPr>
            <w:tcW w:w="5" w:type="pct"/>
            <w:shd w:val="clear" w:color="auto" w:fill="auto"/>
          </w:tcPr>
          <w:p w14:paraId="7B671589" w14:textId="77777777" w:rsidR="0040300B" w:rsidRDefault="0040300B">
            <w:pPr>
              <w:rPr>
                <w:rFonts w:ascii="宋体"/>
              </w:rPr>
            </w:pPr>
          </w:p>
        </w:tc>
        <w:tc>
          <w:tcPr>
            <w:tcW w:w="5" w:type="pct"/>
            <w:shd w:val="clear" w:color="auto" w:fill="auto"/>
          </w:tcPr>
          <w:p w14:paraId="7B67158A" w14:textId="77777777" w:rsidR="0040300B" w:rsidRDefault="0040300B">
            <w:pPr>
              <w:rPr>
                <w:rFonts w:ascii="宋体"/>
              </w:rPr>
            </w:pPr>
          </w:p>
        </w:tc>
        <w:tc>
          <w:tcPr>
            <w:tcW w:w="26" w:type="pct"/>
            <w:shd w:val="clear" w:color="auto" w:fill="auto"/>
          </w:tcPr>
          <w:p w14:paraId="7B67158B" w14:textId="77777777" w:rsidR="0040300B" w:rsidRDefault="0040300B">
            <w:pPr>
              <w:rPr>
                <w:rFonts w:ascii="宋体"/>
              </w:rPr>
            </w:pPr>
          </w:p>
        </w:tc>
        <w:tc>
          <w:tcPr>
            <w:tcW w:w="5" w:type="pct"/>
            <w:shd w:val="clear" w:color="auto" w:fill="auto"/>
          </w:tcPr>
          <w:p w14:paraId="7B67158C" w14:textId="77777777" w:rsidR="0040300B" w:rsidRDefault="0040300B">
            <w:pPr>
              <w:rPr>
                <w:rFonts w:ascii="宋体"/>
              </w:rPr>
            </w:pPr>
          </w:p>
        </w:tc>
        <w:tc>
          <w:tcPr>
            <w:tcW w:w="50" w:type="pct"/>
            <w:shd w:val="clear" w:color="auto" w:fill="auto"/>
          </w:tcPr>
          <w:p w14:paraId="7B67158D" w14:textId="77777777" w:rsidR="0040300B" w:rsidRDefault="0040300B">
            <w:pPr>
              <w:rPr>
                <w:rFonts w:ascii="宋体"/>
              </w:rPr>
            </w:pPr>
          </w:p>
        </w:tc>
        <w:tc>
          <w:tcPr>
            <w:tcW w:w="626" w:type="pct"/>
            <w:shd w:val="clear" w:color="auto" w:fill="auto"/>
          </w:tcPr>
          <w:p w14:paraId="7B67158E" w14:textId="77777777" w:rsidR="0040300B" w:rsidRDefault="0040300B">
            <w:pPr>
              <w:rPr>
                <w:rFonts w:ascii="宋体"/>
              </w:rPr>
            </w:pPr>
          </w:p>
        </w:tc>
        <w:tc>
          <w:tcPr>
            <w:tcW w:w="5" w:type="pct"/>
            <w:shd w:val="clear" w:color="auto" w:fill="auto"/>
          </w:tcPr>
          <w:p w14:paraId="7B67158F" w14:textId="77777777" w:rsidR="0040300B" w:rsidRDefault="0040300B">
            <w:pPr>
              <w:rPr>
                <w:rFonts w:ascii="宋体"/>
              </w:rPr>
            </w:pPr>
          </w:p>
        </w:tc>
        <w:tc>
          <w:tcPr>
            <w:tcW w:w="5" w:type="pct"/>
            <w:shd w:val="clear" w:color="auto" w:fill="auto"/>
          </w:tcPr>
          <w:p w14:paraId="7B671590" w14:textId="77777777" w:rsidR="0040300B" w:rsidRDefault="0040300B">
            <w:pPr>
              <w:rPr>
                <w:rFonts w:ascii="宋体"/>
              </w:rPr>
            </w:pPr>
          </w:p>
        </w:tc>
        <w:tc>
          <w:tcPr>
            <w:tcW w:w="26" w:type="pct"/>
            <w:shd w:val="clear" w:color="auto" w:fill="auto"/>
          </w:tcPr>
          <w:p w14:paraId="7B671591" w14:textId="77777777" w:rsidR="0040300B" w:rsidRDefault="0040300B">
            <w:pPr>
              <w:rPr>
                <w:rFonts w:ascii="宋体"/>
              </w:rPr>
            </w:pPr>
          </w:p>
        </w:tc>
        <w:tc>
          <w:tcPr>
            <w:tcW w:w="5" w:type="pct"/>
            <w:shd w:val="clear" w:color="auto" w:fill="auto"/>
          </w:tcPr>
          <w:p w14:paraId="7B671592" w14:textId="77777777" w:rsidR="0040300B" w:rsidRDefault="0040300B">
            <w:pPr>
              <w:rPr>
                <w:rFonts w:ascii="宋体"/>
              </w:rPr>
            </w:pPr>
          </w:p>
        </w:tc>
        <w:tc>
          <w:tcPr>
            <w:tcW w:w="50" w:type="pct"/>
            <w:shd w:val="clear" w:color="auto" w:fill="auto"/>
          </w:tcPr>
          <w:p w14:paraId="7B671593" w14:textId="77777777" w:rsidR="0040300B" w:rsidRDefault="0040300B">
            <w:pPr>
              <w:rPr>
                <w:rFonts w:ascii="宋体"/>
              </w:rPr>
            </w:pPr>
          </w:p>
        </w:tc>
        <w:tc>
          <w:tcPr>
            <w:tcW w:w="626" w:type="pct"/>
            <w:shd w:val="clear" w:color="auto" w:fill="auto"/>
          </w:tcPr>
          <w:p w14:paraId="7B671594" w14:textId="77777777" w:rsidR="0040300B" w:rsidRDefault="0040300B">
            <w:pPr>
              <w:rPr>
                <w:rFonts w:ascii="宋体"/>
              </w:rPr>
            </w:pPr>
          </w:p>
        </w:tc>
        <w:tc>
          <w:tcPr>
            <w:tcW w:w="5" w:type="pct"/>
            <w:shd w:val="clear" w:color="auto" w:fill="auto"/>
          </w:tcPr>
          <w:p w14:paraId="7B671595" w14:textId="77777777" w:rsidR="0040300B" w:rsidRDefault="0040300B">
            <w:pPr>
              <w:rPr>
                <w:rFonts w:ascii="宋体"/>
              </w:rPr>
            </w:pPr>
          </w:p>
        </w:tc>
      </w:tr>
      <w:tr w:rsidR="0040300B" w14:paraId="7B67159D" w14:textId="77777777">
        <w:tc>
          <w:tcPr>
            <w:tcW w:w="0" w:type="auto"/>
            <w:gridSpan w:val="3"/>
            <w:shd w:val="clear" w:color="auto" w:fill="auto"/>
            <w:tcMar>
              <w:top w:w="40" w:type="dxa"/>
              <w:left w:w="20" w:type="dxa"/>
              <w:bottom w:w="40" w:type="dxa"/>
              <w:right w:w="20" w:type="dxa"/>
            </w:tcMar>
            <w:vAlign w:val="bottom"/>
          </w:tcPr>
          <w:p w14:paraId="7B671597"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598"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59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59A"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r>
            <w:r>
              <w:rPr>
                <w:rFonts w:ascii="Times New Roman" w:eastAsia="宋体" w:hAnsi="Times New Roman"/>
                <w:color w:val="000000"/>
                <w:sz w:val="18"/>
                <w:szCs w:val="18"/>
              </w:rPr>
              <w:t>2020</w:t>
            </w:r>
          </w:p>
        </w:tc>
        <w:tc>
          <w:tcPr>
            <w:tcW w:w="0" w:type="auto"/>
            <w:gridSpan w:val="3"/>
            <w:shd w:val="clear" w:color="auto" w:fill="auto"/>
            <w:tcMar>
              <w:top w:w="0" w:type="dxa"/>
              <w:left w:w="20" w:type="dxa"/>
              <w:bottom w:w="0" w:type="dxa"/>
              <w:right w:w="20" w:type="dxa"/>
            </w:tcMar>
          </w:tcPr>
          <w:p w14:paraId="7B67159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59C"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5AA" w14:textId="77777777">
        <w:tc>
          <w:tcPr>
            <w:tcW w:w="0" w:type="auto"/>
            <w:gridSpan w:val="3"/>
            <w:shd w:val="clear" w:color="auto" w:fill="CCEEFF"/>
            <w:tcMar>
              <w:top w:w="40" w:type="dxa"/>
              <w:left w:w="20" w:type="dxa"/>
              <w:bottom w:w="40" w:type="dxa"/>
              <w:right w:w="20" w:type="dxa"/>
            </w:tcMar>
            <w:vAlign w:val="bottom"/>
          </w:tcPr>
          <w:p w14:paraId="7B67159E" w14:textId="77777777" w:rsidR="0040300B" w:rsidRDefault="00BB2D44">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59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A0" w14:textId="77777777" w:rsidR="0040300B" w:rsidRDefault="00BB2D44">
            <w:pPr>
              <w:jc w:val="right"/>
              <w:textAlignment w:val="bottom"/>
            </w:pPr>
            <w:r>
              <w:rPr>
                <w:rFonts w:ascii="Times New Roman" w:eastAsia="宋体" w:hAnsi="Times New Roman"/>
                <w:color w:val="000000"/>
                <w:sz w:val="20"/>
                <w:szCs w:val="20"/>
              </w:rPr>
              <w:t>1,579 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A2"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5A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A4" w14:textId="77777777" w:rsidR="0040300B" w:rsidRDefault="00BB2D44">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A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A6"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5A7"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A8" w14:textId="77777777" w:rsidR="0040300B" w:rsidRDefault="00BB2D44">
            <w:pPr>
              <w:jc w:val="right"/>
              <w:textAlignment w:val="bottom"/>
            </w:pPr>
            <w:r>
              <w:rPr>
                <w:rFonts w:ascii="Times New Roman" w:eastAsia="宋体" w:hAnsi="Times New Roman"/>
                <w:color w:val="000000"/>
                <w:sz w:val="20"/>
                <w:szCs w:val="20"/>
              </w:rPr>
              <w:t>297 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A9" w14:textId="77777777" w:rsidR="0040300B" w:rsidRDefault="0040300B">
            <w:pPr>
              <w:jc w:val="right"/>
              <w:rPr>
                <w:rFonts w:ascii="宋体"/>
              </w:rPr>
            </w:pPr>
          </w:p>
        </w:tc>
      </w:tr>
    </w:tbl>
    <w:p w14:paraId="7B6715AB" w14:textId="77777777" w:rsidR="0040300B" w:rsidRDefault="00BB2D44">
      <w:pPr>
        <w:spacing w:before="120"/>
        <w:jc w:val="both"/>
      </w:pPr>
      <w:r>
        <w:rPr>
          <w:rFonts w:ascii="Times New Roman" w:eastAsia="宋体" w:hAnsi="Times New Roman"/>
          <w:color w:val="000000"/>
          <w:sz w:val="20"/>
          <w:szCs w:val="20"/>
        </w:rPr>
        <w:t xml:space="preserve">Inventory as of May 1, 2021 increased by 23% from our inventory balance at the end of fiscal 2020. The increase in inventory was primarily due to an increase in raw materials and higher deferred cost of sales. </w:t>
      </w:r>
    </w:p>
    <w:p w14:paraId="7B6715AC" w14:textId="77777777" w:rsidR="0040300B" w:rsidRDefault="00BB2D44">
      <w:pPr>
        <w:spacing w:before="120"/>
        <w:jc w:val="both"/>
      </w:pPr>
      <w:r>
        <w:rPr>
          <w:rFonts w:ascii="Times New Roman" w:eastAsia="宋体" w:hAnsi="Times New Roman"/>
          <w:color w:val="000000"/>
          <w:sz w:val="20"/>
          <w:szCs w:val="20"/>
        </w:rPr>
        <w:t>We pur</w:t>
      </w:r>
      <w:r>
        <w:rPr>
          <w:rFonts w:ascii="Times New Roman" w:eastAsia="宋体" w:hAnsi="Times New Roman"/>
          <w:color w:val="000000"/>
          <w:sz w:val="20"/>
          <w:szCs w:val="20"/>
        </w:rPr>
        <w:t>chase components from a variety of suppliers and use several contract manufacturers to provide manufacturing services for our products. During the normal course of business, in order to manage manufacturing lead times and help ensure adequate component sup</w:t>
      </w:r>
      <w:r>
        <w:rPr>
          <w:rFonts w:ascii="Times New Roman" w:eastAsia="宋体" w:hAnsi="Times New Roman"/>
          <w:color w:val="000000"/>
          <w:sz w:val="20"/>
          <w:szCs w:val="20"/>
        </w:rPr>
        <w:t xml:space="preserve">ply, we enter into agreements with contract manufacturers and suppliers that allow them to procure inventory </w:t>
      </w:r>
    </w:p>
    <w:p w14:paraId="7B6715AD" w14:textId="77777777" w:rsidR="0040300B" w:rsidRDefault="00BB2D44">
      <w:pPr>
        <w:jc w:val="center"/>
      </w:pPr>
      <w:r>
        <w:rPr>
          <w:rFonts w:ascii="Times New Roman" w:eastAsia="宋体" w:hAnsi="Times New Roman"/>
          <w:color w:val="000000"/>
          <w:sz w:val="20"/>
          <w:szCs w:val="20"/>
        </w:rPr>
        <w:t>61</w:t>
      </w:r>
    </w:p>
    <w:p w14:paraId="7B6715AE" w14:textId="77777777" w:rsidR="0040300B" w:rsidRDefault="00BB2D44">
      <w:r>
        <w:pict w14:anchorId="7B671C4D">
          <v:rect id="_x0000_i1085" style="width:415.3pt;height:1.5pt" o:hralign="center" o:hrstd="t" o:hr="t" fillcolor="#a0a0a0" stroked="f"/>
        </w:pict>
      </w:r>
    </w:p>
    <w:p w14:paraId="7B6715AF" w14:textId="77777777" w:rsidR="0040300B" w:rsidRDefault="00BB2D44">
      <w:hyperlink r:id="rId107"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5B0" w14:textId="77777777" w:rsidR="0040300B" w:rsidRDefault="00BB2D44">
      <w:pPr>
        <w:jc w:val="center"/>
      </w:pPr>
      <w:r>
        <w:rPr>
          <w:rFonts w:ascii="Times New Roman" w:eastAsia="宋体" w:hAnsi="Times New Roman"/>
          <w:b/>
          <w:bCs/>
          <w:color w:val="000000"/>
          <w:sz w:val="18"/>
          <w:szCs w:val="18"/>
        </w:rPr>
        <w:t>CISCO SYSTEMS, INC.</w:t>
      </w:r>
    </w:p>
    <w:p w14:paraId="7B6715B1"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15B2" w14:textId="77777777" w:rsidR="0040300B" w:rsidRDefault="0040300B">
      <w:pPr>
        <w:jc w:val="center"/>
      </w:pPr>
    </w:p>
    <w:p w14:paraId="7B6715B3" w14:textId="77777777" w:rsidR="0040300B" w:rsidRDefault="00BB2D44">
      <w:pPr>
        <w:spacing w:before="120"/>
        <w:jc w:val="both"/>
      </w:pPr>
      <w:r>
        <w:rPr>
          <w:rFonts w:ascii="Times New Roman" w:eastAsia="宋体" w:hAnsi="Times New Roman"/>
          <w:color w:val="000000"/>
          <w:sz w:val="20"/>
          <w:szCs w:val="20"/>
        </w:rPr>
        <w:t>based upon criteria as defined by us or that establish the parameters defining our requirements and our commit</w:t>
      </w:r>
      <w:r>
        <w:rPr>
          <w:rFonts w:ascii="Times New Roman" w:eastAsia="宋体" w:hAnsi="Times New Roman"/>
          <w:color w:val="000000"/>
          <w:sz w:val="20"/>
          <w:szCs w:val="20"/>
        </w:rPr>
        <w:t xml:space="preserve">ment to securing manufacturing capacity. </w:t>
      </w:r>
    </w:p>
    <w:p w14:paraId="7B6715B4" w14:textId="77777777" w:rsidR="0040300B" w:rsidRDefault="00BB2D44">
      <w:pPr>
        <w:spacing w:before="120"/>
        <w:jc w:val="both"/>
      </w:pPr>
      <w:r>
        <w:rPr>
          <w:rFonts w:ascii="Times New Roman" w:eastAsia="宋体" w:hAnsi="Times New Roman"/>
          <w:color w:val="000000"/>
          <w:sz w:val="20"/>
          <w:szCs w:val="20"/>
        </w:rPr>
        <w:t>Our purchase commitments are for short-term product manufacturing requirements as well as for commitments to suppliers to secure manufacturing capacity. Certain of our purchase commitments with contract manufacture</w:t>
      </w:r>
      <w:r>
        <w:rPr>
          <w:rFonts w:ascii="Times New Roman" w:eastAsia="宋体" w:hAnsi="Times New Roman"/>
          <w:color w:val="000000"/>
          <w:sz w:val="20"/>
          <w:szCs w:val="20"/>
        </w:rPr>
        <w:t>rs and suppliers relate to arrangements to secure long-term supply and pricing for certain product components for multi-year periods. A significant portion of our reported purchase commitments arising from these agreements are firm, noncancelable, and unco</w:t>
      </w:r>
      <w:r>
        <w:rPr>
          <w:rFonts w:ascii="Times New Roman" w:eastAsia="宋体" w:hAnsi="Times New Roman"/>
          <w:color w:val="000000"/>
          <w:sz w:val="20"/>
          <w:szCs w:val="20"/>
        </w:rPr>
        <w:t>nditional commitments. In certain instances, these agreements allow us the option to cancel, reschedule, and adjust our requirements based on our business needs prior to firm orders being placed. We believe our inventory and purchase commitments are in lin</w:t>
      </w:r>
      <w:r>
        <w:rPr>
          <w:rFonts w:ascii="Times New Roman" w:eastAsia="宋体" w:hAnsi="Times New Roman"/>
          <w:color w:val="000000"/>
          <w:sz w:val="20"/>
          <w:szCs w:val="20"/>
        </w:rPr>
        <w:t>e with our current demand forecasts. The following table summarizes our purchase commitments with contract manufacturers and suppliers as of the respective period ends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6"/>
        <w:gridCol w:w="120"/>
        <w:gridCol w:w="1085"/>
        <w:gridCol w:w="36"/>
        <w:gridCol w:w="36"/>
        <w:gridCol w:w="36"/>
        <w:gridCol w:w="36"/>
        <w:gridCol w:w="120"/>
        <w:gridCol w:w="1050"/>
        <w:gridCol w:w="36"/>
      </w:tblGrid>
      <w:tr w:rsidR="0040300B" w14:paraId="7B6715C1" w14:textId="77777777">
        <w:tc>
          <w:tcPr>
            <w:tcW w:w="50" w:type="pct"/>
            <w:shd w:val="clear" w:color="auto" w:fill="auto"/>
          </w:tcPr>
          <w:p w14:paraId="7B6715B5" w14:textId="77777777" w:rsidR="0040300B" w:rsidRDefault="0040300B">
            <w:pPr>
              <w:rPr>
                <w:rFonts w:ascii="宋体"/>
              </w:rPr>
            </w:pPr>
          </w:p>
        </w:tc>
        <w:tc>
          <w:tcPr>
            <w:tcW w:w="3442" w:type="pct"/>
            <w:shd w:val="clear" w:color="auto" w:fill="auto"/>
          </w:tcPr>
          <w:p w14:paraId="7B6715B6" w14:textId="77777777" w:rsidR="0040300B" w:rsidRDefault="0040300B">
            <w:pPr>
              <w:rPr>
                <w:rFonts w:ascii="宋体"/>
              </w:rPr>
            </w:pPr>
          </w:p>
        </w:tc>
        <w:tc>
          <w:tcPr>
            <w:tcW w:w="5" w:type="pct"/>
            <w:shd w:val="clear" w:color="auto" w:fill="auto"/>
          </w:tcPr>
          <w:p w14:paraId="7B6715B7" w14:textId="77777777" w:rsidR="0040300B" w:rsidRDefault="0040300B">
            <w:pPr>
              <w:rPr>
                <w:rFonts w:ascii="宋体"/>
              </w:rPr>
            </w:pPr>
          </w:p>
        </w:tc>
        <w:tc>
          <w:tcPr>
            <w:tcW w:w="50" w:type="pct"/>
            <w:shd w:val="clear" w:color="auto" w:fill="auto"/>
          </w:tcPr>
          <w:p w14:paraId="7B6715B8" w14:textId="77777777" w:rsidR="0040300B" w:rsidRDefault="0040300B">
            <w:pPr>
              <w:rPr>
                <w:rFonts w:ascii="宋体"/>
              </w:rPr>
            </w:pPr>
          </w:p>
        </w:tc>
        <w:tc>
          <w:tcPr>
            <w:tcW w:w="678" w:type="pct"/>
            <w:shd w:val="clear" w:color="auto" w:fill="auto"/>
          </w:tcPr>
          <w:p w14:paraId="7B6715B9" w14:textId="77777777" w:rsidR="0040300B" w:rsidRDefault="0040300B">
            <w:pPr>
              <w:rPr>
                <w:rFonts w:ascii="宋体"/>
              </w:rPr>
            </w:pPr>
          </w:p>
        </w:tc>
        <w:tc>
          <w:tcPr>
            <w:tcW w:w="5" w:type="pct"/>
            <w:shd w:val="clear" w:color="auto" w:fill="auto"/>
          </w:tcPr>
          <w:p w14:paraId="7B6715BA" w14:textId="77777777" w:rsidR="0040300B" w:rsidRDefault="0040300B">
            <w:pPr>
              <w:rPr>
                <w:rFonts w:ascii="宋体"/>
              </w:rPr>
            </w:pPr>
          </w:p>
        </w:tc>
        <w:tc>
          <w:tcPr>
            <w:tcW w:w="5" w:type="pct"/>
            <w:shd w:val="clear" w:color="auto" w:fill="auto"/>
          </w:tcPr>
          <w:p w14:paraId="7B6715BB" w14:textId="77777777" w:rsidR="0040300B" w:rsidRDefault="0040300B">
            <w:pPr>
              <w:rPr>
                <w:rFonts w:ascii="宋体"/>
              </w:rPr>
            </w:pPr>
          </w:p>
        </w:tc>
        <w:tc>
          <w:tcPr>
            <w:tcW w:w="26" w:type="pct"/>
            <w:shd w:val="clear" w:color="auto" w:fill="auto"/>
          </w:tcPr>
          <w:p w14:paraId="7B6715BC" w14:textId="77777777" w:rsidR="0040300B" w:rsidRDefault="0040300B">
            <w:pPr>
              <w:rPr>
                <w:rFonts w:ascii="宋体"/>
              </w:rPr>
            </w:pPr>
          </w:p>
        </w:tc>
        <w:tc>
          <w:tcPr>
            <w:tcW w:w="5" w:type="pct"/>
            <w:shd w:val="clear" w:color="auto" w:fill="auto"/>
          </w:tcPr>
          <w:p w14:paraId="7B6715BD" w14:textId="77777777" w:rsidR="0040300B" w:rsidRDefault="0040300B">
            <w:pPr>
              <w:rPr>
                <w:rFonts w:ascii="宋体"/>
              </w:rPr>
            </w:pPr>
          </w:p>
        </w:tc>
        <w:tc>
          <w:tcPr>
            <w:tcW w:w="50" w:type="pct"/>
            <w:shd w:val="clear" w:color="auto" w:fill="auto"/>
          </w:tcPr>
          <w:p w14:paraId="7B6715BE" w14:textId="77777777" w:rsidR="0040300B" w:rsidRDefault="0040300B">
            <w:pPr>
              <w:rPr>
                <w:rFonts w:ascii="宋体"/>
              </w:rPr>
            </w:pPr>
          </w:p>
        </w:tc>
        <w:tc>
          <w:tcPr>
            <w:tcW w:w="678" w:type="pct"/>
            <w:shd w:val="clear" w:color="auto" w:fill="auto"/>
          </w:tcPr>
          <w:p w14:paraId="7B6715BF" w14:textId="77777777" w:rsidR="0040300B" w:rsidRDefault="0040300B">
            <w:pPr>
              <w:rPr>
                <w:rFonts w:ascii="宋体"/>
              </w:rPr>
            </w:pPr>
          </w:p>
        </w:tc>
        <w:tc>
          <w:tcPr>
            <w:tcW w:w="5" w:type="pct"/>
            <w:shd w:val="clear" w:color="auto" w:fill="auto"/>
          </w:tcPr>
          <w:p w14:paraId="7B6715C0" w14:textId="77777777" w:rsidR="0040300B" w:rsidRDefault="0040300B">
            <w:pPr>
              <w:rPr>
                <w:rFonts w:ascii="宋体"/>
              </w:rPr>
            </w:pPr>
          </w:p>
        </w:tc>
      </w:tr>
      <w:tr w:rsidR="0040300B" w14:paraId="7B6715C6" w14:textId="77777777">
        <w:tc>
          <w:tcPr>
            <w:tcW w:w="0" w:type="auto"/>
            <w:gridSpan w:val="3"/>
            <w:shd w:val="clear" w:color="auto" w:fill="auto"/>
            <w:tcMar>
              <w:top w:w="40" w:type="dxa"/>
              <w:left w:w="20" w:type="dxa"/>
              <w:bottom w:w="40" w:type="dxa"/>
              <w:right w:w="20" w:type="dxa"/>
            </w:tcMar>
            <w:vAlign w:val="bottom"/>
          </w:tcPr>
          <w:p w14:paraId="7B6715C2" w14:textId="77777777" w:rsidR="0040300B" w:rsidRDefault="00BB2D44">
            <w:pPr>
              <w:textAlignment w:val="bottom"/>
            </w:pPr>
            <w:r>
              <w:rPr>
                <w:rFonts w:ascii="Times New Roman" w:eastAsia="宋体" w:hAnsi="Times New Roman"/>
                <w:color w:val="000000"/>
                <w:sz w:val="16"/>
                <w:szCs w:val="16"/>
                <w:u w:val="single"/>
              </w:rPr>
              <w:t>Commitments by Period</w:t>
            </w:r>
          </w:p>
        </w:tc>
        <w:tc>
          <w:tcPr>
            <w:tcW w:w="0" w:type="auto"/>
            <w:gridSpan w:val="3"/>
            <w:shd w:val="clear" w:color="auto" w:fill="auto"/>
            <w:tcMar>
              <w:top w:w="40" w:type="dxa"/>
              <w:left w:w="20" w:type="dxa"/>
              <w:bottom w:w="40" w:type="dxa"/>
              <w:right w:w="20" w:type="dxa"/>
            </w:tcMar>
            <w:vAlign w:val="bottom"/>
          </w:tcPr>
          <w:p w14:paraId="7B6715C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5C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5C5"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715CF" w14:textId="77777777">
        <w:tc>
          <w:tcPr>
            <w:tcW w:w="0" w:type="auto"/>
            <w:gridSpan w:val="3"/>
            <w:shd w:val="clear" w:color="auto" w:fill="CCEEFF"/>
            <w:tcMar>
              <w:top w:w="40" w:type="dxa"/>
              <w:left w:w="35" w:type="dxa"/>
              <w:bottom w:w="40" w:type="dxa"/>
              <w:right w:w="20" w:type="dxa"/>
            </w:tcMar>
          </w:tcPr>
          <w:p w14:paraId="7B6715C7" w14:textId="77777777" w:rsidR="0040300B" w:rsidRDefault="00BB2D44">
            <w:pPr>
              <w:textAlignment w:val="top"/>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5C8"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C9" w14:textId="77777777" w:rsidR="0040300B" w:rsidRDefault="00BB2D44">
            <w:pPr>
              <w:jc w:val="right"/>
              <w:textAlignment w:val="bottom"/>
            </w:pPr>
            <w:r>
              <w:rPr>
                <w:rFonts w:ascii="Times New Roman" w:eastAsia="宋体" w:hAnsi="Times New Roman"/>
                <w:color w:val="000000"/>
                <w:sz w:val="20"/>
                <w:szCs w:val="20"/>
              </w:rPr>
              <w:t>6,461 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C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CB"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5C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5CD" w14:textId="77777777" w:rsidR="0040300B" w:rsidRDefault="00BB2D44">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5CE" w14:textId="77777777" w:rsidR="0040300B" w:rsidRDefault="0040300B">
            <w:pPr>
              <w:jc w:val="right"/>
              <w:rPr>
                <w:rFonts w:ascii="宋体"/>
              </w:rPr>
            </w:pPr>
          </w:p>
        </w:tc>
      </w:tr>
      <w:tr w:rsidR="0040300B" w14:paraId="7B6715D6" w14:textId="77777777">
        <w:tc>
          <w:tcPr>
            <w:tcW w:w="0" w:type="auto"/>
            <w:gridSpan w:val="3"/>
            <w:shd w:val="clear" w:color="auto" w:fill="FFFFFF"/>
            <w:tcMar>
              <w:top w:w="40" w:type="dxa"/>
              <w:left w:w="35" w:type="dxa"/>
              <w:bottom w:w="40" w:type="dxa"/>
              <w:right w:w="20" w:type="dxa"/>
            </w:tcMar>
            <w:vAlign w:val="bottom"/>
          </w:tcPr>
          <w:p w14:paraId="7B6715D0" w14:textId="77777777" w:rsidR="0040300B" w:rsidRDefault="00BB2D44">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7B6715D1" w14:textId="77777777" w:rsidR="0040300B" w:rsidRDefault="00BB2D44">
            <w:pPr>
              <w:jc w:val="right"/>
              <w:textAlignment w:val="bottom"/>
            </w:pPr>
            <w:r>
              <w:rPr>
                <w:rFonts w:ascii="Times New Roman" w:eastAsia="宋体" w:hAnsi="Times New Roman"/>
                <w:color w:val="000000"/>
                <w:sz w:val="20"/>
                <w:szCs w:val="20"/>
              </w:rPr>
              <w:t>1,615 </w:t>
            </w:r>
          </w:p>
        </w:tc>
        <w:tc>
          <w:tcPr>
            <w:tcW w:w="0" w:type="auto"/>
            <w:shd w:val="clear" w:color="auto" w:fill="FFFFFF"/>
            <w:tcMar>
              <w:top w:w="40" w:type="dxa"/>
              <w:left w:w="0" w:type="dxa"/>
              <w:bottom w:w="40" w:type="dxa"/>
              <w:right w:w="20" w:type="dxa"/>
            </w:tcMar>
            <w:vAlign w:val="bottom"/>
          </w:tcPr>
          <w:p w14:paraId="7B6715D2"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D3"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5D4" w14:textId="77777777" w:rsidR="0040300B" w:rsidRDefault="00BB2D44">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7B6715D5" w14:textId="77777777" w:rsidR="0040300B" w:rsidRDefault="0040300B">
            <w:pPr>
              <w:jc w:val="right"/>
              <w:rPr>
                <w:rFonts w:ascii="宋体"/>
              </w:rPr>
            </w:pPr>
          </w:p>
        </w:tc>
      </w:tr>
      <w:tr w:rsidR="0040300B" w14:paraId="7B6715DD" w14:textId="77777777">
        <w:tc>
          <w:tcPr>
            <w:tcW w:w="0" w:type="auto"/>
            <w:gridSpan w:val="3"/>
            <w:shd w:val="clear" w:color="auto" w:fill="CCEEFF"/>
            <w:tcMar>
              <w:top w:w="40" w:type="dxa"/>
              <w:left w:w="35" w:type="dxa"/>
              <w:bottom w:w="40" w:type="dxa"/>
              <w:right w:w="20" w:type="dxa"/>
            </w:tcMar>
          </w:tcPr>
          <w:p w14:paraId="7B6715D7" w14:textId="77777777" w:rsidR="0040300B" w:rsidRDefault="00BB2D44">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7B6715D8" w14:textId="77777777" w:rsidR="0040300B" w:rsidRDefault="00BB2D44">
            <w:pPr>
              <w:jc w:val="right"/>
              <w:textAlignment w:val="bottom"/>
            </w:pPr>
            <w:r>
              <w:rPr>
                <w:rFonts w:ascii="Times New Roman" w:eastAsia="宋体" w:hAnsi="Times New Roman"/>
                <w:color w:val="000000"/>
                <w:sz w:val="20"/>
                <w:szCs w:val="20"/>
              </w:rPr>
              <w:t>1,733 </w:t>
            </w:r>
          </w:p>
        </w:tc>
        <w:tc>
          <w:tcPr>
            <w:tcW w:w="0" w:type="auto"/>
            <w:shd w:val="clear" w:color="auto" w:fill="CCEEFF"/>
            <w:tcMar>
              <w:top w:w="40" w:type="dxa"/>
              <w:left w:w="0" w:type="dxa"/>
              <w:bottom w:w="40" w:type="dxa"/>
              <w:right w:w="20" w:type="dxa"/>
            </w:tcMar>
            <w:vAlign w:val="bottom"/>
          </w:tcPr>
          <w:p w14:paraId="7B6715D9"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5DA"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5DB"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5DC" w14:textId="77777777" w:rsidR="0040300B" w:rsidRDefault="0040300B">
            <w:pPr>
              <w:jc w:val="right"/>
              <w:rPr>
                <w:rFonts w:ascii="宋体"/>
              </w:rPr>
            </w:pPr>
          </w:p>
        </w:tc>
      </w:tr>
      <w:tr w:rsidR="0040300B" w14:paraId="7B6715E6" w14:textId="77777777">
        <w:tc>
          <w:tcPr>
            <w:tcW w:w="0" w:type="auto"/>
            <w:gridSpan w:val="3"/>
            <w:shd w:val="clear" w:color="auto" w:fill="FFFFFF"/>
            <w:tcMar>
              <w:top w:w="40" w:type="dxa"/>
              <w:left w:w="380" w:type="dxa"/>
              <w:bottom w:w="40" w:type="dxa"/>
              <w:right w:w="20" w:type="dxa"/>
            </w:tcMar>
          </w:tcPr>
          <w:p w14:paraId="7B6715DE" w14:textId="77777777" w:rsidR="0040300B" w:rsidRDefault="00BB2D4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5DF"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5E0" w14:textId="77777777" w:rsidR="0040300B" w:rsidRDefault="00BB2D44">
            <w:pPr>
              <w:jc w:val="right"/>
              <w:textAlignment w:val="bottom"/>
            </w:pPr>
            <w:r>
              <w:rPr>
                <w:rFonts w:ascii="Times New Roman" w:eastAsia="宋体" w:hAnsi="Times New Roman"/>
                <w:color w:val="000000"/>
                <w:sz w:val="20"/>
                <w:szCs w:val="20"/>
              </w:rPr>
              <w:t>9,809 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5E1"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5E2"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5E3"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5E4" w14:textId="77777777" w:rsidR="0040300B" w:rsidRDefault="00BB2D44">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5E5" w14:textId="77777777" w:rsidR="0040300B" w:rsidRDefault="0040300B">
            <w:pPr>
              <w:jc w:val="right"/>
              <w:rPr>
                <w:rFonts w:ascii="宋体"/>
              </w:rPr>
            </w:pPr>
          </w:p>
        </w:tc>
      </w:tr>
    </w:tbl>
    <w:p w14:paraId="7B6715E7" w14:textId="77777777" w:rsidR="0040300B" w:rsidRDefault="00BB2D44">
      <w:pPr>
        <w:spacing w:before="120"/>
        <w:jc w:val="both"/>
      </w:pPr>
      <w:r>
        <w:rPr>
          <w:rFonts w:ascii="Times New Roman" w:eastAsia="宋体" w:hAnsi="Times New Roman"/>
          <w:color w:val="000000"/>
          <w:sz w:val="20"/>
          <w:szCs w:val="20"/>
        </w:rPr>
        <w:t xml:space="preserve">The increase in purchase commitments with contract manufacturers and suppliers compared with the end of fiscal 2020 was due to </w:t>
      </w:r>
      <w:r>
        <w:rPr>
          <w:rFonts w:ascii="Times New Roman" w:eastAsia="宋体" w:hAnsi="Times New Roman"/>
          <w:color w:val="000000"/>
          <w:sz w:val="20"/>
          <w:szCs w:val="20"/>
        </w:rPr>
        <w:t>arrangements to secure long-term supply and pricing for certain product components for multi-year periods. We are partnering with several of our key suppliers utilizing our volume purchasing and extending supply coverage, including revising supplier arrang</w:t>
      </w:r>
      <w:r>
        <w:rPr>
          <w:rFonts w:ascii="Times New Roman" w:eastAsia="宋体" w:hAnsi="Times New Roman"/>
          <w:color w:val="000000"/>
          <w:sz w:val="20"/>
          <w:szCs w:val="20"/>
        </w:rPr>
        <w:t>ements, to address supply chain challenges.</w:t>
      </w:r>
    </w:p>
    <w:p w14:paraId="7B6715E8" w14:textId="77777777" w:rsidR="0040300B" w:rsidRDefault="00BB2D44">
      <w:pPr>
        <w:spacing w:before="120"/>
        <w:jc w:val="both"/>
      </w:pPr>
      <w:r>
        <w:rPr>
          <w:rFonts w:ascii="Times New Roman" w:eastAsia="宋体" w:hAnsi="Times New Roman"/>
          <w:color w:val="000000"/>
          <w:sz w:val="20"/>
          <w:szCs w:val="20"/>
        </w:rPr>
        <w:t xml:space="preserve">Inventory and supply chain management remain areas of focus as we balance the need to maintain supply chain flexibility to help ensure competitive lead times with the risk of inventory obsolescence because of </w:t>
      </w:r>
      <w:r>
        <w:rPr>
          <w:rFonts w:ascii="Times New Roman" w:eastAsia="宋体" w:hAnsi="Times New Roman"/>
          <w:color w:val="000000"/>
          <w:sz w:val="20"/>
          <w:szCs w:val="20"/>
        </w:rPr>
        <w:t>rapidly changing technology and customer requirements. We believe the amount of our inventory and purchase commitments is appropriate for our revenue levels.</w:t>
      </w:r>
    </w:p>
    <w:p w14:paraId="7B6715E9" w14:textId="77777777" w:rsidR="0040300B" w:rsidRDefault="00BB2D44">
      <w:pPr>
        <w:spacing w:before="120"/>
        <w:jc w:val="both"/>
      </w:pPr>
      <w:r>
        <w:rPr>
          <w:rFonts w:ascii="Times New Roman" w:eastAsia="宋体" w:hAnsi="Times New Roman"/>
          <w:color w:val="000000"/>
          <w:sz w:val="20"/>
          <w:szCs w:val="20"/>
          <w:u w:val="single"/>
        </w:rPr>
        <w:t>Financing Receivables and Guarantees</w:t>
      </w:r>
      <w:r>
        <w:rPr>
          <w:rFonts w:ascii="Times New Roman" w:eastAsia="宋体" w:hAnsi="Times New Roman"/>
          <w:color w:val="000000"/>
          <w:sz w:val="20"/>
          <w:szCs w:val="20"/>
        </w:rPr>
        <w:t xml:space="preserve"> The following table summarizes our financing receivables (in </w:t>
      </w:r>
      <w:r>
        <w:rPr>
          <w:rFonts w:ascii="Times New Roman" w:eastAsia="宋体" w:hAnsi="Times New Roman"/>
          <w:color w:val="000000"/>
          <w:sz w:val="20"/>
          <w:szCs w:val="20"/>
        </w:rPr>
        <w:t>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40300B" w14:paraId="7B6715FC" w14:textId="77777777">
        <w:trPr>
          <w:jc w:val="center"/>
        </w:trPr>
        <w:tc>
          <w:tcPr>
            <w:tcW w:w="50" w:type="pct"/>
            <w:shd w:val="clear" w:color="auto" w:fill="auto"/>
          </w:tcPr>
          <w:p w14:paraId="7B6715EA" w14:textId="77777777" w:rsidR="0040300B" w:rsidRDefault="0040300B">
            <w:pPr>
              <w:rPr>
                <w:rFonts w:ascii="宋体"/>
              </w:rPr>
            </w:pPr>
          </w:p>
        </w:tc>
        <w:tc>
          <w:tcPr>
            <w:tcW w:w="2861" w:type="pct"/>
            <w:shd w:val="clear" w:color="auto" w:fill="auto"/>
          </w:tcPr>
          <w:p w14:paraId="7B6715EB" w14:textId="77777777" w:rsidR="0040300B" w:rsidRDefault="0040300B">
            <w:pPr>
              <w:rPr>
                <w:rFonts w:ascii="宋体"/>
              </w:rPr>
            </w:pPr>
          </w:p>
        </w:tc>
        <w:tc>
          <w:tcPr>
            <w:tcW w:w="5" w:type="pct"/>
            <w:shd w:val="clear" w:color="auto" w:fill="auto"/>
          </w:tcPr>
          <w:p w14:paraId="7B6715EC" w14:textId="77777777" w:rsidR="0040300B" w:rsidRDefault="0040300B">
            <w:pPr>
              <w:rPr>
                <w:rFonts w:ascii="宋体"/>
              </w:rPr>
            </w:pPr>
          </w:p>
        </w:tc>
        <w:tc>
          <w:tcPr>
            <w:tcW w:w="50" w:type="pct"/>
            <w:shd w:val="clear" w:color="auto" w:fill="auto"/>
          </w:tcPr>
          <w:p w14:paraId="7B6715ED" w14:textId="77777777" w:rsidR="0040300B" w:rsidRDefault="0040300B">
            <w:pPr>
              <w:rPr>
                <w:rFonts w:ascii="宋体"/>
              </w:rPr>
            </w:pPr>
          </w:p>
        </w:tc>
        <w:tc>
          <w:tcPr>
            <w:tcW w:w="617" w:type="pct"/>
            <w:shd w:val="clear" w:color="auto" w:fill="auto"/>
          </w:tcPr>
          <w:p w14:paraId="7B6715EE" w14:textId="77777777" w:rsidR="0040300B" w:rsidRDefault="0040300B">
            <w:pPr>
              <w:rPr>
                <w:rFonts w:ascii="宋体"/>
              </w:rPr>
            </w:pPr>
          </w:p>
        </w:tc>
        <w:tc>
          <w:tcPr>
            <w:tcW w:w="5" w:type="pct"/>
            <w:shd w:val="clear" w:color="auto" w:fill="auto"/>
          </w:tcPr>
          <w:p w14:paraId="7B6715EF" w14:textId="77777777" w:rsidR="0040300B" w:rsidRDefault="0040300B">
            <w:pPr>
              <w:rPr>
                <w:rFonts w:ascii="宋体"/>
              </w:rPr>
            </w:pPr>
          </w:p>
        </w:tc>
        <w:tc>
          <w:tcPr>
            <w:tcW w:w="5" w:type="pct"/>
            <w:shd w:val="clear" w:color="auto" w:fill="auto"/>
          </w:tcPr>
          <w:p w14:paraId="7B6715F0" w14:textId="77777777" w:rsidR="0040300B" w:rsidRDefault="0040300B">
            <w:pPr>
              <w:rPr>
                <w:rFonts w:ascii="宋体"/>
              </w:rPr>
            </w:pPr>
          </w:p>
        </w:tc>
        <w:tc>
          <w:tcPr>
            <w:tcW w:w="26" w:type="pct"/>
            <w:shd w:val="clear" w:color="auto" w:fill="auto"/>
          </w:tcPr>
          <w:p w14:paraId="7B6715F1" w14:textId="77777777" w:rsidR="0040300B" w:rsidRDefault="0040300B">
            <w:pPr>
              <w:rPr>
                <w:rFonts w:ascii="宋体"/>
              </w:rPr>
            </w:pPr>
          </w:p>
        </w:tc>
        <w:tc>
          <w:tcPr>
            <w:tcW w:w="5" w:type="pct"/>
            <w:shd w:val="clear" w:color="auto" w:fill="auto"/>
          </w:tcPr>
          <w:p w14:paraId="7B6715F2" w14:textId="77777777" w:rsidR="0040300B" w:rsidRDefault="0040300B">
            <w:pPr>
              <w:rPr>
                <w:rFonts w:ascii="宋体"/>
              </w:rPr>
            </w:pPr>
          </w:p>
        </w:tc>
        <w:tc>
          <w:tcPr>
            <w:tcW w:w="50" w:type="pct"/>
            <w:shd w:val="clear" w:color="auto" w:fill="auto"/>
          </w:tcPr>
          <w:p w14:paraId="7B6715F3" w14:textId="77777777" w:rsidR="0040300B" w:rsidRDefault="0040300B">
            <w:pPr>
              <w:rPr>
                <w:rFonts w:ascii="宋体"/>
              </w:rPr>
            </w:pPr>
          </w:p>
        </w:tc>
        <w:tc>
          <w:tcPr>
            <w:tcW w:w="610" w:type="pct"/>
            <w:shd w:val="clear" w:color="auto" w:fill="auto"/>
          </w:tcPr>
          <w:p w14:paraId="7B6715F4" w14:textId="77777777" w:rsidR="0040300B" w:rsidRDefault="0040300B">
            <w:pPr>
              <w:rPr>
                <w:rFonts w:ascii="宋体"/>
              </w:rPr>
            </w:pPr>
          </w:p>
        </w:tc>
        <w:tc>
          <w:tcPr>
            <w:tcW w:w="5" w:type="pct"/>
            <w:shd w:val="clear" w:color="auto" w:fill="auto"/>
          </w:tcPr>
          <w:p w14:paraId="7B6715F5" w14:textId="77777777" w:rsidR="0040300B" w:rsidRDefault="0040300B">
            <w:pPr>
              <w:rPr>
                <w:rFonts w:ascii="宋体"/>
              </w:rPr>
            </w:pPr>
          </w:p>
        </w:tc>
        <w:tc>
          <w:tcPr>
            <w:tcW w:w="5" w:type="pct"/>
            <w:shd w:val="clear" w:color="auto" w:fill="auto"/>
          </w:tcPr>
          <w:p w14:paraId="7B6715F6" w14:textId="77777777" w:rsidR="0040300B" w:rsidRDefault="0040300B">
            <w:pPr>
              <w:rPr>
                <w:rFonts w:ascii="宋体"/>
              </w:rPr>
            </w:pPr>
          </w:p>
        </w:tc>
        <w:tc>
          <w:tcPr>
            <w:tcW w:w="26" w:type="pct"/>
            <w:shd w:val="clear" w:color="auto" w:fill="auto"/>
          </w:tcPr>
          <w:p w14:paraId="7B6715F7" w14:textId="77777777" w:rsidR="0040300B" w:rsidRDefault="0040300B">
            <w:pPr>
              <w:rPr>
                <w:rFonts w:ascii="宋体"/>
              </w:rPr>
            </w:pPr>
          </w:p>
        </w:tc>
        <w:tc>
          <w:tcPr>
            <w:tcW w:w="5" w:type="pct"/>
            <w:shd w:val="clear" w:color="auto" w:fill="auto"/>
          </w:tcPr>
          <w:p w14:paraId="7B6715F8" w14:textId="77777777" w:rsidR="0040300B" w:rsidRDefault="0040300B">
            <w:pPr>
              <w:rPr>
                <w:rFonts w:ascii="宋体"/>
              </w:rPr>
            </w:pPr>
          </w:p>
        </w:tc>
        <w:tc>
          <w:tcPr>
            <w:tcW w:w="50" w:type="pct"/>
            <w:shd w:val="clear" w:color="auto" w:fill="auto"/>
          </w:tcPr>
          <w:p w14:paraId="7B6715F9" w14:textId="77777777" w:rsidR="0040300B" w:rsidRDefault="0040300B">
            <w:pPr>
              <w:rPr>
                <w:rFonts w:ascii="宋体"/>
              </w:rPr>
            </w:pPr>
          </w:p>
        </w:tc>
        <w:tc>
          <w:tcPr>
            <w:tcW w:w="617" w:type="pct"/>
            <w:shd w:val="clear" w:color="auto" w:fill="auto"/>
          </w:tcPr>
          <w:p w14:paraId="7B6715FA" w14:textId="77777777" w:rsidR="0040300B" w:rsidRDefault="0040300B">
            <w:pPr>
              <w:rPr>
                <w:rFonts w:ascii="宋体"/>
              </w:rPr>
            </w:pPr>
          </w:p>
        </w:tc>
        <w:tc>
          <w:tcPr>
            <w:tcW w:w="5" w:type="pct"/>
            <w:shd w:val="clear" w:color="auto" w:fill="auto"/>
          </w:tcPr>
          <w:p w14:paraId="7B6715FB" w14:textId="77777777" w:rsidR="0040300B" w:rsidRDefault="0040300B">
            <w:pPr>
              <w:rPr>
                <w:rFonts w:ascii="宋体"/>
              </w:rPr>
            </w:pPr>
          </w:p>
        </w:tc>
      </w:tr>
      <w:tr w:rsidR="0040300B" w14:paraId="7B671603" w14:textId="77777777">
        <w:trPr>
          <w:jc w:val="center"/>
        </w:trPr>
        <w:tc>
          <w:tcPr>
            <w:tcW w:w="0" w:type="auto"/>
            <w:gridSpan w:val="3"/>
            <w:shd w:val="clear" w:color="auto" w:fill="auto"/>
            <w:tcMar>
              <w:top w:w="40" w:type="dxa"/>
              <w:left w:w="20" w:type="dxa"/>
              <w:bottom w:w="40" w:type="dxa"/>
              <w:right w:w="20" w:type="dxa"/>
            </w:tcMar>
            <w:vAlign w:val="bottom"/>
          </w:tcPr>
          <w:p w14:paraId="7B6715FD"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5FE"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5F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600"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60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602"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610" w14:textId="77777777">
        <w:trPr>
          <w:jc w:val="center"/>
        </w:trPr>
        <w:tc>
          <w:tcPr>
            <w:tcW w:w="0" w:type="auto"/>
            <w:gridSpan w:val="3"/>
            <w:shd w:val="clear" w:color="auto" w:fill="CCEEFF"/>
            <w:tcMar>
              <w:top w:w="40" w:type="dxa"/>
              <w:left w:w="20" w:type="dxa"/>
              <w:bottom w:w="40" w:type="dxa"/>
              <w:right w:w="20" w:type="dxa"/>
            </w:tcMar>
            <w:vAlign w:val="bottom"/>
          </w:tcPr>
          <w:p w14:paraId="7B671604" w14:textId="77777777" w:rsidR="0040300B" w:rsidRDefault="00BB2D44">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60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606" w14:textId="77777777" w:rsidR="0040300B" w:rsidRDefault="00BB2D44">
            <w:pPr>
              <w:jc w:val="right"/>
              <w:textAlignment w:val="bottom"/>
            </w:pPr>
            <w:r>
              <w:rPr>
                <w:rFonts w:ascii="Times New Roman" w:eastAsia="宋体" w:hAnsi="Times New Roman"/>
                <w:color w:val="000000"/>
                <w:sz w:val="20"/>
                <w:szCs w:val="20"/>
              </w:rPr>
              <w:t>1,713 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60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0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60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60A" w14:textId="77777777" w:rsidR="0040300B" w:rsidRDefault="00BB2D44">
            <w:pPr>
              <w:jc w:val="right"/>
              <w:textAlignment w:val="bottom"/>
            </w:pPr>
            <w:r>
              <w:rPr>
                <w:rFonts w:ascii="Times New Roman" w:eastAsia="宋体" w:hAnsi="Times New Roman"/>
                <w:color w:val="000000"/>
                <w:sz w:val="20"/>
                <w:szCs w:val="20"/>
              </w:rPr>
              <w:t>2,088 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60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0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60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60E" w14:textId="77777777" w:rsidR="0040300B" w:rsidRDefault="00BB2D44">
            <w:pPr>
              <w:jc w:val="right"/>
              <w:textAlignment w:val="bottom"/>
            </w:pPr>
            <w:r>
              <w:rPr>
                <w:rFonts w:ascii="Times New Roman" w:eastAsia="宋体" w:hAnsi="Times New Roman"/>
                <w:color w:val="000000"/>
                <w:sz w:val="20"/>
                <w:szCs w:val="20"/>
              </w:rPr>
              <w:t>(375)</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60F" w14:textId="77777777" w:rsidR="0040300B" w:rsidRDefault="0040300B">
            <w:pPr>
              <w:jc w:val="right"/>
              <w:rPr>
                <w:rFonts w:ascii="宋体"/>
              </w:rPr>
            </w:pPr>
          </w:p>
        </w:tc>
      </w:tr>
      <w:tr w:rsidR="0040300B" w14:paraId="7B67161A" w14:textId="77777777">
        <w:trPr>
          <w:jc w:val="center"/>
        </w:trPr>
        <w:tc>
          <w:tcPr>
            <w:tcW w:w="0" w:type="auto"/>
            <w:gridSpan w:val="3"/>
            <w:shd w:val="clear" w:color="auto" w:fill="auto"/>
            <w:tcMar>
              <w:top w:w="40" w:type="dxa"/>
              <w:left w:w="20" w:type="dxa"/>
              <w:bottom w:w="40" w:type="dxa"/>
              <w:right w:w="20" w:type="dxa"/>
            </w:tcMar>
            <w:vAlign w:val="bottom"/>
          </w:tcPr>
          <w:p w14:paraId="7B671611" w14:textId="77777777" w:rsidR="0040300B" w:rsidRDefault="00BB2D44">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7B671612" w14:textId="77777777" w:rsidR="0040300B" w:rsidRDefault="00BB2D44">
            <w:pPr>
              <w:jc w:val="right"/>
              <w:textAlignment w:val="bottom"/>
            </w:pPr>
            <w:r>
              <w:rPr>
                <w:rFonts w:ascii="Times New Roman" w:eastAsia="宋体" w:hAnsi="Times New Roman"/>
                <w:color w:val="000000"/>
                <w:sz w:val="20"/>
                <w:szCs w:val="20"/>
              </w:rPr>
              <w:t>5,547 </w:t>
            </w:r>
          </w:p>
        </w:tc>
        <w:tc>
          <w:tcPr>
            <w:tcW w:w="0" w:type="auto"/>
            <w:shd w:val="clear" w:color="auto" w:fill="auto"/>
            <w:tcMar>
              <w:top w:w="40" w:type="dxa"/>
              <w:left w:w="0" w:type="dxa"/>
              <w:bottom w:w="40" w:type="dxa"/>
              <w:right w:w="20" w:type="dxa"/>
            </w:tcMar>
            <w:vAlign w:val="bottom"/>
          </w:tcPr>
          <w:p w14:paraId="7B671613"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1614"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1615" w14:textId="77777777" w:rsidR="0040300B" w:rsidRDefault="00BB2D44">
            <w:pPr>
              <w:jc w:val="right"/>
              <w:textAlignment w:val="bottom"/>
            </w:pPr>
            <w:r>
              <w:rPr>
                <w:rFonts w:ascii="Times New Roman" w:eastAsia="宋体" w:hAnsi="Times New Roman"/>
                <w:color w:val="000000"/>
                <w:sz w:val="20"/>
                <w:szCs w:val="20"/>
              </w:rPr>
              <w:t>5,856 </w:t>
            </w:r>
          </w:p>
        </w:tc>
        <w:tc>
          <w:tcPr>
            <w:tcW w:w="0" w:type="auto"/>
            <w:shd w:val="clear" w:color="auto" w:fill="auto"/>
            <w:tcMar>
              <w:top w:w="40" w:type="dxa"/>
              <w:left w:w="0" w:type="dxa"/>
              <w:bottom w:w="40" w:type="dxa"/>
              <w:right w:w="20" w:type="dxa"/>
            </w:tcMar>
            <w:vAlign w:val="bottom"/>
          </w:tcPr>
          <w:p w14:paraId="7B671616" w14:textId="77777777" w:rsidR="0040300B" w:rsidRDefault="0040300B">
            <w:pPr>
              <w:jc w:val="right"/>
              <w:rPr>
                <w:rFonts w:ascii="宋体"/>
              </w:rPr>
            </w:pPr>
          </w:p>
        </w:tc>
        <w:tc>
          <w:tcPr>
            <w:tcW w:w="0" w:type="auto"/>
            <w:gridSpan w:val="3"/>
            <w:shd w:val="clear" w:color="auto" w:fill="auto"/>
            <w:tcMar>
              <w:top w:w="0" w:type="dxa"/>
              <w:left w:w="20" w:type="dxa"/>
              <w:bottom w:w="0" w:type="dxa"/>
              <w:right w:w="20" w:type="dxa"/>
            </w:tcMar>
          </w:tcPr>
          <w:p w14:paraId="7B671617" w14:textId="77777777" w:rsidR="0040300B" w:rsidRDefault="0040300B">
            <w:pPr>
              <w:rPr>
                <w:rFonts w:ascii="宋体"/>
              </w:rPr>
            </w:pPr>
          </w:p>
        </w:tc>
        <w:tc>
          <w:tcPr>
            <w:tcW w:w="0" w:type="auto"/>
            <w:gridSpan w:val="2"/>
            <w:shd w:val="clear" w:color="auto" w:fill="auto"/>
            <w:tcMar>
              <w:top w:w="40" w:type="dxa"/>
              <w:left w:w="20" w:type="dxa"/>
              <w:bottom w:w="40" w:type="dxa"/>
              <w:right w:w="0" w:type="dxa"/>
            </w:tcMar>
            <w:vAlign w:val="bottom"/>
          </w:tcPr>
          <w:p w14:paraId="7B671618" w14:textId="77777777" w:rsidR="0040300B" w:rsidRDefault="00BB2D44">
            <w:pPr>
              <w:jc w:val="right"/>
              <w:textAlignment w:val="bottom"/>
            </w:pPr>
            <w:r>
              <w:rPr>
                <w:rFonts w:ascii="Times New Roman" w:eastAsia="宋体" w:hAnsi="Times New Roman"/>
                <w:color w:val="000000"/>
                <w:sz w:val="20"/>
                <w:szCs w:val="20"/>
              </w:rPr>
              <w:t>(309)</w:t>
            </w:r>
          </w:p>
        </w:tc>
        <w:tc>
          <w:tcPr>
            <w:tcW w:w="0" w:type="auto"/>
            <w:shd w:val="clear" w:color="auto" w:fill="auto"/>
            <w:tcMar>
              <w:top w:w="40" w:type="dxa"/>
              <w:left w:w="0" w:type="dxa"/>
              <w:bottom w:w="40" w:type="dxa"/>
              <w:right w:w="20" w:type="dxa"/>
            </w:tcMar>
            <w:vAlign w:val="bottom"/>
          </w:tcPr>
          <w:p w14:paraId="7B671619" w14:textId="77777777" w:rsidR="0040300B" w:rsidRDefault="0040300B">
            <w:pPr>
              <w:jc w:val="right"/>
              <w:rPr>
                <w:rFonts w:ascii="宋体"/>
              </w:rPr>
            </w:pPr>
          </w:p>
        </w:tc>
      </w:tr>
      <w:tr w:rsidR="0040300B" w14:paraId="7B671624" w14:textId="77777777">
        <w:trPr>
          <w:jc w:val="center"/>
        </w:trPr>
        <w:tc>
          <w:tcPr>
            <w:tcW w:w="0" w:type="auto"/>
            <w:gridSpan w:val="3"/>
            <w:shd w:val="clear" w:color="auto" w:fill="CCEEFF"/>
            <w:tcMar>
              <w:top w:w="40" w:type="dxa"/>
              <w:left w:w="20" w:type="dxa"/>
              <w:bottom w:w="40" w:type="dxa"/>
              <w:right w:w="20" w:type="dxa"/>
            </w:tcMar>
            <w:vAlign w:val="bottom"/>
          </w:tcPr>
          <w:p w14:paraId="7B67161B" w14:textId="77777777" w:rsidR="0040300B" w:rsidRDefault="00BB2D44">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7B67161C" w14:textId="77777777" w:rsidR="0040300B" w:rsidRDefault="00BB2D44">
            <w:pPr>
              <w:jc w:val="right"/>
              <w:textAlignment w:val="bottom"/>
            </w:pPr>
            <w:r>
              <w:rPr>
                <w:rFonts w:ascii="Times New Roman" w:eastAsia="宋体" w:hAnsi="Times New Roman"/>
                <w:color w:val="000000"/>
                <w:sz w:val="20"/>
                <w:szCs w:val="20"/>
              </w:rPr>
              <w:t>2,456 </w:t>
            </w:r>
          </w:p>
        </w:tc>
        <w:tc>
          <w:tcPr>
            <w:tcW w:w="0" w:type="auto"/>
            <w:shd w:val="clear" w:color="auto" w:fill="CCEEFF"/>
            <w:tcMar>
              <w:top w:w="40" w:type="dxa"/>
              <w:left w:w="0" w:type="dxa"/>
              <w:bottom w:w="40" w:type="dxa"/>
              <w:right w:w="20" w:type="dxa"/>
            </w:tcMar>
            <w:vAlign w:val="bottom"/>
          </w:tcPr>
          <w:p w14:paraId="7B67161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1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1F" w14:textId="77777777" w:rsidR="0040300B" w:rsidRDefault="00BB2D44">
            <w:pPr>
              <w:jc w:val="right"/>
              <w:textAlignment w:val="bottom"/>
            </w:pPr>
            <w:r>
              <w:rPr>
                <w:rFonts w:ascii="Times New Roman" w:eastAsia="宋体" w:hAnsi="Times New Roman"/>
                <w:color w:val="000000"/>
                <w:sz w:val="20"/>
                <w:szCs w:val="20"/>
              </w:rPr>
              <w:t>2,821 </w:t>
            </w:r>
          </w:p>
        </w:tc>
        <w:tc>
          <w:tcPr>
            <w:tcW w:w="0" w:type="auto"/>
            <w:shd w:val="clear" w:color="auto" w:fill="CCEEFF"/>
            <w:tcMar>
              <w:top w:w="40" w:type="dxa"/>
              <w:left w:w="0" w:type="dxa"/>
              <w:bottom w:w="40" w:type="dxa"/>
              <w:right w:w="20" w:type="dxa"/>
            </w:tcMar>
            <w:vAlign w:val="bottom"/>
          </w:tcPr>
          <w:p w14:paraId="7B67162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2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22" w14:textId="77777777" w:rsidR="0040300B" w:rsidRDefault="00BB2D44">
            <w:pPr>
              <w:jc w:val="right"/>
              <w:textAlignment w:val="bottom"/>
            </w:pPr>
            <w:r>
              <w:rPr>
                <w:rFonts w:ascii="Times New Roman" w:eastAsia="宋体" w:hAnsi="Times New Roman"/>
                <w:color w:val="000000"/>
                <w:sz w:val="20"/>
                <w:szCs w:val="20"/>
              </w:rPr>
              <w:t>(365)</w:t>
            </w:r>
          </w:p>
        </w:tc>
        <w:tc>
          <w:tcPr>
            <w:tcW w:w="0" w:type="auto"/>
            <w:shd w:val="clear" w:color="auto" w:fill="CCEEFF"/>
            <w:tcMar>
              <w:top w:w="40" w:type="dxa"/>
              <w:left w:w="0" w:type="dxa"/>
              <w:bottom w:w="40" w:type="dxa"/>
              <w:right w:w="20" w:type="dxa"/>
            </w:tcMar>
            <w:vAlign w:val="bottom"/>
          </w:tcPr>
          <w:p w14:paraId="7B671623" w14:textId="77777777" w:rsidR="0040300B" w:rsidRDefault="0040300B">
            <w:pPr>
              <w:jc w:val="right"/>
              <w:rPr>
                <w:rFonts w:ascii="宋体"/>
              </w:rPr>
            </w:pPr>
          </w:p>
        </w:tc>
      </w:tr>
      <w:tr w:rsidR="0040300B" w14:paraId="7B671631" w14:textId="77777777">
        <w:trPr>
          <w:jc w:val="center"/>
        </w:trPr>
        <w:tc>
          <w:tcPr>
            <w:tcW w:w="0" w:type="auto"/>
            <w:gridSpan w:val="3"/>
            <w:shd w:val="clear" w:color="auto" w:fill="FFFFFF"/>
            <w:tcMar>
              <w:top w:w="40" w:type="dxa"/>
              <w:left w:w="155" w:type="dxa"/>
              <w:bottom w:w="40" w:type="dxa"/>
              <w:right w:w="20" w:type="dxa"/>
            </w:tcMar>
            <w:vAlign w:val="bottom"/>
          </w:tcPr>
          <w:p w14:paraId="7B671625" w14:textId="77777777" w:rsidR="0040300B" w:rsidRDefault="00BB2D44">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62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627" w14:textId="77777777" w:rsidR="0040300B" w:rsidRDefault="00BB2D44">
            <w:pPr>
              <w:jc w:val="right"/>
              <w:textAlignment w:val="bottom"/>
            </w:pPr>
            <w:r>
              <w:rPr>
                <w:rFonts w:ascii="Times New Roman" w:eastAsia="宋体" w:hAnsi="Times New Roman"/>
                <w:color w:val="000000"/>
                <w:sz w:val="20"/>
                <w:szCs w:val="20"/>
              </w:rPr>
              <w:t>9,716 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62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29"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62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62B" w14:textId="77777777" w:rsidR="0040300B" w:rsidRDefault="00BB2D44">
            <w:pPr>
              <w:jc w:val="right"/>
              <w:textAlignment w:val="bottom"/>
            </w:pPr>
            <w:r>
              <w:rPr>
                <w:rFonts w:ascii="Times New Roman" w:eastAsia="宋体" w:hAnsi="Times New Roman"/>
                <w:color w:val="000000"/>
                <w:sz w:val="20"/>
                <w:szCs w:val="20"/>
              </w:rPr>
              <w:t>10,765 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62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2D" w14:textId="77777777" w:rsidR="0040300B" w:rsidRDefault="0040300B">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B67162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B67162F" w14:textId="77777777" w:rsidR="0040300B" w:rsidRDefault="00BB2D44">
            <w:pPr>
              <w:jc w:val="right"/>
              <w:textAlignment w:val="bottom"/>
            </w:pPr>
            <w:r>
              <w:rPr>
                <w:rFonts w:ascii="Times New Roman" w:eastAsia="宋体" w:hAnsi="Times New Roman"/>
                <w:color w:val="000000"/>
                <w:sz w:val="20"/>
                <w:szCs w:val="20"/>
              </w:rPr>
              <w:t>(1,049)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B671630" w14:textId="77777777" w:rsidR="0040300B" w:rsidRDefault="0040300B">
            <w:pPr>
              <w:jc w:val="right"/>
              <w:rPr>
                <w:rFonts w:ascii="宋体"/>
              </w:rPr>
            </w:pPr>
          </w:p>
        </w:tc>
      </w:tr>
    </w:tbl>
    <w:p w14:paraId="7B671632" w14:textId="77777777" w:rsidR="0040300B" w:rsidRDefault="00BB2D44">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Our financing arrangements include leases, loans, and financed service contracts. Lease receivables include sales-type leases. Arrangements related to leases are gene</w:t>
      </w:r>
      <w:r>
        <w:rPr>
          <w:rFonts w:ascii="Times New Roman" w:eastAsia="宋体" w:hAnsi="Times New Roman"/>
          <w:color w:val="000000"/>
          <w:sz w:val="20"/>
          <w:szCs w:val="20"/>
        </w:rPr>
        <w:t>rally collateralized by a security interest in the underlying assets. Our loan receivables include customer financing for purchases of our hardware, software and services and also may include additional funds for other costs associated with network install</w:t>
      </w:r>
      <w:r>
        <w:rPr>
          <w:rFonts w:ascii="Times New Roman" w:eastAsia="宋体" w:hAnsi="Times New Roman"/>
          <w:color w:val="000000"/>
          <w:sz w:val="20"/>
          <w:szCs w:val="20"/>
        </w:rPr>
        <w:t>ation and integration of our products and services. We also provide financing to certain qualified customers for long-term service contracts, which primarily relate to technical support services. The majority of the revenue from these financed service cont</w:t>
      </w:r>
      <w:r>
        <w:rPr>
          <w:rFonts w:ascii="Times New Roman" w:eastAsia="宋体" w:hAnsi="Times New Roman"/>
          <w:color w:val="000000"/>
          <w:sz w:val="20"/>
          <w:szCs w:val="20"/>
        </w:rPr>
        <w:t xml:space="preserve">racts is deferred and is recognized ratably over the period during which the services are performed. Financing receivables decreased by 10%, as compared with the end of fiscal 2020. </w:t>
      </w:r>
    </w:p>
    <w:p w14:paraId="7B671633" w14:textId="77777777" w:rsidR="0040300B" w:rsidRDefault="00BB2D44">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w:t>
      </w:r>
      <w:r>
        <w:rPr>
          <w:rFonts w:ascii="Times New Roman" w:eastAsia="宋体" w:hAnsi="Times New Roman"/>
          <w:color w:val="000000"/>
          <w:sz w:val="20"/>
          <w:szCs w:val="20"/>
        </w:rPr>
        <w:t xml:space="preserve"> provide financing arrangements to our customers and channel partners under financing programs. The financing arrangements to customers provided by third parties are related to leases and loans and typically have terms of up to three years. In some cases, </w:t>
      </w:r>
      <w:r>
        <w:rPr>
          <w:rFonts w:ascii="Times New Roman" w:eastAsia="宋体" w:hAnsi="Times New Roman"/>
          <w:color w:val="000000"/>
          <w:sz w:val="20"/>
          <w:szCs w:val="20"/>
        </w:rPr>
        <w:t>we provide guarantees to third parties for these lease and loan arrangements. The financing arrangements to channel partners consist of revolving short-term financing provided by third parties, with payment terms generally ranging from 60 to 90 days. Durin</w:t>
      </w:r>
      <w:r>
        <w:rPr>
          <w:rFonts w:ascii="Times New Roman" w:eastAsia="宋体" w:hAnsi="Times New Roman"/>
          <w:color w:val="000000"/>
          <w:sz w:val="20"/>
          <w:szCs w:val="20"/>
        </w:rPr>
        <w:t>g fiscal 2020, we expanded the payment terms on certain of our channel partner financing programs by 30 days in response to the COVID-19 pandemic. In certain instances, these financing arrangements result in a transfer of our receivables to the third party</w:t>
      </w:r>
      <w:r>
        <w:rPr>
          <w:rFonts w:ascii="Times New Roman" w:eastAsia="宋体" w:hAnsi="Times New Roman"/>
          <w:color w:val="000000"/>
          <w:sz w:val="20"/>
          <w:szCs w:val="20"/>
        </w:rPr>
        <w:t xml:space="preserve">. The receivables are derecognized upon transfer, as these transfers qualify as true sales, and we receive payments for the receivables from the third party based on our standard payment terms. </w:t>
      </w:r>
    </w:p>
    <w:p w14:paraId="7B671634" w14:textId="77777777" w:rsidR="0040300B" w:rsidRDefault="00BB2D44">
      <w:pPr>
        <w:jc w:val="center"/>
      </w:pPr>
      <w:r>
        <w:rPr>
          <w:rFonts w:ascii="Times New Roman" w:eastAsia="宋体" w:hAnsi="Times New Roman"/>
          <w:color w:val="000000"/>
          <w:sz w:val="20"/>
          <w:szCs w:val="20"/>
        </w:rPr>
        <w:t>62</w:t>
      </w:r>
    </w:p>
    <w:p w14:paraId="7B671635" w14:textId="77777777" w:rsidR="0040300B" w:rsidRDefault="00BB2D44">
      <w:r>
        <w:pict w14:anchorId="7B671C4E">
          <v:rect id="_x0000_i1086" style="width:415.3pt;height:1.5pt" o:hralign="center" o:hrstd="t" o:hr="t" fillcolor="#a0a0a0" stroked="f"/>
        </w:pict>
      </w:r>
    </w:p>
    <w:p w14:paraId="7B671636" w14:textId="77777777" w:rsidR="0040300B" w:rsidRDefault="00BB2D44">
      <w:hyperlink r:id="rId108"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637" w14:textId="77777777" w:rsidR="0040300B" w:rsidRDefault="00BB2D44">
      <w:pPr>
        <w:jc w:val="center"/>
      </w:pPr>
      <w:r>
        <w:rPr>
          <w:rFonts w:ascii="Times New Roman" w:eastAsia="宋体" w:hAnsi="Times New Roman"/>
          <w:b/>
          <w:bCs/>
          <w:color w:val="000000"/>
          <w:sz w:val="18"/>
          <w:szCs w:val="18"/>
        </w:rPr>
        <w:t>CISCO SYSTEMS, INC.</w:t>
      </w:r>
    </w:p>
    <w:p w14:paraId="7B671638"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7B671639" w14:textId="77777777" w:rsidR="0040300B" w:rsidRDefault="0040300B">
      <w:pPr>
        <w:jc w:val="center"/>
      </w:pPr>
    </w:p>
    <w:p w14:paraId="7B67163A" w14:textId="77777777" w:rsidR="0040300B" w:rsidRDefault="00BB2D44">
      <w:pPr>
        <w:spacing w:before="120"/>
        <w:jc w:val="both"/>
      </w:pPr>
      <w:r>
        <w:rPr>
          <w:rFonts w:ascii="Times New Roman" w:eastAsia="宋体" w:hAnsi="Times New Roman"/>
          <w:color w:val="000000"/>
          <w:sz w:val="20"/>
          <w:szCs w:val="20"/>
        </w:rPr>
        <w:t xml:space="preserve">The volume of channel partner financing was $19.5 billion and $20.5 billion for the first nine months of fiscal 2021 and 2020, respectively. These financing arrangements facilitate the working capital requirements of the </w:t>
      </w:r>
      <w:r>
        <w:rPr>
          <w:rFonts w:ascii="Times New Roman" w:eastAsia="宋体" w:hAnsi="Times New Roman"/>
          <w:color w:val="000000"/>
          <w:sz w:val="20"/>
          <w:szCs w:val="20"/>
        </w:rPr>
        <w:t>channel partners, and in some cases, we guarantee a portion of these arrangements. The balance of the channel partner financing subject to guarantees was $1.3 billion and $1.1 billion as of May 1, 2021 and July 25, 2020, respectively. We could be called up</w:t>
      </w:r>
      <w:r>
        <w:rPr>
          <w:rFonts w:ascii="Times New Roman" w:eastAsia="宋体" w:hAnsi="Times New Roman"/>
          <w:color w:val="000000"/>
          <w:sz w:val="20"/>
          <w:szCs w:val="20"/>
        </w:rPr>
        <w:t>on to make payments under these guarantees in the event of nonpayment by the channel partners or end-user customers. Historically, our payments under these arrangements have been immaterial. Where we provide a guarantee, we defer the revenue associated wit</w:t>
      </w:r>
      <w:r>
        <w:rPr>
          <w:rFonts w:ascii="Times New Roman" w:eastAsia="宋体" w:hAnsi="Times New Roman"/>
          <w:color w:val="000000"/>
          <w:sz w:val="20"/>
          <w:szCs w:val="20"/>
        </w:rPr>
        <w:t>h the channel partner and end-user financing arrangement in accordance with revenue recognition policies, or we record a liability for the fair value of the guarantees. In either case, the deferred revenue is recognized as revenue when the guarantee is rem</w:t>
      </w:r>
      <w:r>
        <w:rPr>
          <w:rFonts w:ascii="Times New Roman" w:eastAsia="宋体" w:hAnsi="Times New Roman"/>
          <w:color w:val="000000"/>
          <w:sz w:val="20"/>
          <w:szCs w:val="20"/>
        </w:rPr>
        <w:t>oved. As of May 1, 2021, the total maximum potential future payments related to these guarantees was approximately $171 million, of which approximately $22 million was recorded as deferred revenue.</w:t>
      </w:r>
    </w:p>
    <w:p w14:paraId="7B67163B" w14:textId="77777777" w:rsidR="0040300B" w:rsidRDefault="00BB2D44">
      <w:pPr>
        <w:spacing w:before="120"/>
      </w:pPr>
      <w:r>
        <w:rPr>
          <w:rFonts w:ascii="Times New Roman" w:eastAsia="宋体" w:hAnsi="Times New Roman"/>
          <w:color w:val="000000"/>
          <w:sz w:val="20"/>
          <w:szCs w:val="20"/>
          <w:u w:val="single"/>
        </w:rPr>
        <w:t>Borrowings</w:t>
      </w:r>
    </w:p>
    <w:p w14:paraId="7B67163C" w14:textId="77777777" w:rsidR="0040300B" w:rsidRDefault="00BB2D44">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3634"/>
        <w:gridCol w:w="38"/>
        <w:gridCol w:w="53"/>
        <w:gridCol w:w="1866"/>
        <w:gridCol w:w="38"/>
        <w:gridCol w:w="53"/>
        <w:gridCol w:w="133"/>
        <w:gridCol w:w="36"/>
        <w:gridCol w:w="120"/>
        <w:gridCol w:w="1012"/>
        <w:gridCol w:w="36"/>
        <w:gridCol w:w="36"/>
        <w:gridCol w:w="36"/>
        <w:gridCol w:w="36"/>
        <w:gridCol w:w="120"/>
        <w:gridCol w:w="989"/>
        <w:gridCol w:w="36"/>
      </w:tblGrid>
      <w:tr w:rsidR="0040300B" w14:paraId="7B67164F" w14:textId="77777777">
        <w:trPr>
          <w:jc w:val="center"/>
        </w:trPr>
        <w:tc>
          <w:tcPr>
            <w:tcW w:w="50" w:type="pct"/>
            <w:shd w:val="clear" w:color="auto" w:fill="auto"/>
          </w:tcPr>
          <w:p w14:paraId="7B67163D" w14:textId="77777777" w:rsidR="0040300B" w:rsidRDefault="0040300B">
            <w:pPr>
              <w:rPr>
                <w:rFonts w:ascii="宋体"/>
              </w:rPr>
            </w:pPr>
          </w:p>
        </w:tc>
        <w:tc>
          <w:tcPr>
            <w:tcW w:w="2199" w:type="pct"/>
            <w:shd w:val="clear" w:color="auto" w:fill="auto"/>
          </w:tcPr>
          <w:p w14:paraId="7B67163E" w14:textId="77777777" w:rsidR="0040300B" w:rsidRDefault="0040300B">
            <w:pPr>
              <w:rPr>
                <w:rFonts w:ascii="宋体"/>
              </w:rPr>
            </w:pPr>
          </w:p>
        </w:tc>
        <w:tc>
          <w:tcPr>
            <w:tcW w:w="5" w:type="pct"/>
            <w:shd w:val="clear" w:color="auto" w:fill="auto"/>
          </w:tcPr>
          <w:p w14:paraId="7B67163F" w14:textId="77777777" w:rsidR="0040300B" w:rsidRDefault="0040300B">
            <w:pPr>
              <w:rPr>
                <w:rFonts w:ascii="宋体"/>
              </w:rPr>
            </w:pPr>
          </w:p>
        </w:tc>
        <w:tc>
          <w:tcPr>
            <w:tcW w:w="50" w:type="pct"/>
            <w:shd w:val="clear" w:color="auto" w:fill="auto"/>
          </w:tcPr>
          <w:p w14:paraId="7B671640" w14:textId="77777777" w:rsidR="0040300B" w:rsidRDefault="0040300B">
            <w:pPr>
              <w:rPr>
                <w:rFonts w:ascii="宋体"/>
              </w:rPr>
            </w:pPr>
          </w:p>
        </w:tc>
        <w:tc>
          <w:tcPr>
            <w:tcW w:w="1138" w:type="pct"/>
            <w:shd w:val="clear" w:color="auto" w:fill="auto"/>
          </w:tcPr>
          <w:p w14:paraId="7B671641" w14:textId="77777777" w:rsidR="0040300B" w:rsidRDefault="0040300B">
            <w:pPr>
              <w:rPr>
                <w:rFonts w:ascii="宋体"/>
              </w:rPr>
            </w:pPr>
          </w:p>
        </w:tc>
        <w:tc>
          <w:tcPr>
            <w:tcW w:w="5" w:type="pct"/>
            <w:shd w:val="clear" w:color="auto" w:fill="auto"/>
          </w:tcPr>
          <w:p w14:paraId="7B671642" w14:textId="77777777" w:rsidR="0040300B" w:rsidRDefault="0040300B">
            <w:pPr>
              <w:rPr>
                <w:rFonts w:ascii="宋体"/>
              </w:rPr>
            </w:pPr>
          </w:p>
        </w:tc>
        <w:tc>
          <w:tcPr>
            <w:tcW w:w="50" w:type="pct"/>
            <w:shd w:val="clear" w:color="auto" w:fill="auto"/>
          </w:tcPr>
          <w:p w14:paraId="7B671643" w14:textId="77777777" w:rsidR="0040300B" w:rsidRDefault="0040300B">
            <w:pPr>
              <w:rPr>
                <w:rFonts w:ascii="宋体"/>
              </w:rPr>
            </w:pPr>
          </w:p>
        </w:tc>
        <w:tc>
          <w:tcPr>
            <w:tcW w:w="98" w:type="pct"/>
            <w:shd w:val="clear" w:color="auto" w:fill="auto"/>
          </w:tcPr>
          <w:p w14:paraId="7B671644" w14:textId="77777777" w:rsidR="0040300B" w:rsidRDefault="0040300B">
            <w:pPr>
              <w:rPr>
                <w:rFonts w:ascii="宋体"/>
              </w:rPr>
            </w:pPr>
          </w:p>
        </w:tc>
        <w:tc>
          <w:tcPr>
            <w:tcW w:w="5" w:type="pct"/>
            <w:shd w:val="clear" w:color="auto" w:fill="auto"/>
          </w:tcPr>
          <w:p w14:paraId="7B671645" w14:textId="77777777" w:rsidR="0040300B" w:rsidRDefault="0040300B">
            <w:pPr>
              <w:rPr>
                <w:rFonts w:ascii="宋体"/>
              </w:rPr>
            </w:pPr>
          </w:p>
        </w:tc>
        <w:tc>
          <w:tcPr>
            <w:tcW w:w="50" w:type="pct"/>
            <w:shd w:val="clear" w:color="auto" w:fill="auto"/>
          </w:tcPr>
          <w:p w14:paraId="7B671646" w14:textId="77777777" w:rsidR="0040300B" w:rsidRDefault="0040300B">
            <w:pPr>
              <w:rPr>
                <w:rFonts w:ascii="宋体"/>
              </w:rPr>
            </w:pPr>
          </w:p>
        </w:tc>
        <w:tc>
          <w:tcPr>
            <w:tcW w:w="625" w:type="pct"/>
            <w:shd w:val="clear" w:color="auto" w:fill="auto"/>
          </w:tcPr>
          <w:p w14:paraId="7B671647" w14:textId="77777777" w:rsidR="0040300B" w:rsidRDefault="0040300B">
            <w:pPr>
              <w:rPr>
                <w:rFonts w:ascii="宋体"/>
              </w:rPr>
            </w:pPr>
          </w:p>
        </w:tc>
        <w:tc>
          <w:tcPr>
            <w:tcW w:w="5" w:type="pct"/>
            <w:shd w:val="clear" w:color="auto" w:fill="auto"/>
          </w:tcPr>
          <w:p w14:paraId="7B671648" w14:textId="77777777" w:rsidR="0040300B" w:rsidRDefault="0040300B">
            <w:pPr>
              <w:rPr>
                <w:rFonts w:ascii="宋体"/>
              </w:rPr>
            </w:pPr>
          </w:p>
        </w:tc>
        <w:tc>
          <w:tcPr>
            <w:tcW w:w="5" w:type="pct"/>
            <w:shd w:val="clear" w:color="auto" w:fill="auto"/>
          </w:tcPr>
          <w:p w14:paraId="7B671649" w14:textId="77777777" w:rsidR="0040300B" w:rsidRDefault="0040300B">
            <w:pPr>
              <w:rPr>
                <w:rFonts w:ascii="宋体"/>
              </w:rPr>
            </w:pPr>
          </w:p>
        </w:tc>
        <w:tc>
          <w:tcPr>
            <w:tcW w:w="26" w:type="pct"/>
            <w:shd w:val="clear" w:color="auto" w:fill="auto"/>
          </w:tcPr>
          <w:p w14:paraId="7B67164A" w14:textId="77777777" w:rsidR="0040300B" w:rsidRDefault="0040300B">
            <w:pPr>
              <w:rPr>
                <w:rFonts w:ascii="宋体"/>
              </w:rPr>
            </w:pPr>
          </w:p>
        </w:tc>
        <w:tc>
          <w:tcPr>
            <w:tcW w:w="5" w:type="pct"/>
            <w:shd w:val="clear" w:color="auto" w:fill="auto"/>
          </w:tcPr>
          <w:p w14:paraId="7B67164B" w14:textId="77777777" w:rsidR="0040300B" w:rsidRDefault="0040300B">
            <w:pPr>
              <w:rPr>
                <w:rFonts w:ascii="宋体"/>
              </w:rPr>
            </w:pPr>
          </w:p>
        </w:tc>
        <w:tc>
          <w:tcPr>
            <w:tcW w:w="50" w:type="pct"/>
            <w:shd w:val="clear" w:color="auto" w:fill="auto"/>
          </w:tcPr>
          <w:p w14:paraId="7B67164C" w14:textId="77777777" w:rsidR="0040300B" w:rsidRDefault="0040300B">
            <w:pPr>
              <w:rPr>
                <w:rFonts w:ascii="宋体"/>
              </w:rPr>
            </w:pPr>
          </w:p>
        </w:tc>
        <w:tc>
          <w:tcPr>
            <w:tcW w:w="625" w:type="pct"/>
            <w:shd w:val="clear" w:color="auto" w:fill="auto"/>
          </w:tcPr>
          <w:p w14:paraId="7B67164D" w14:textId="77777777" w:rsidR="0040300B" w:rsidRDefault="0040300B">
            <w:pPr>
              <w:rPr>
                <w:rFonts w:ascii="宋体"/>
              </w:rPr>
            </w:pPr>
          </w:p>
        </w:tc>
        <w:tc>
          <w:tcPr>
            <w:tcW w:w="5" w:type="pct"/>
            <w:shd w:val="clear" w:color="auto" w:fill="auto"/>
          </w:tcPr>
          <w:p w14:paraId="7B67164E" w14:textId="77777777" w:rsidR="0040300B" w:rsidRDefault="0040300B">
            <w:pPr>
              <w:rPr>
                <w:rFonts w:ascii="宋体"/>
              </w:rPr>
            </w:pPr>
          </w:p>
        </w:tc>
      </w:tr>
      <w:tr w:rsidR="0040300B" w14:paraId="7B671656" w14:textId="77777777">
        <w:trPr>
          <w:jc w:val="center"/>
        </w:trPr>
        <w:tc>
          <w:tcPr>
            <w:tcW w:w="0" w:type="auto"/>
            <w:gridSpan w:val="3"/>
            <w:shd w:val="clear" w:color="auto" w:fill="auto"/>
            <w:tcMar>
              <w:top w:w="40" w:type="dxa"/>
              <w:left w:w="20" w:type="dxa"/>
              <w:bottom w:w="40" w:type="dxa"/>
              <w:right w:w="20" w:type="dxa"/>
            </w:tcMar>
            <w:vAlign w:val="bottom"/>
          </w:tcPr>
          <w:p w14:paraId="7B671650"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651" w14:textId="77777777" w:rsidR="0040300B" w:rsidRDefault="00BB2D44">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tcPr>
          <w:p w14:paraId="7B671652"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65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65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655"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r>
      <w:tr w:rsidR="0040300B" w14:paraId="7B67165D" w14:textId="77777777">
        <w:trPr>
          <w:jc w:val="center"/>
        </w:trPr>
        <w:tc>
          <w:tcPr>
            <w:tcW w:w="0" w:type="auto"/>
            <w:gridSpan w:val="3"/>
            <w:shd w:val="clear" w:color="auto" w:fill="CCEEFF"/>
            <w:tcMar>
              <w:top w:w="40" w:type="dxa"/>
              <w:left w:w="20" w:type="dxa"/>
              <w:bottom w:w="40" w:type="dxa"/>
              <w:right w:w="20" w:type="dxa"/>
            </w:tcMar>
          </w:tcPr>
          <w:p w14:paraId="7B671657" w14:textId="77777777" w:rsidR="0040300B" w:rsidRDefault="00BB2D44">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tcPr>
          <w:p w14:paraId="7B67165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659"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65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65B"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65C" w14:textId="77777777" w:rsidR="0040300B" w:rsidRDefault="0040300B">
            <w:pPr>
              <w:rPr>
                <w:rFonts w:ascii="宋体"/>
              </w:rPr>
            </w:pPr>
          </w:p>
        </w:tc>
      </w:tr>
      <w:tr w:rsidR="0040300B" w14:paraId="7B671664" w14:textId="77777777">
        <w:trPr>
          <w:jc w:val="center"/>
        </w:trPr>
        <w:tc>
          <w:tcPr>
            <w:tcW w:w="0" w:type="auto"/>
            <w:gridSpan w:val="3"/>
            <w:shd w:val="clear" w:color="auto" w:fill="FFFFFF"/>
            <w:tcMar>
              <w:top w:w="40" w:type="dxa"/>
              <w:left w:w="155" w:type="dxa"/>
              <w:bottom w:w="40" w:type="dxa"/>
              <w:right w:w="20" w:type="dxa"/>
            </w:tcMar>
          </w:tcPr>
          <w:p w14:paraId="7B67165E" w14:textId="77777777" w:rsidR="0040300B" w:rsidRDefault="00BB2D44">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tcPr>
          <w:p w14:paraId="7B67165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66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66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66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663" w14:textId="77777777" w:rsidR="0040300B" w:rsidRDefault="0040300B">
            <w:pPr>
              <w:rPr>
                <w:rFonts w:ascii="宋体"/>
              </w:rPr>
            </w:pPr>
          </w:p>
        </w:tc>
      </w:tr>
      <w:tr w:rsidR="0040300B" w14:paraId="7B67166F" w14:textId="77777777">
        <w:trPr>
          <w:jc w:val="center"/>
        </w:trPr>
        <w:tc>
          <w:tcPr>
            <w:tcW w:w="0" w:type="auto"/>
            <w:gridSpan w:val="3"/>
            <w:shd w:val="clear" w:color="auto" w:fill="CCEEFF"/>
            <w:tcMar>
              <w:top w:w="40" w:type="dxa"/>
              <w:left w:w="380" w:type="dxa"/>
              <w:bottom w:w="40" w:type="dxa"/>
              <w:right w:w="20" w:type="dxa"/>
            </w:tcMar>
            <w:vAlign w:val="center"/>
          </w:tcPr>
          <w:p w14:paraId="7B671665" w14:textId="77777777" w:rsidR="0040300B" w:rsidRDefault="00BB2D44">
            <w:pPr>
              <w:textAlignment w:val="center"/>
            </w:pPr>
            <w:r>
              <w:rPr>
                <w:rFonts w:ascii="Times New Roman" w:eastAsia="宋体" w:hAnsi="Times New Roman"/>
                <w:color w:val="000000"/>
                <w:sz w:val="20"/>
                <w:szCs w:val="20"/>
              </w:rPr>
              <w:t>2.20%</w:t>
            </w:r>
          </w:p>
        </w:tc>
        <w:tc>
          <w:tcPr>
            <w:tcW w:w="0" w:type="auto"/>
            <w:gridSpan w:val="3"/>
            <w:shd w:val="clear" w:color="auto" w:fill="CCEEFF"/>
            <w:tcMar>
              <w:top w:w="40" w:type="dxa"/>
              <w:left w:w="20" w:type="dxa"/>
              <w:bottom w:w="40" w:type="dxa"/>
              <w:right w:w="20" w:type="dxa"/>
            </w:tcMar>
            <w:vAlign w:val="bottom"/>
          </w:tcPr>
          <w:p w14:paraId="7B671666" w14:textId="77777777" w:rsidR="0040300B" w:rsidRDefault="00BB2D44">
            <w:pPr>
              <w:textAlignment w:val="bottom"/>
            </w:pPr>
            <w:r>
              <w:rPr>
                <w:rFonts w:ascii="Times New Roman" w:eastAsia="宋体" w:hAnsi="Times New Roman"/>
                <w:color w:val="000000"/>
                <w:sz w:val="20"/>
                <w:szCs w:val="20"/>
              </w:rPr>
              <w:t>February 28, 2021</w:t>
            </w:r>
          </w:p>
        </w:tc>
        <w:tc>
          <w:tcPr>
            <w:tcW w:w="0" w:type="auto"/>
            <w:gridSpan w:val="3"/>
            <w:shd w:val="clear" w:color="auto" w:fill="CCEEFF"/>
            <w:tcMar>
              <w:top w:w="0" w:type="dxa"/>
              <w:left w:w="20" w:type="dxa"/>
              <w:bottom w:w="0" w:type="dxa"/>
              <w:right w:w="20" w:type="dxa"/>
            </w:tcMar>
          </w:tcPr>
          <w:p w14:paraId="7B67166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66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669"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B67166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6B"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66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66D" w14:textId="77777777" w:rsidR="0040300B" w:rsidRDefault="00BB2D44">
            <w:pPr>
              <w:jc w:val="right"/>
              <w:textAlignment w:val="bottom"/>
            </w:pPr>
            <w:r>
              <w:rPr>
                <w:rFonts w:ascii="Times New Roman" w:eastAsia="宋体" w:hAnsi="Times New Roman"/>
                <w:color w:val="000000"/>
                <w:sz w:val="20"/>
                <w:szCs w:val="20"/>
              </w:rPr>
              <w:t>2,500 </w:t>
            </w:r>
          </w:p>
        </w:tc>
        <w:tc>
          <w:tcPr>
            <w:tcW w:w="0" w:type="auto"/>
            <w:shd w:val="clear" w:color="auto" w:fill="CCEEFF"/>
            <w:tcMar>
              <w:top w:w="40" w:type="dxa"/>
              <w:left w:w="0" w:type="dxa"/>
              <w:bottom w:w="40" w:type="dxa"/>
              <w:right w:w="20" w:type="dxa"/>
            </w:tcMar>
            <w:vAlign w:val="bottom"/>
          </w:tcPr>
          <w:p w14:paraId="7B67166E" w14:textId="77777777" w:rsidR="0040300B" w:rsidRDefault="0040300B">
            <w:pPr>
              <w:jc w:val="right"/>
              <w:rPr>
                <w:rFonts w:ascii="宋体"/>
              </w:rPr>
            </w:pPr>
          </w:p>
        </w:tc>
      </w:tr>
      <w:tr w:rsidR="0040300B" w14:paraId="7B671678" w14:textId="77777777">
        <w:trPr>
          <w:jc w:val="center"/>
        </w:trPr>
        <w:tc>
          <w:tcPr>
            <w:tcW w:w="0" w:type="auto"/>
            <w:gridSpan w:val="3"/>
            <w:shd w:val="clear" w:color="auto" w:fill="FFFFFF"/>
            <w:tcMar>
              <w:top w:w="40" w:type="dxa"/>
              <w:left w:w="380" w:type="dxa"/>
              <w:bottom w:w="40" w:type="dxa"/>
              <w:right w:w="20" w:type="dxa"/>
            </w:tcMar>
            <w:vAlign w:val="center"/>
          </w:tcPr>
          <w:p w14:paraId="7B671670" w14:textId="77777777" w:rsidR="0040300B" w:rsidRDefault="00BB2D44">
            <w:pPr>
              <w:textAlignment w:val="center"/>
            </w:pPr>
            <w:r>
              <w:rPr>
                <w:rFonts w:ascii="Times New Roman" w:eastAsia="宋体" w:hAnsi="Times New Roman"/>
                <w:color w:val="000000"/>
                <w:sz w:val="20"/>
                <w:szCs w:val="20"/>
              </w:rPr>
              <w:t>2.90%</w:t>
            </w:r>
          </w:p>
        </w:tc>
        <w:tc>
          <w:tcPr>
            <w:tcW w:w="0" w:type="auto"/>
            <w:gridSpan w:val="3"/>
            <w:shd w:val="clear" w:color="auto" w:fill="FFFFFF"/>
            <w:tcMar>
              <w:top w:w="40" w:type="dxa"/>
              <w:left w:w="20" w:type="dxa"/>
              <w:bottom w:w="40" w:type="dxa"/>
              <w:right w:w="20" w:type="dxa"/>
            </w:tcMar>
            <w:vAlign w:val="bottom"/>
          </w:tcPr>
          <w:p w14:paraId="7B671671" w14:textId="77777777" w:rsidR="0040300B" w:rsidRDefault="00BB2D44">
            <w:pPr>
              <w:textAlignment w:val="bottom"/>
            </w:pPr>
            <w:r>
              <w:rPr>
                <w:rFonts w:ascii="Times New Roman" w:eastAsia="宋体" w:hAnsi="Times New Roman"/>
                <w:color w:val="000000"/>
                <w:sz w:val="20"/>
                <w:szCs w:val="20"/>
              </w:rPr>
              <w:t>March 4, 2021</w:t>
            </w:r>
          </w:p>
        </w:tc>
        <w:tc>
          <w:tcPr>
            <w:tcW w:w="0" w:type="auto"/>
            <w:gridSpan w:val="3"/>
            <w:shd w:val="clear" w:color="auto" w:fill="FFFFFF"/>
            <w:tcMar>
              <w:top w:w="0" w:type="dxa"/>
              <w:left w:w="20" w:type="dxa"/>
              <w:bottom w:w="0" w:type="dxa"/>
              <w:right w:w="20" w:type="dxa"/>
            </w:tcMar>
          </w:tcPr>
          <w:p w14:paraId="7B671672"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73" w14:textId="77777777" w:rsidR="0040300B" w:rsidRDefault="00BB2D4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B671674"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75"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76"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71677" w14:textId="77777777" w:rsidR="0040300B" w:rsidRDefault="0040300B">
            <w:pPr>
              <w:jc w:val="right"/>
              <w:rPr>
                <w:rFonts w:ascii="宋体"/>
              </w:rPr>
            </w:pPr>
          </w:p>
        </w:tc>
      </w:tr>
      <w:tr w:rsidR="0040300B" w14:paraId="7B671681" w14:textId="77777777">
        <w:trPr>
          <w:jc w:val="center"/>
        </w:trPr>
        <w:tc>
          <w:tcPr>
            <w:tcW w:w="0" w:type="auto"/>
            <w:gridSpan w:val="3"/>
            <w:shd w:val="clear" w:color="auto" w:fill="CCEEFF"/>
            <w:tcMar>
              <w:top w:w="40" w:type="dxa"/>
              <w:left w:w="380" w:type="dxa"/>
              <w:bottom w:w="40" w:type="dxa"/>
              <w:right w:w="20" w:type="dxa"/>
            </w:tcMar>
            <w:vAlign w:val="center"/>
          </w:tcPr>
          <w:p w14:paraId="7B671679" w14:textId="77777777" w:rsidR="0040300B" w:rsidRDefault="00BB2D44">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7B67167A" w14:textId="77777777" w:rsidR="0040300B" w:rsidRDefault="00BB2D44">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tcPr>
          <w:p w14:paraId="7B67167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7C"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7167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7E"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7F"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71680" w14:textId="77777777" w:rsidR="0040300B" w:rsidRDefault="0040300B">
            <w:pPr>
              <w:jc w:val="right"/>
              <w:rPr>
                <w:rFonts w:ascii="宋体"/>
              </w:rPr>
            </w:pPr>
          </w:p>
        </w:tc>
      </w:tr>
      <w:tr w:rsidR="0040300B" w14:paraId="7B67168A" w14:textId="77777777">
        <w:trPr>
          <w:jc w:val="center"/>
        </w:trPr>
        <w:tc>
          <w:tcPr>
            <w:tcW w:w="0" w:type="auto"/>
            <w:gridSpan w:val="3"/>
            <w:shd w:val="clear" w:color="auto" w:fill="FFFFFF"/>
            <w:tcMar>
              <w:top w:w="40" w:type="dxa"/>
              <w:left w:w="380" w:type="dxa"/>
              <w:bottom w:w="40" w:type="dxa"/>
              <w:right w:w="20" w:type="dxa"/>
            </w:tcMar>
            <w:vAlign w:val="center"/>
          </w:tcPr>
          <w:p w14:paraId="7B671682" w14:textId="77777777" w:rsidR="0040300B" w:rsidRDefault="00BB2D44">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7B671683" w14:textId="77777777" w:rsidR="0040300B" w:rsidRDefault="00BB2D44">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tcPr>
          <w:p w14:paraId="7B67168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85"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7168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8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88"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71689" w14:textId="77777777" w:rsidR="0040300B" w:rsidRDefault="0040300B">
            <w:pPr>
              <w:jc w:val="right"/>
              <w:rPr>
                <w:rFonts w:ascii="宋体"/>
              </w:rPr>
            </w:pPr>
          </w:p>
        </w:tc>
      </w:tr>
      <w:tr w:rsidR="0040300B" w14:paraId="7B671693" w14:textId="77777777">
        <w:trPr>
          <w:jc w:val="center"/>
        </w:trPr>
        <w:tc>
          <w:tcPr>
            <w:tcW w:w="0" w:type="auto"/>
            <w:gridSpan w:val="3"/>
            <w:shd w:val="clear" w:color="auto" w:fill="CCEEFF"/>
            <w:tcMar>
              <w:top w:w="40" w:type="dxa"/>
              <w:left w:w="380" w:type="dxa"/>
              <w:bottom w:w="40" w:type="dxa"/>
              <w:right w:w="20" w:type="dxa"/>
            </w:tcMar>
            <w:vAlign w:val="center"/>
          </w:tcPr>
          <w:p w14:paraId="7B67168B" w14:textId="77777777" w:rsidR="0040300B" w:rsidRDefault="00BB2D44">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7B67168C" w14:textId="77777777" w:rsidR="0040300B" w:rsidRDefault="00BB2D44">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tcPr>
          <w:p w14:paraId="7B67168D"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8E"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7168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90"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91"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B671692" w14:textId="77777777" w:rsidR="0040300B" w:rsidRDefault="0040300B">
            <w:pPr>
              <w:jc w:val="right"/>
              <w:rPr>
                <w:rFonts w:ascii="宋体"/>
              </w:rPr>
            </w:pPr>
          </w:p>
        </w:tc>
      </w:tr>
      <w:tr w:rsidR="0040300B" w14:paraId="7B67169C" w14:textId="77777777">
        <w:trPr>
          <w:jc w:val="center"/>
        </w:trPr>
        <w:tc>
          <w:tcPr>
            <w:tcW w:w="0" w:type="auto"/>
            <w:gridSpan w:val="3"/>
            <w:shd w:val="clear" w:color="auto" w:fill="FFFFFF"/>
            <w:tcMar>
              <w:top w:w="40" w:type="dxa"/>
              <w:left w:w="380" w:type="dxa"/>
              <w:bottom w:w="40" w:type="dxa"/>
              <w:right w:w="20" w:type="dxa"/>
            </w:tcMar>
            <w:vAlign w:val="center"/>
          </w:tcPr>
          <w:p w14:paraId="7B671694" w14:textId="77777777" w:rsidR="0040300B" w:rsidRDefault="00BB2D44">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7B671695" w14:textId="77777777" w:rsidR="0040300B" w:rsidRDefault="00BB2D44">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tcPr>
          <w:p w14:paraId="7B671696"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97"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B67169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9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9A"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B67169B" w14:textId="77777777" w:rsidR="0040300B" w:rsidRDefault="0040300B">
            <w:pPr>
              <w:jc w:val="right"/>
              <w:rPr>
                <w:rFonts w:ascii="宋体"/>
              </w:rPr>
            </w:pPr>
          </w:p>
        </w:tc>
      </w:tr>
      <w:tr w:rsidR="0040300B" w14:paraId="7B6716A5" w14:textId="77777777">
        <w:trPr>
          <w:jc w:val="center"/>
        </w:trPr>
        <w:tc>
          <w:tcPr>
            <w:tcW w:w="0" w:type="auto"/>
            <w:gridSpan w:val="3"/>
            <w:shd w:val="clear" w:color="auto" w:fill="CCEEFF"/>
            <w:tcMar>
              <w:top w:w="40" w:type="dxa"/>
              <w:left w:w="380" w:type="dxa"/>
              <w:bottom w:w="40" w:type="dxa"/>
              <w:right w:w="20" w:type="dxa"/>
            </w:tcMar>
            <w:vAlign w:val="center"/>
          </w:tcPr>
          <w:p w14:paraId="7B67169D" w14:textId="77777777" w:rsidR="0040300B" w:rsidRDefault="00BB2D44">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7B67169E" w14:textId="77777777" w:rsidR="0040300B" w:rsidRDefault="00BB2D44">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tcPr>
          <w:p w14:paraId="7B67169F"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A0" w14:textId="77777777" w:rsidR="0040300B" w:rsidRDefault="00BB2D4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B6716A1"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A2"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A3" w14:textId="77777777" w:rsidR="0040300B" w:rsidRDefault="00BB2D4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B6716A4" w14:textId="77777777" w:rsidR="0040300B" w:rsidRDefault="0040300B">
            <w:pPr>
              <w:jc w:val="right"/>
              <w:rPr>
                <w:rFonts w:ascii="宋体"/>
              </w:rPr>
            </w:pPr>
          </w:p>
        </w:tc>
      </w:tr>
      <w:tr w:rsidR="0040300B" w14:paraId="7B6716AE" w14:textId="77777777">
        <w:trPr>
          <w:jc w:val="center"/>
        </w:trPr>
        <w:tc>
          <w:tcPr>
            <w:tcW w:w="0" w:type="auto"/>
            <w:gridSpan w:val="3"/>
            <w:shd w:val="clear" w:color="auto" w:fill="FFFFFF"/>
            <w:tcMar>
              <w:top w:w="40" w:type="dxa"/>
              <w:left w:w="380" w:type="dxa"/>
              <w:bottom w:w="40" w:type="dxa"/>
              <w:right w:w="20" w:type="dxa"/>
            </w:tcMar>
            <w:vAlign w:val="center"/>
          </w:tcPr>
          <w:p w14:paraId="7B6716A6" w14:textId="77777777" w:rsidR="0040300B" w:rsidRDefault="00BB2D44">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7B6716A7" w14:textId="77777777" w:rsidR="0040300B" w:rsidRDefault="00BB2D44">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tcPr>
          <w:p w14:paraId="7B6716A8"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A9"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716A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AB"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AC" w14:textId="77777777" w:rsidR="0040300B" w:rsidRDefault="00BB2D4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7B6716AD" w14:textId="77777777" w:rsidR="0040300B" w:rsidRDefault="0040300B">
            <w:pPr>
              <w:jc w:val="right"/>
              <w:rPr>
                <w:rFonts w:ascii="宋体"/>
              </w:rPr>
            </w:pPr>
          </w:p>
        </w:tc>
      </w:tr>
      <w:tr w:rsidR="0040300B" w14:paraId="7B6716B7" w14:textId="77777777">
        <w:trPr>
          <w:jc w:val="center"/>
        </w:trPr>
        <w:tc>
          <w:tcPr>
            <w:tcW w:w="0" w:type="auto"/>
            <w:gridSpan w:val="3"/>
            <w:shd w:val="clear" w:color="auto" w:fill="CCEEFF"/>
            <w:tcMar>
              <w:top w:w="40" w:type="dxa"/>
              <w:left w:w="380" w:type="dxa"/>
              <w:bottom w:w="40" w:type="dxa"/>
              <w:right w:w="20" w:type="dxa"/>
            </w:tcMar>
            <w:vAlign w:val="center"/>
          </w:tcPr>
          <w:p w14:paraId="7B6716AF" w14:textId="77777777" w:rsidR="0040300B" w:rsidRDefault="00BB2D44">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7B6716B0" w14:textId="77777777" w:rsidR="0040300B" w:rsidRDefault="00BB2D44">
            <w:pPr>
              <w:textAlignment w:val="bottom"/>
            </w:pPr>
            <w:r>
              <w:rPr>
                <w:rFonts w:ascii="Times New Roman" w:eastAsia="宋体" w:hAnsi="Times New Roman"/>
                <w:color w:val="000000"/>
                <w:sz w:val="20"/>
                <w:szCs w:val="20"/>
              </w:rPr>
              <w:t xml:space="preserve">February 28, </w:t>
            </w:r>
            <w:r>
              <w:rPr>
                <w:rFonts w:ascii="Times New Roman" w:eastAsia="宋体" w:hAnsi="Times New Roman"/>
                <w:color w:val="000000"/>
                <w:sz w:val="20"/>
                <w:szCs w:val="20"/>
              </w:rPr>
              <w:t>2026</w:t>
            </w:r>
          </w:p>
        </w:tc>
        <w:tc>
          <w:tcPr>
            <w:tcW w:w="0" w:type="auto"/>
            <w:gridSpan w:val="3"/>
            <w:shd w:val="clear" w:color="auto" w:fill="CCEEFF"/>
            <w:tcMar>
              <w:top w:w="0" w:type="dxa"/>
              <w:left w:w="20" w:type="dxa"/>
              <w:bottom w:w="0" w:type="dxa"/>
              <w:right w:w="20" w:type="dxa"/>
            </w:tcMar>
          </w:tcPr>
          <w:p w14:paraId="7B6716B1"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B2"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B6716B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B4"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B5" w14:textId="77777777" w:rsidR="0040300B" w:rsidRDefault="00BB2D4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B6716B6" w14:textId="77777777" w:rsidR="0040300B" w:rsidRDefault="0040300B">
            <w:pPr>
              <w:jc w:val="right"/>
              <w:rPr>
                <w:rFonts w:ascii="宋体"/>
              </w:rPr>
            </w:pPr>
          </w:p>
        </w:tc>
      </w:tr>
      <w:tr w:rsidR="0040300B" w14:paraId="7B6716C0" w14:textId="77777777">
        <w:trPr>
          <w:jc w:val="center"/>
        </w:trPr>
        <w:tc>
          <w:tcPr>
            <w:tcW w:w="0" w:type="auto"/>
            <w:gridSpan w:val="3"/>
            <w:shd w:val="clear" w:color="auto" w:fill="FFFFFF"/>
            <w:tcMar>
              <w:top w:w="40" w:type="dxa"/>
              <w:left w:w="380" w:type="dxa"/>
              <w:bottom w:w="40" w:type="dxa"/>
              <w:right w:w="20" w:type="dxa"/>
            </w:tcMar>
            <w:vAlign w:val="center"/>
          </w:tcPr>
          <w:p w14:paraId="7B6716B8" w14:textId="77777777" w:rsidR="0040300B" w:rsidRDefault="00BB2D44">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7B6716B9" w14:textId="77777777" w:rsidR="0040300B" w:rsidRDefault="00BB2D44">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tcPr>
          <w:p w14:paraId="7B6716BA"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BB" w14:textId="77777777" w:rsidR="0040300B" w:rsidRDefault="00BB2D4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B6716B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BD"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BE" w14:textId="77777777" w:rsidR="0040300B" w:rsidRDefault="00BB2D4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B6716BF" w14:textId="77777777" w:rsidR="0040300B" w:rsidRDefault="0040300B">
            <w:pPr>
              <w:jc w:val="right"/>
              <w:rPr>
                <w:rFonts w:ascii="宋体"/>
              </w:rPr>
            </w:pPr>
          </w:p>
        </w:tc>
      </w:tr>
      <w:tr w:rsidR="0040300B" w14:paraId="7B6716C9" w14:textId="77777777">
        <w:trPr>
          <w:jc w:val="center"/>
        </w:trPr>
        <w:tc>
          <w:tcPr>
            <w:tcW w:w="0" w:type="auto"/>
            <w:gridSpan w:val="3"/>
            <w:shd w:val="clear" w:color="auto" w:fill="CCEEFF"/>
            <w:tcMar>
              <w:top w:w="40" w:type="dxa"/>
              <w:left w:w="380" w:type="dxa"/>
              <w:bottom w:w="40" w:type="dxa"/>
              <w:right w:w="20" w:type="dxa"/>
            </w:tcMar>
            <w:vAlign w:val="center"/>
          </w:tcPr>
          <w:p w14:paraId="7B6716C1" w14:textId="77777777" w:rsidR="0040300B" w:rsidRDefault="00BB2D44">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7B6716C2" w14:textId="77777777" w:rsidR="0040300B" w:rsidRDefault="00BB2D44">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tcPr>
          <w:p w14:paraId="7B6716C3"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C4"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716C5"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C6"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6C7"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B6716C8" w14:textId="77777777" w:rsidR="0040300B" w:rsidRDefault="0040300B">
            <w:pPr>
              <w:jc w:val="right"/>
              <w:rPr>
                <w:rFonts w:ascii="宋体"/>
              </w:rPr>
            </w:pPr>
          </w:p>
        </w:tc>
      </w:tr>
      <w:tr w:rsidR="0040300B" w14:paraId="7B6716D2" w14:textId="77777777">
        <w:trPr>
          <w:jc w:val="center"/>
        </w:trPr>
        <w:tc>
          <w:tcPr>
            <w:tcW w:w="0" w:type="auto"/>
            <w:gridSpan w:val="3"/>
            <w:shd w:val="clear" w:color="auto" w:fill="FFFFFF"/>
            <w:tcMar>
              <w:top w:w="40" w:type="dxa"/>
              <w:left w:w="380" w:type="dxa"/>
              <w:bottom w:w="40" w:type="dxa"/>
              <w:right w:w="20" w:type="dxa"/>
            </w:tcMar>
            <w:vAlign w:val="center"/>
          </w:tcPr>
          <w:p w14:paraId="7B6716CA" w14:textId="77777777" w:rsidR="0040300B" w:rsidRDefault="00BB2D44">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7B6716CB" w14:textId="77777777" w:rsidR="0040300B" w:rsidRDefault="00BB2D44">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tcPr>
          <w:p w14:paraId="7B6716C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CD"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7B6716C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6CF"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6D0" w14:textId="77777777" w:rsidR="0040300B" w:rsidRDefault="00BB2D4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7B6716D1" w14:textId="77777777" w:rsidR="0040300B" w:rsidRDefault="0040300B">
            <w:pPr>
              <w:jc w:val="right"/>
              <w:rPr>
                <w:rFonts w:ascii="宋体"/>
              </w:rPr>
            </w:pPr>
          </w:p>
        </w:tc>
      </w:tr>
      <w:tr w:rsidR="0040300B" w14:paraId="7B6716DD" w14:textId="77777777">
        <w:trPr>
          <w:jc w:val="center"/>
        </w:trPr>
        <w:tc>
          <w:tcPr>
            <w:tcW w:w="0" w:type="auto"/>
            <w:gridSpan w:val="3"/>
            <w:shd w:val="clear" w:color="auto" w:fill="CCEEFF"/>
            <w:tcMar>
              <w:top w:w="40" w:type="dxa"/>
              <w:left w:w="740" w:type="dxa"/>
              <w:bottom w:w="40" w:type="dxa"/>
              <w:right w:w="20" w:type="dxa"/>
            </w:tcMar>
          </w:tcPr>
          <w:p w14:paraId="7B6716D3" w14:textId="77777777" w:rsidR="0040300B" w:rsidRDefault="00BB2D4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tcPr>
          <w:p w14:paraId="7B6716D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6D5"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6D6"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6D7" w14:textId="77777777" w:rsidR="0040300B" w:rsidRDefault="00BB2D44">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6D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6D9"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6D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6DB" w14:textId="77777777" w:rsidR="0040300B" w:rsidRDefault="00BB2D44">
            <w:pPr>
              <w:jc w:val="right"/>
              <w:textAlignment w:val="bottom"/>
            </w:pPr>
            <w:r>
              <w:rPr>
                <w:rFonts w:ascii="Times New Roman" w:eastAsia="宋体" w:hAnsi="Times New Roman"/>
                <w:color w:val="000000"/>
                <w:sz w:val="20"/>
                <w:szCs w:val="20"/>
              </w:rPr>
              <w:t>14,500 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6DC" w14:textId="77777777" w:rsidR="0040300B" w:rsidRDefault="0040300B">
            <w:pPr>
              <w:jc w:val="right"/>
              <w:rPr>
                <w:rFonts w:ascii="宋体"/>
              </w:rPr>
            </w:pPr>
          </w:p>
        </w:tc>
      </w:tr>
    </w:tbl>
    <w:p w14:paraId="7B6716DE" w14:textId="77777777" w:rsidR="0040300B" w:rsidRDefault="00BB2D44">
      <w:pPr>
        <w:spacing w:before="120"/>
        <w:jc w:val="both"/>
      </w:pPr>
      <w:r>
        <w:rPr>
          <w:rFonts w:ascii="Times New Roman" w:eastAsia="宋体" w:hAnsi="Times New Roman"/>
          <w:color w:val="000000"/>
          <w:sz w:val="20"/>
          <w:szCs w:val="20"/>
        </w:rPr>
        <w:t>In</w:t>
      </w:r>
      <w:r>
        <w:rPr>
          <w:rFonts w:ascii="Times New Roman" w:eastAsia="宋体" w:hAnsi="Times New Roman"/>
          <w:color w:val="000000"/>
          <w:sz w:val="20"/>
          <w:szCs w:val="20"/>
        </w:rPr>
        <w:t>terest is payable semiannually on each class of the senior fixed-rate notes, each of which is redeemable by us at any time, subject to a make-whole premium. We were in compliance with all debt covenants as of May 1, 2021.</w:t>
      </w:r>
    </w:p>
    <w:p w14:paraId="7B6716DF" w14:textId="77777777" w:rsidR="0040300B" w:rsidRDefault="00BB2D44">
      <w:pPr>
        <w:spacing w:before="120"/>
        <w:jc w:val="both"/>
      </w:pPr>
      <w:r>
        <w:rPr>
          <w:rFonts w:ascii="Times New Roman" w:eastAsia="宋体" w:hAnsi="Times New Roman"/>
          <w:i/>
          <w:iCs/>
          <w:color w:val="000000"/>
          <w:sz w:val="20"/>
          <w:szCs w:val="20"/>
          <w:u w:val="single"/>
        </w:rPr>
        <w:t>Commercial Paper</w:t>
      </w:r>
      <w:r>
        <w:rPr>
          <w:rFonts w:ascii="Times New Roman" w:eastAsia="宋体" w:hAnsi="Times New Roman"/>
          <w:color w:val="000000"/>
          <w:sz w:val="20"/>
          <w:szCs w:val="20"/>
        </w:rPr>
        <w:t xml:space="preserve"> We have a short-t</w:t>
      </w:r>
      <w:r>
        <w:rPr>
          <w:rFonts w:ascii="Times New Roman" w:eastAsia="宋体" w:hAnsi="Times New Roman"/>
          <w:color w:val="000000"/>
          <w:sz w:val="20"/>
          <w:szCs w:val="20"/>
        </w:rPr>
        <w:t>erm debt financing program in which up to $10.0 billion is available through the issuance of commercial paper notes. We use the proceeds from the issuance of commercial paper notes for general corporate purposes. We had no commercial paper outstanding as o</w:t>
      </w:r>
      <w:r>
        <w:rPr>
          <w:rFonts w:ascii="Times New Roman" w:eastAsia="宋体" w:hAnsi="Times New Roman"/>
          <w:color w:val="000000"/>
          <w:sz w:val="20"/>
          <w:szCs w:val="20"/>
        </w:rPr>
        <w:t xml:space="preserve">f May 1, 2021 and July 25, 2020. </w:t>
      </w:r>
    </w:p>
    <w:p w14:paraId="7B6716E0" w14:textId="77777777" w:rsidR="0040300B" w:rsidRDefault="00BB2D44">
      <w:pPr>
        <w:jc w:val="center"/>
      </w:pPr>
      <w:r>
        <w:rPr>
          <w:rFonts w:ascii="Times New Roman" w:eastAsia="宋体" w:hAnsi="Times New Roman"/>
          <w:color w:val="000000"/>
          <w:sz w:val="20"/>
          <w:szCs w:val="20"/>
        </w:rPr>
        <w:t>63</w:t>
      </w:r>
    </w:p>
    <w:p w14:paraId="7B6716E1" w14:textId="77777777" w:rsidR="0040300B" w:rsidRDefault="00BB2D44">
      <w:r>
        <w:pict w14:anchorId="7B671C4F">
          <v:rect id="_x0000_i1087" style="width:415.3pt;height:1.5pt" o:hralign="center" o:hrstd="t" o:hr="t" fillcolor="#a0a0a0" stroked="f"/>
        </w:pict>
      </w:r>
    </w:p>
    <w:p w14:paraId="7B6716E2" w14:textId="77777777" w:rsidR="0040300B" w:rsidRDefault="00BB2D44">
      <w:hyperlink r:id="rId109"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6E3" w14:textId="77777777" w:rsidR="0040300B" w:rsidRDefault="00BB2D44">
      <w:pPr>
        <w:jc w:val="center"/>
      </w:pPr>
      <w:r>
        <w:rPr>
          <w:rFonts w:ascii="Times New Roman" w:eastAsia="宋体" w:hAnsi="Times New Roman"/>
          <w:b/>
          <w:bCs/>
          <w:color w:val="000000"/>
          <w:sz w:val="18"/>
          <w:szCs w:val="18"/>
        </w:rPr>
        <w:t>CISCO SYSTEMS, INC.</w:t>
      </w:r>
    </w:p>
    <w:p w14:paraId="7B6716E4" w14:textId="77777777" w:rsidR="0040300B" w:rsidRDefault="00BB2D44">
      <w:pPr>
        <w:jc w:val="center"/>
      </w:pPr>
      <w:r>
        <w:rPr>
          <w:rFonts w:ascii="Times New Roman" w:eastAsia="宋体" w:hAnsi="Times New Roman"/>
          <w:b/>
          <w:bCs/>
          <w:color w:val="000000"/>
          <w:sz w:val="18"/>
          <w:szCs w:val="18"/>
        </w:rPr>
        <w:t>MANAGEMENT’S DISCUSSION AND A</w:t>
      </w:r>
      <w:r>
        <w:rPr>
          <w:rFonts w:ascii="Times New Roman" w:eastAsia="宋体" w:hAnsi="Times New Roman"/>
          <w:b/>
          <w:bCs/>
          <w:color w:val="000000"/>
          <w:sz w:val="18"/>
          <w:szCs w:val="18"/>
        </w:rPr>
        <w:t>NALYSIS OF FINANCIAL CONDITION AND RESULTS OF OPERATIONS (Continued)</w:t>
      </w:r>
    </w:p>
    <w:p w14:paraId="7B6716E5" w14:textId="77777777" w:rsidR="0040300B" w:rsidRDefault="0040300B">
      <w:pPr>
        <w:jc w:val="center"/>
      </w:pPr>
    </w:p>
    <w:p w14:paraId="7B6716E6" w14:textId="77777777" w:rsidR="0040300B" w:rsidRDefault="00BB2D44">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May 13, 2021, we entered into a 5-year credit agreement with certain institutional lenders that provides for a $3.0 billion unsecured revolving credit facility that is</w:t>
      </w:r>
      <w:r>
        <w:rPr>
          <w:rFonts w:ascii="Times New Roman" w:eastAsia="宋体" w:hAnsi="Times New Roman"/>
          <w:color w:val="000000"/>
          <w:sz w:val="20"/>
          <w:szCs w:val="20"/>
        </w:rPr>
        <w:t xml:space="preserve"> scheduled to expire on May 13, 2026. The credit agreement is structured as an amendment and restatement of our 364-day credit agreement, which would have terminated on May 14, 2021. As of May 1, 2021, we were in compliance with the required interest cover</w:t>
      </w:r>
      <w:r>
        <w:rPr>
          <w:rFonts w:ascii="Times New Roman" w:eastAsia="宋体" w:hAnsi="Times New Roman"/>
          <w:color w:val="000000"/>
          <w:sz w:val="20"/>
          <w:szCs w:val="20"/>
        </w:rPr>
        <w:t xml:space="preserve">age ratio and the other covenants, and we had not borrowed any funds under the 364-day credit facility. Any advances under the 5-year credit agreement will accrue interest at rates that are equal to, based on certain conditions, either (a) with respect to </w:t>
      </w:r>
      <w:r>
        <w:rPr>
          <w:rFonts w:ascii="Times New Roman" w:eastAsia="宋体" w:hAnsi="Times New Roman"/>
          <w:color w:val="000000"/>
          <w:sz w:val="20"/>
          <w:szCs w:val="20"/>
        </w:rPr>
        <w:t xml:space="preserve">loans in U.S. dollars, (i) LIBOR or (ii) the Base Rate (to be defined as the highest of (x) the Bank of America prime rate, (y) the Federal Funds rate plus 0.50% and (z) a daily rate equal to one-month LIBOR plus 1.0%), (b) with respect to loans in Euros, </w:t>
      </w:r>
      <w:r>
        <w:rPr>
          <w:rFonts w:ascii="Times New Roman" w:eastAsia="宋体" w:hAnsi="Times New Roman"/>
          <w:color w:val="000000"/>
          <w:sz w:val="20"/>
          <w:szCs w:val="20"/>
        </w:rPr>
        <w:t>EURIBOR, (c) with respect to loans in Yen, TIBOR and (d) with respect to loans in Pounds Sterling, SONIA plus a credit spread adjustment, plus a margin that is based on our senior debt credit ratings as published by Standard &amp; Poor’s Financial Services, LL</w:t>
      </w:r>
      <w:r>
        <w:rPr>
          <w:rFonts w:ascii="Times New Roman" w:eastAsia="宋体" w:hAnsi="Times New Roman"/>
          <w:color w:val="000000"/>
          <w:sz w:val="20"/>
          <w:szCs w:val="20"/>
        </w:rPr>
        <w:t xml:space="preserve">C and Moody’s Investors Service, Inc., provided that in no event will the interest rate be less than 0.0%. We will pay a quarterly commitment fee during the term of the 5-year credit agreement which may vary depending on our senior debt credit ratings. In </w:t>
      </w:r>
      <w:r>
        <w:rPr>
          <w:rFonts w:ascii="Times New Roman" w:eastAsia="宋体" w:hAnsi="Times New Roman"/>
          <w:color w:val="000000"/>
          <w:sz w:val="20"/>
          <w:szCs w:val="20"/>
        </w:rPr>
        <w:t>addition, the 5-year credit agreement incorporates certain sustainability-linked metrics. Specifically, our applicable interest rate and commitment fee are subject to upward or downward adjustments if we achieve, or fail to achieve, certain specified targe</w:t>
      </w:r>
      <w:r>
        <w:rPr>
          <w:rFonts w:ascii="Times New Roman" w:eastAsia="宋体" w:hAnsi="Times New Roman"/>
          <w:color w:val="000000"/>
          <w:sz w:val="20"/>
          <w:szCs w:val="20"/>
        </w:rPr>
        <w:t>ts based on two key performance indicator metrics: (i) social impact and (ii) foam reduction. We may also, upon the agreement of either the then-existing lenders or additional lenders not currently parties to the agreement, increase the commitments under t</w:t>
      </w:r>
      <w:r>
        <w:rPr>
          <w:rFonts w:ascii="Times New Roman" w:eastAsia="宋体" w:hAnsi="Times New Roman"/>
          <w:color w:val="000000"/>
          <w:sz w:val="20"/>
          <w:szCs w:val="20"/>
        </w:rPr>
        <w:t>he credit facility by up to an additional $2.0 billion and, at our option, extend the maturity of the facility for an additional year up to two times. The credit agreement requires that we comply with certain covenants, including that we maintain an intere</w:t>
      </w:r>
      <w:r>
        <w:rPr>
          <w:rFonts w:ascii="Times New Roman" w:eastAsia="宋体" w:hAnsi="Times New Roman"/>
          <w:color w:val="000000"/>
          <w:sz w:val="20"/>
          <w:szCs w:val="20"/>
        </w:rPr>
        <w:t>st coverage ratio as defined in the agreement.</w:t>
      </w:r>
    </w:p>
    <w:p w14:paraId="7B6716E7" w14:textId="77777777" w:rsidR="0040300B" w:rsidRDefault="0040300B">
      <w:pPr>
        <w:spacing w:before="120"/>
        <w:jc w:val="both"/>
      </w:pPr>
    </w:p>
    <w:p w14:paraId="7B6716E8" w14:textId="77777777" w:rsidR="0040300B" w:rsidRDefault="00BB2D44">
      <w:pPr>
        <w:jc w:val="center"/>
      </w:pPr>
      <w:r>
        <w:rPr>
          <w:rFonts w:ascii="Times New Roman" w:eastAsia="宋体" w:hAnsi="Times New Roman"/>
          <w:color w:val="000000"/>
          <w:sz w:val="20"/>
          <w:szCs w:val="20"/>
        </w:rPr>
        <w:t>64</w:t>
      </w:r>
    </w:p>
    <w:p w14:paraId="7B6716E9" w14:textId="77777777" w:rsidR="0040300B" w:rsidRDefault="00BB2D44">
      <w:r>
        <w:pict w14:anchorId="7B671C50">
          <v:rect id="_x0000_i1088" style="width:415.3pt;height:1.5pt" o:hralign="center" o:hrstd="t" o:hr="t" fillcolor="#a0a0a0" stroked="f"/>
        </w:pict>
      </w:r>
    </w:p>
    <w:p w14:paraId="7B6716EA" w14:textId="77777777" w:rsidR="0040300B" w:rsidRDefault="00BB2D44">
      <w:hyperlink r:id="rId110"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6EB" w14:textId="77777777" w:rsidR="0040300B" w:rsidRDefault="00BB2D44">
      <w:pPr>
        <w:jc w:val="center"/>
      </w:pPr>
      <w:r>
        <w:rPr>
          <w:rFonts w:ascii="Times New Roman" w:eastAsia="宋体" w:hAnsi="Times New Roman"/>
          <w:b/>
          <w:bCs/>
          <w:color w:val="000000"/>
          <w:sz w:val="18"/>
          <w:szCs w:val="18"/>
        </w:rPr>
        <w:t>CISCO SYSTEMS, INC.</w:t>
      </w:r>
    </w:p>
    <w:p w14:paraId="7B6716EC"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7B6716ED" w14:textId="77777777" w:rsidR="0040300B" w:rsidRDefault="0040300B">
      <w:pPr>
        <w:jc w:val="center"/>
      </w:pPr>
    </w:p>
    <w:p w14:paraId="7B6716EE" w14:textId="77777777" w:rsidR="0040300B" w:rsidRDefault="00BB2D44">
      <w:pPr>
        <w:spacing w:before="120"/>
        <w:jc w:val="both"/>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the breakdown of deferred revenue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40300B" w14:paraId="7B671701" w14:textId="77777777">
        <w:tc>
          <w:tcPr>
            <w:tcW w:w="50" w:type="pct"/>
            <w:shd w:val="clear" w:color="auto" w:fill="auto"/>
          </w:tcPr>
          <w:p w14:paraId="7B6716EF" w14:textId="77777777" w:rsidR="0040300B" w:rsidRDefault="0040300B">
            <w:pPr>
              <w:rPr>
                <w:rFonts w:ascii="宋体"/>
              </w:rPr>
            </w:pPr>
          </w:p>
        </w:tc>
        <w:tc>
          <w:tcPr>
            <w:tcW w:w="2826" w:type="pct"/>
            <w:shd w:val="clear" w:color="auto" w:fill="auto"/>
          </w:tcPr>
          <w:p w14:paraId="7B6716F0" w14:textId="77777777" w:rsidR="0040300B" w:rsidRDefault="0040300B">
            <w:pPr>
              <w:rPr>
                <w:rFonts w:ascii="宋体"/>
              </w:rPr>
            </w:pPr>
          </w:p>
        </w:tc>
        <w:tc>
          <w:tcPr>
            <w:tcW w:w="5" w:type="pct"/>
            <w:shd w:val="clear" w:color="auto" w:fill="auto"/>
          </w:tcPr>
          <w:p w14:paraId="7B6716F1" w14:textId="77777777" w:rsidR="0040300B" w:rsidRDefault="0040300B">
            <w:pPr>
              <w:rPr>
                <w:rFonts w:ascii="宋体"/>
              </w:rPr>
            </w:pPr>
          </w:p>
        </w:tc>
        <w:tc>
          <w:tcPr>
            <w:tcW w:w="50" w:type="pct"/>
            <w:shd w:val="clear" w:color="auto" w:fill="auto"/>
          </w:tcPr>
          <w:p w14:paraId="7B6716F2" w14:textId="77777777" w:rsidR="0040300B" w:rsidRDefault="0040300B">
            <w:pPr>
              <w:rPr>
                <w:rFonts w:ascii="宋体"/>
              </w:rPr>
            </w:pPr>
          </w:p>
        </w:tc>
        <w:tc>
          <w:tcPr>
            <w:tcW w:w="626" w:type="pct"/>
            <w:shd w:val="clear" w:color="auto" w:fill="auto"/>
          </w:tcPr>
          <w:p w14:paraId="7B6716F3" w14:textId="77777777" w:rsidR="0040300B" w:rsidRDefault="0040300B">
            <w:pPr>
              <w:rPr>
                <w:rFonts w:ascii="宋体"/>
              </w:rPr>
            </w:pPr>
          </w:p>
        </w:tc>
        <w:tc>
          <w:tcPr>
            <w:tcW w:w="5" w:type="pct"/>
            <w:shd w:val="clear" w:color="auto" w:fill="auto"/>
          </w:tcPr>
          <w:p w14:paraId="7B6716F4" w14:textId="77777777" w:rsidR="0040300B" w:rsidRDefault="0040300B">
            <w:pPr>
              <w:rPr>
                <w:rFonts w:ascii="宋体"/>
              </w:rPr>
            </w:pPr>
          </w:p>
        </w:tc>
        <w:tc>
          <w:tcPr>
            <w:tcW w:w="5" w:type="pct"/>
            <w:shd w:val="clear" w:color="auto" w:fill="auto"/>
          </w:tcPr>
          <w:p w14:paraId="7B6716F5" w14:textId="77777777" w:rsidR="0040300B" w:rsidRDefault="0040300B">
            <w:pPr>
              <w:rPr>
                <w:rFonts w:ascii="宋体"/>
              </w:rPr>
            </w:pPr>
          </w:p>
        </w:tc>
        <w:tc>
          <w:tcPr>
            <w:tcW w:w="26" w:type="pct"/>
            <w:shd w:val="clear" w:color="auto" w:fill="auto"/>
          </w:tcPr>
          <w:p w14:paraId="7B6716F6" w14:textId="77777777" w:rsidR="0040300B" w:rsidRDefault="0040300B">
            <w:pPr>
              <w:rPr>
                <w:rFonts w:ascii="宋体"/>
              </w:rPr>
            </w:pPr>
          </w:p>
        </w:tc>
        <w:tc>
          <w:tcPr>
            <w:tcW w:w="5" w:type="pct"/>
            <w:shd w:val="clear" w:color="auto" w:fill="auto"/>
          </w:tcPr>
          <w:p w14:paraId="7B6716F7" w14:textId="77777777" w:rsidR="0040300B" w:rsidRDefault="0040300B">
            <w:pPr>
              <w:rPr>
                <w:rFonts w:ascii="宋体"/>
              </w:rPr>
            </w:pPr>
          </w:p>
        </w:tc>
        <w:tc>
          <w:tcPr>
            <w:tcW w:w="50" w:type="pct"/>
            <w:shd w:val="clear" w:color="auto" w:fill="auto"/>
          </w:tcPr>
          <w:p w14:paraId="7B6716F8" w14:textId="77777777" w:rsidR="0040300B" w:rsidRDefault="0040300B">
            <w:pPr>
              <w:rPr>
                <w:rFonts w:ascii="宋体"/>
              </w:rPr>
            </w:pPr>
          </w:p>
        </w:tc>
        <w:tc>
          <w:tcPr>
            <w:tcW w:w="626" w:type="pct"/>
            <w:shd w:val="clear" w:color="auto" w:fill="auto"/>
          </w:tcPr>
          <w:p w14:paraId="7B6716F9" w14:textId="77777777" w:rsidR="0040300B" w:rsidRDefault="0040300B">
            <w:pPr>
              <w:rPr>
                <w:rFonts w:ascii="宋体"/>
              </w:rPr>
            </w:pPr>
          </w:p>
        </w:tc>
        <w:tc>
          <w:tcPr>
            <w:tcW w:w="5" w:type="pct"/>
            <w:shd w:val="clear" w:color="auto" w:fill="auto"/>
          </w:tcPr>
          <w:p w14:paraId="7B6716FA" w14:textId="77777777" w:rsidR="0040300B" w:rsidRDefault="0040300B">
            <w:pPr>
              <w:rPr>
                <w:rFonts w:ascii="宋体"/>
              </w:rPr>
            </w:pPr>
          </w:p>
        </w:tc>
        <w:tc>
          <w:tcPr>
            <w:tcW w:w="5" w:type="pct"/>
            <w:shd w:val="clear" w:color="auto" w:fill="auto"/>
          </w:tcPr>
          <w:p w14:paraId="7B6716FB" w14:textId="77777777" w:rsidR="0040300B" w:rsidRDefault="0040300B">
            <w:pPr>
              <w:rPr>
                <w:rFonts w:ascii="宋体"/>
              </w:rPr>
            </w:pPr>
          </w:p>
        </w:tc>
        <w:tc>
          <w:tcPr>
            <w:tcW w:w="26" w:type="pct"/>
            <w:shd w:val="clear" w:color="auto" w:fill="auto"/>
          </w:tcPr>
          <w:p w14:paraId="7B6716FC" w14:textId="77777777" w:rsidR="0040300B" w:rsidRDefault="0040300B">
            <w:pPr>
              <w:rPr>
                <w:rFonts w:ascii="宋体"/>
              </w:rPr>
            </w:pPr>
          </w:p>
        </w:tc>
        <w:tc>
          <w:tcPr>
            <w:tcW w:w="5" w:type="pct"/>
            <w:shd w:val="clear" w:color="auto" w:fill="auto"/>
          </w:tcPr>
          <w:p w14:paraId="7B6716FD" w14:textId="77777777" w:rsidR="0040300B" w:rsidRDefault="0040300B">
            <w:pPr>
              <w:rPr>
                <w:rFonts w:ascii="宋体"/>
              </w:rPr>
            </w:pPr>
          </w:p>
        </w:tc>
        <w:tc>
          <w:tcPr>
            <w:tcW w:w="50" w:type="pct"/>
            <w:shd w:val="clear" w:color="auto" w:fill="auto"/>
          </w:tcPr>
          <w:p w14:paraId="7B6716FE" w14:textId="77777777" w:rsidR="0040300B" w:rsidRDefault="0040300B">
            <w:pPr>
              <w:rPr>
                <w:rFonts w:ascii="宋体"/>
              </w:rPr>
            </w:pPr>
          </w:p>
        </w:tc>
        <w:tc>
          <w:tcPr>
            <w:tcW w:w="626" w:type="pct"/>
            <w:shd w:val="clear" w:color="auto" w:fill="auto"/>
          </w:tcPr>
          <w:p w14:paraId="7B6716FF" w14:textId="77777777" w:rsidR="0040300B" w:rsidRDefault="0040300B">
            <w:pPr>
              <w:rPr>
                <w:rFonts w:ascii="宋体"/>
              </w:rPr>
            </w:pPr>
          </w:p>
        </w:tc>
        <w:tc>
          <w:tcPr>
            <w:tcW w:w="5" w:type="pct"/>
            <w:shd w:val="clear" w:color="auto" w:fill="auto"/>
          </w:tcPr>
          <w:p w14:paraId="7B671700" w14:textId="77777777" w:rsidR="0040300B" w:rsidRDefault="0040300B">
            <w:pPr>
              <w:rPr>
                <w:rFonts w:ascii="宋体"/>
              </w:rPr>
            </w:pPr>
          </w:p>
        </w:tc>
      </w:tr>
      <w:tr w:rsidR="0040300B" w14:paraId="7B671708" w14:textId="77777777">
        <w:tc>
          <w:tcPr>
            <w:tcW w:w="0" w:type="auto"/>
            <w:gridSpan w:val="3"/>
            <w:shd w:val="clear" w:color="auto" w:fill="auto"/>
            <w:tcMar>
              <w:top w:w="40" w:type="dxa"/>
              <w:left w:w="20" w:type="dxa"/>
              <w:bottom w:w="40" w:type="dxa"/>
              <w:right w:w="20" w:type="dxa"/>
            </w:tcMar>
            <w:vAlign w:val="bottom"/>
          </w:tcPr>
          <w:p w14:paraId="7B671702"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703"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704"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705"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706"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707"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715" w14:textId="77777777">
        <w:tc>
          <w:tcPr>
            <w:tcW w:w="0" w:type="auto"/>
            <w:gridSpan w:val="3"/>
            <w:shd w:val="clear" w:color="auto" w:fill="CCEEFF"/>
            <w:tcMar>
              <w:top w:w="40" w:type="dxa"/>
              <w:left w:w="20" w:type="dxa"/>
              <w:bottom w:w="40" w:type="dxa"/>
              <w:right w:w="20" w:type="dxa"/>
            </w:tcMar>
            <w:vAlign w:val="bottom"/>
          </w:tcPr>
          <w:p w14:paraId="7B671709" w14:textId="77777777" w:rsidR="0040300B" w:rsidRDefault="00BB2D44">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70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0B" w14:textId="77777777" w:rsidR="0040300B" w:rsidRDefault="00BB2D44">
            <w:pPr>
              <w:jc w:val="right"/>
              <w:textAlignment w:val="bottom"/>
            </w:pPr>
            <w:r>
              <w:rPr>
                <w:rFonts w:ascii="Times New Roman" w:eastAsia="宋体" w:hAnsi="Times New Roman"/>
                <w:color w:val="000000"/>
                <w:sz w:val="20"/>
                <w:szCs w:val="20"/>
              </w:rPr>
              <w:t>8,698 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0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0D"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0E"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0F" w14:textId="77777777" w:rsidR="0040300B" w:rsidRDefault="00BB2D44">
            <w:pPr>
              <w:jc w:val="right"/>
              <w:textAlignment w:val="bottom"/>
            </w:pPr>
            <w:r>
              <w:rPr>
                <w:rFonts w:ascii="Times New Roman" w:eastAsia="宋体" w:hAnsi="Times New Roman"/>
                <w:color w:val="000000"/>
                <w:sz w:val="20"/>
                <w:szCs w:val="20"/>
              </w:rPr>
              <w:t>7,895 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10"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11"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12"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13" w14:textId="77777777" w:rsidR="0040300B" w:rsidRDefault="00BB2D44">
            <w:pPr>
              <w:jc w:val="right"/>
              <w:textAlignment w:val="bottom"/>
            </w:pPr>
            <w:r>
              <w:rPr>
                <w:rFonts w:ascii="Times New Roman" w:eastAsia="宋体" w:hAnsi="Times New Roman"/>
                <w:color w:val="000000"/>
                <w:sz w:val="20"/>
                <w:szCs w:val="20"/>
              </w:rPr>
              <w:t>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14" w14:textId="77777777" w:rsidR="0040300B" w:rsidRDefault="0040300B">
            <w:pPr>
              <w:jc w:val="right"/>
              <w:rPr>
                <w:rFonts w:ascii="宋体"/>
              </w:rPr>
            </w:pPr>
          </w:p>
        </w:tc>
      </w:tr>
      <w:tr w:rsidR="0040300B" w14:paraId="7B67171F" w14:textId="77777777">
        <w:tc>
          <w:tcPr>
            <w:tcW w:w="0" w:type="auto"/>
            <w:gridSpan w:val="3"/>
            <w:shd w:val="clear" w:color="auto" w:fill="FFFFFF"/>
            <w:tcMar>
              <w:top w:w="40" w:type="dxa"/>
              <w:left w:w="20" w:type="dxa"/>
              <w:bottom w:w="40" w:type="dxa"/>
              <w:right w:w="20" w:type="dxa"/>
            </w:tcMar>
            <w:vAlign w:val="bottom"/>
          </w:tcPr>
          <w:p w14:paraId="7B671716"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7B671717" w14:textId="77777777" w:rsidR="0040300B" w:rsidRDefault="00BB2D44">
            <w:pPr>
              <w:jc w:val="right"/>
              <w:textAlignment w:val="bottom"/>
            </w:pPr>
            <w:r>
              <w:rPr>
                <w:rFonts w:ascii="Times New Roman" w:eastAsia="宋体" w:hAnsi="Times New Roman"/>
                <w:color w:val="000000"/>
                <w:sz w:val="20"/>
                <w:szCs w:val="20"/>
              </w:rPr>
              <w:t>12,191 </w:t>
            </w:r>
          </w:p>
        </w:tc>
        <w:tc>
          <w:tcPr>
            <w:tcW w:w="0" w:type="auto"/>
            <w:shd w:val="clear" w:color="auto" w:fill="FFFFFF"/>
            <w:tcMar>
              <w:top w:w="40" w:type="dxa"/>
              <w:left w:w="0" w:type="dxa"/>
              <w:bottom w:w="40" w:type="dxa"/>
              <w:right w:w="20" w:type="dxa"/>
            </w:tcMar>
            <w:vAlign w:val="bottom"/>
          </w:tcPr>
          <w:p w14:paraId="7B671718"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19"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1A" w14:textId="77777777" w:rsidR="0040300B" w:rsidRDefault="00BB2D44">
            <w:pPr>
              <w:jc w:val="right"/>
              <w:textAlignment w:val="bottom"/>
            </w:pPr>
            <w:r>
              <w:rPr>
                <w:rFonts w:ascii="Times New Roman" w:eastAsia="宋体" w:hAnsi="Times New Roman"/>
                <w:color w:val="000000"/>
                <w:sz w:val="20"/>
                <w:szCs w:val="20"/>
              </w:rPr>
              <w:t>12,551 </w:t>
            </w:r>
          </w:p>
        </w:tc>
        <w:tc>
          <w:tcPr>
            <w:tcW w:w="0" w:type="auto"/>
            <w:shd w:val="clear" w:color="auto" w:fill="FFFFFF"/>
            <w:tcMar>
              <w:top w:w="40" w:type="dxa"/>
              <w:left w:w="0" w:type="dxa"/>
              <w:bottom w:w="40" w:type="dxa"/>
              <w:right w:w="20" w:type="dxa"/>
            </w:tcMar>
            <w:vAlign w:val="bottom"/>
          </w:tcPr>
          <w:p w14:paraId="7B67171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1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1D" w14:textId="77777777" w:rsidR="0040300B" w:rsidRDefault="00BB2D44">
            <w:pPr>
              <w:jc w:val="right"/>
              <w:textAlignment w:val="bottom"/>
            </w:pPr>
            <w:r>
              <w:rPr>
                <w:rFonts w:ascii="Times New Roman" w:eastAsia="宋体" w:hAnsi="Times New Roman"/>
                <w:color w:val="000000"/>
                <w:sz w:val="20"/>
                <w:szCs w:val="20"/>
              </w:rPr>
              <w:t>(360)</w:t>
            </w:r>
          </w:p>
        </w:tc>
        <w:tc>
          <w:tcPr>
            <w:tcW w:w="0" w:type="auto"/>
            <w:shd w:val="clear" w:color="auto" w:fill="FFFFFF"/>
            <w:tcMar>
              <w:top w:w="40" w:type="dxa"/>
              <w:left w:w="0" w:type="dxa"/>
              <w:bottom w:w="40" w:type="dxa"/>
              <w:right w:w="20" w:type="dxa"/>
            </w:tcMar>
            <w:vAlign w:val="bottom"/>
          </w:tcPr>
          <w:p w14:paraId="7B67171E" w14:textId="77777777" w:rsidR="0040300B" w:rsidRDefault="0040300B">
            <w:pPr>
              <w:jc w:val="right"/>
              <w:rPr>
                <w:rFonts w:ascii="宋体"/>
              </w:rPr>
            </w:pPr>
          </w:p>
        </w:tc>
      </w:tr>
      <w:tr w:rsidR="0040300B" w14:paraId="7B67172C" w14:textId="77777777">
        <w:tc>
          <w:tcPr>
            <w:tcW w:w="0" w:type="auto"/>
            <w:gridSpan w:val="3"/>
            <w:shd w:val="clear" w:color="auto" w:fill="CCEEFF"/>
            <w:tcMar>
              <w:top w:w="40" w:type="dxa"/>
              <w:left w:w="515" w:type="dxa"/>
              <w:bottom w:w="40" w:type="dxa"/>
              <w:right w:w="20" w:type="dxa"/>
            </w:tcMar>
            <w:vAlign w:val="bottom"/>
          </w:tcPr>
          <w:p w14:paraId="7B671720"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72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22" w14:textId="77777777" w:rsidR="0040300B" w:rsidRDefault="00BB2D44">
            <w:pPr>
              <w:jc w:val="right"/>
              <w:textAlignment w:val="bottom"/>
            </w:pPr>
            <w:r>
              <w:rPr>
                <w:rFonts w:ascii="Times New Roman" w:eastAsia="宋体" w:hAnsi="Times New Roman"/>
                <w:color w:val="000000"/>
                <w:sz w:val="20"/>
                <w:szCs w:val="20"/>
              </w:rPr>
              <w:t>20,889 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23"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24"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2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26" w14:textId="77777777" w:rsidR="0040300B" w:rsidRDefault="00BB2D44">
            <w:pPr>
              <w:jc w:val="right"/>
              <w:textAlignment w:val="bottom"/>
            </w:pPr>
            <w:r>
              <w:rPr>
                <w:rFonts w:ascii="Times New Roman" w:eastAsia="宋体" w:hAnsi="Times New Roman"/>
                <w:color w:val="000000"/>
                <w:sz w:val="20"/>
                <w:szCs w:val="20"/>
              </w:rPr>
              <w:t>20,446 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2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2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2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2A" w14:textId="77777777" w:rsidR="0040300B" w:rsidRDefault="00BB2D44">
            <w:pPr>
              <w:jc w:val="right"/>
              <w:textAlignment w:val="bottom"/>
            </w:pPr>
            <w:r>
              <w:rPr>
                <w:rFonts w:ascii="Times New Roman" w:eastAsia="宋体" w:hAnsi="Times New Roman"/>
                <w:color w:val="000000"/>
                <w:sz w:val="20"/>
                <w:szCs w:val="20"/>
              </w:rPr>
              <w:t>443 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2B" w14:textId="77777777" w:rsidR="0040300B" w:rsidRDefault="0040300B">
            <w:pPr>
              <w:jc w:val="right"/>
              <w:rPr>
                <w:rFonts w:ascii="宋体"/>
              </w:rPr>
            </w:pPr>
          </w:p>
        </w:tc>
      </w:tr>
      <w:tr w:rsidR="0040300B" w14:paraId="7B671733" w14:textId="77777777">
        <w:tc>
          <w:tcPr>
            <w:tcW w:w="0" w:type="auto"/>
            <w:gridSpan w:val="3"/>
            <w:shd w:val="clear" w:color="auto" w:fill="FFFFFF"/>
            <w:tcMar>
              <w:top w:w="40" w:type="dxa"/>
              <w:left w:w="20" w:type="dxa"/>
              <w:bottom w:w="40" w:type="dxa"/>
              <w:right w:w="20" w:type="dxa"/>
            </w:tcMar>
            <w:vAlign w:val="bottom"/>
          </w:tcPr>
          <w:p w14:paraId="7B67172D" w14:textId="77777777" w:rsidR="0040300B" w:rsidRDefault="00BB2D44">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tcPr>
          <w:p w14:paraId="7B67172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72F" w14:textId="77777777" w:rsidR="0040300B" w:rsidRDefault="0040300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B67173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731" w14:textId="77777777" w:rsidR="0040300B" w:rsidRDefault="0040300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B671732" w14:textId="77777777" w:rsidR="0040300B" w:rsidRDefault="0040300B">
            <w:pPr>
              <w:rPr>
                <w:rFonts w:ascii="宋体"/>
              </w:rPr>
            </w:pPr>
          </w:p>
        </w:tc>
      </w:tr>
      <w:tr w:rsidR="0040300B" w14:paraId="7B671740" w14:textId="77777777">
        <w:tc>
          <w:tcPr>
            <w:tcW w:w="0" w:type="auto"/>
            <w:gridSpan w:val="3"/>
            <w:shd w:val="clear" w:color="auto" w:fill="CCEEFF"/>
            <w:tcMar>
              <w:top w:w="40" w:type="dxa"/>
              <w:left w:w="155" w:type="dxa"/>
              <w:bottom w:w="40" w:type="dxa"/>
              <w:right w:w="20" w:type="dxa"/>
            </w:tcMar>
            <w:vAlign w:val="bottom"/>
          </w:tcPr>
          <w:p w14:paraId="7B671734" w14:textId="77777777" w:rsidR="0040300B" w:rsidRDefault="00BB2D44">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7B67173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736" w14:textId="77777777" w:rsidR="0040300B" w:rsidRDefault="00BB2D44">
            <w:pPr>
              <w:jc w:val="right"/>
              <w:textAlignment w:val="bottom"/>
            </w:pPr>
            <w:r>
              <w:rPr>
                <w:rFonts w:ascii="Times New Roman" w:eastAsia="宋体" w:hAnsi="Times New Roman"/>
                <w:color w:val="000000"/>
                <w:sz w:val="20"/>
                <w:szCs w:val="20"/>
              </w:rPr>
              <w:t>11,492 </w:t>
            </w:r>
          </w:p>
        </w:tc>
        <w:tc>
          <w:tcPr>
            <w:tcW w:w="0" w:type="auto"/>
            <w:shd w:val="clear" w:color="auto" w:fill="CCEEFF"/>
            <w:tcMar>
              <w:top w:w="40" w:type="dxa"/>
              <w:left w:w="0" w:type="dxa"/>
              <w:bottom w:w="40" w:type="dxa"/>
              <w:right w:w="20" w:type="dxa"/>
            </w:tcMar>
            <w:vAlign w:val="bottom"/>
          </w:tcPr>
          <w:p w14:paraId="7B67173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3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73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73A" w14:textId="77777777" w:rsidR="0040300B" w:rsidRDefault="00BB2D44">
            <w:pPr>
              <w:jc w:val="right"/>
              <w:textAlignment w:val="bottom"/>
            </w:pPr>
            <w:r>
              <w:rPr>
                <w:rFonts w:ascii="Times New Roman" w:eastAsia="宋体" w:hAnsi="Times New Roman"/>
                <w:color w:val="000000"/>
                <w:sz w:val="20"/>
                <w:szCs w:val="20"/>
              </w:rPr>
              <w:t>11,406 </w:t>
            </w:r>
          </w:p>
        </w:tc>
        <w:tc>
          <w:tcPr>
            <w:tcW w:w="0" w:type="auto"/>
            <w:shd w:val="clear" w:color="auto" w:fill="CCEEFF"/>
            <w:tcMar>
              <w:top w:w="40" w:type="dxa"/>
              <w:left w:w="0" w:type="dxa"/>
              <w:bottom w:w="40" w:type="dxa"/>
              <w:right w:w="20" w:type="dxa"/>
            </w:tcMar>
            <w:vAlign w:val="bottom"/>
          </w:tcPr>
          <w:p w14:paraId="7B67173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3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73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73E" w14:textId="77777777" w:rsidR="0040300B" w:rsidRDefault="00BB2D44">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7B67173F" w14:textId="77777777" w:rsidR="0040300B" w:rsidRDefault="0040300B">
            <w:pPr>
              <w:jc w:val="right"/>
              <w:rPr>
                <w:rFonts w:ascii="宋体"/>
              </w:rPr>
            </w:pPr>
          </w:p>
        </w:tc>
      </w:tr>
      <w:tr w:rsidR="0040300B" w14:paraId="7B67174A" w14:textId="77777777">
        <w:tc>
          <w:tcPr>
            <w:tcW w:w="0" w:type="auto"/>
            <w:gridSpan w:val="3"/>
            <w:shd w:val="clear" w:color="auto" w:fill="FFFFFF"/>
            <w:tcMar>
              <w:top w:w="40" w:type="dxa"/>
              <w:left w:w="155" w:type="dxa"/>
              <w:bottom w:w="40" w:type="dxa"/>
              <w:right w:w="20" w:type="dxa"/>
            </w:tcMar>
            <w:vAlign w:val="bottom"/>
          </w:tcPr>
          <w:p w14:paraId="7B671741" w14:textId="77777777" w:rsidR="0040300B" w:rsidRDefault="00BB2D44">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7B671742" w14:textId="77777777" w:rsidR="0040300B" w:rsidRDefault="00BB2D44">
            <w:pPr>
              <w:jc w:val="right"/>
              <w:textAlignment w:val="bottom"/>
            </w:pPr>
            <w:r>
              <w:rPr>
                <w:rFonts w:ascii="Times New Roman" w:eastAsia="宋体" w:hAnsi="Times New Roman"/>
                <w:color w:val="000000"/>
                <w:sz w:val="20"/>
                <w:szCs w:val="20"/>
              </w:rPr>
              <w:t>9,397 </w:t>
            </w:r>
          </w:p>
        </w:tc>
        <w:tc>
          <w:tcPr>
            <w:tcW w:w="0" w:type="auto"/>
            <w:shd w:val="clear" w:color="auto" w:fill="FFFFFF"/>
            <w:tcMar>
              <w:top w:w="40" w:type="dxa"/>
              <w:left w:w="0" w:type="dxa"/>
              <w:bottom w:w="40" w:type="dxa"/>
              <w:right w:w="20" w:type="dxa"/>
            </w:tcMar>
            <w:vAlign w:val="bottom"/>
          </w:tcPr>
          <w:p w14:paraId="7B67174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4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45" w14:textId="77777777" w:rsidR="0040300B" w:rsidRDefault="00BB2D44">
            <w:pPr>
              <w:jc w:val="right"/>
              <w:textAlignment w:val="bottom"/>
            </w:pPr>
            <w:r>
              <w:rPr>
                <w:rFonts w:ascii="Times New Roman" w:eastAsia="宋体" w:hAnsi="Times New Roman"/>
                <w:color w:val="000000"/>
                <w:sz w:val="20"/>
                <w:szCs w:val="20"/>
              </w:rPr>
              <w:t>9,040 </w:t>
            </w:r>
          </w:p>
        </w:tc>
        <w:tc>
          <w:tcPr>
            <w:tcW w:w="0" w:type="auto"/>
            <w:shd w:val="clear" w:color="auto" w:fill="FFFFFF"/>
            <w:tcMar>
              <w:top w:w="40" w:type="dxa"/>
              <w:left w:w="0" w:type="dxa"/>
              <w:bottom w:w="40" w:type="dxa"/>
              <w:right w:w="20" w:type="dxa"/>
            </w:tcMar>
            <w:vAlign w:val="bottom"/>
          </w:tcPr>
          <w:p w14:paraId="7B67174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4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48" w14:textId="77777777" w:rsidR="0040300B" w:rsidRDefault="00BB2D44">
            <w:pPr>
              <w:jc w:val="right"/>
              <w:textAlignment w:val="bottom"/>
            </w:pPr>
            <w:r>
              <w:rPr>
                <w:rFonts w:ascii="Times New Roman" w:eastAsia="宋体" w:hAnsi="Times New Roman"/>
                <w:color w:val="000000"/>
                <w:sz w:val="20"/>
                <w:szCs w:val="20"/>
              </w:rPr>
              <w:t>357 </w:t>
            </w:r>
          </w:p>
        </w:tc>
        <w:tc>
          <w:tcPr>
            <w:tcW w:w="0" w:type="auto"/>
            <w:shd w:val="clear" w:color="auto" w:fill="FFFFFF"/>
            <w:tcMar>
              <w:top w:w="40" w:type="dxa"/>
              <w:left w:w="0" w:type="dxa"/>
              <w:bottom w:w="40" w:type="dxa"/>
              <w:right w:w="20" w:type="dxa"/>
            </w:tcMar>
            <w:vAlign w:val="bottom"/>
          </w:tcPr>
          <w:p w14:paraId="7B671749" w14:textId="77777777" w:rsidR="0040300B" w:rsidRDefault="0040300B">
            <w:pPr>
              <w:jc w:val="right"/>
              <w:rPr>
                <w:rFonts w:ascii="宋体"/>
              </w:rPr>
            </w:pPr>
          </w:p>
        </w:tc>
      </w:tr>
      <w:tr w:rsidR="0040300B" w14:paraId="7B671757" w14:textId="77777777">
        <w:tc>
          <w:tcPr>
            <w:tcW w:w="0" w:type="auto"/>
            <w:gridSpan w:val="3"/>
            <w:shd w:val="clear" w:color="auto" w:fill="CCEEFF"/>
            <w:tcMar>
              <w:top w:w="40" w:type="dxa"/>
              <w:left w:w="245" w:type="dxa"/>
              <w:bottom w:w="40" w:type="dxa"/>
              <w:right w:w="20" w:type="dxa"/>
            </w:tcMar>
            <w:vAlign w:val="bottom"/>
          </w:tcPr>
          <w:p w14:paraId="7B67174B" w14:textId="77777777" w:rsidR="0040300B" w:rsidRDefault="00BB2D44">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4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4D" w14:textId="77777777" w:rsidR="0040300B" w:rsidRDefault="00BB2D44">
            <w:pPr>
              <w:jc w:val="right"/>
              <w:textAlignment w:val="bottom"/>
            </w:pPr>
            <w:r>
              <w:rPr>
                <w:rFonts w:ascii="Times New Roman" w:eastAsia="宋体" w:hAnsi="Times New Roman"/>
                <w:color w:val="000000"/>
                <w:sz w:val="20"/>
                <w:szCs w:val="20"/>
              </w:rPr>
              <w:t>20,889 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4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4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5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51" w14:textId="77777777" w:rsidR="0040300B" w:rsidRDefault="00BB2D44">
            <w:pPr>
              <w:jc w:val="right"/>
              <w:textAlignment w:val="bottom"/>
            </w:pPr>
            <w:r>
              <w:rPr>
                <w:rFonts w:ascii="Times New Roman" w:eastAsia="宋体" w:hAnsi="Times New Roman"/>
                <w:color w:val="000000"/>
                <w:sz w:val="20"/>
                <w:szCs w:val="20"/>
              </w:rPr>
              <w:t>20,446 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5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5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5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55" w14:textId="77777777" w:rsidR="0040300B" w:rsidRDefault="00BB2D44">
            <w:pPr>
              <w:jc w:val="right"/>
              <w:textAlignment w:val="bottom"/>
            </w:pPr>
            <w:r>
              <w:rPr>
                <w:rFonts w:ascii="Times New Roman" w:eastAsia="宋体" w:hAnsi="Times New Roman"/>
                <w:color w:val="000000"/>
                <w:sz w:val="20"/>
                <w:szCs w:val="20"/>
              </w:rPr>
              <w:t>443 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56" w14:textId="77777777" w:rsidR="0040300B" w:rsidRDefault="0040300B">
            <w:pPr>
              <w:jc w:val="right"/>
              <w:rPr>
                <w:rFonts w:ascii="宋体"/>
              </w:rPr>
            </w:pPr>
          </w:p>
        </w:tc>
      </w:tr>
    </w:tbl>
    <w:p w14:paraId="7B671758" w14:textId="77777777" w:rsidR="0040300B" w:rsidRDefault="00BB2D44">
      <w:pPr>
        <w:spacing w:before="120"/>
        <w:jc w:val="both"/>
      </w:pPr>
      <w:r>
        <w:rPr>
          <w:rFonts w:ascii="Times New Roman" w:eastAsia="宋体" w:hAnsi="Times New Roman"/>
          <w:color w:val="000000"/>
          <w:sz w:val="20"/>
          <w:szCs w:val="20"/>
        </w:rPr>
        <w:t>Deferred product revenue increased primarily due to increased deferrals related to our recurring software offerings. The decrease in deferred service revenue was driven by the impact of ongoi</w:t>
      </w:r>
      <w:r>
        <w:rPr>
          <w:rFonts w:ascii="Times New Roman" w:eastAsia="宋体" w:hAnsi="Times New Roman"/>
          <w:color w:val="000000"/>
          <w:sz w:val="20"/>
          <w:szCs w:val="20"/>
        </w:rPr>
        <w:t xml:space="preserve">ng amortization of deferred service revenue. </w:t>
      </w:r>
    </w:p>
    <w:p w14:paraId="7B671759" w14:textId="77777777" w:rsidR="0040300B" w:rsidRDefault="00BB2D44">
      <w:pPr>
        <w:spacing w:before="120"/>
        <w:jc w:val="both"/>
      </w:pPr>
      <w:r>
        <w:rPr>
          <w:rFonts w:ascii="Times New Roman" w:eastAsia="宋体" w:hAnsi="Times New Roman"/>
          <w:color w:val="000000"/>
          <w:sz w:val="20"/>
          <w:szCs w:val="20"/>
          <w:u w:val="single"/>
        </w:rPr>
        <w:t>Remaining Performance Obligations</w:t>
      </w:r>
      <w:r>
        <w:rPr>
          <w:rFonts w:ascii="Times New Roman" w:eastAsia="宋体" w:hAnsi="Times New Roman"/>
          <w:color w:val="000000"/>
          <w:sz w:val="20"/>
          <w:szCs w:val="20"/>
        </w:rPr>
        <w:t xml:space="preserve"> The following table presents the breakdown of remaining performance obligations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40300B" w14:paraId="7B67176C" w14:textId="77777777">
        <w:tc>
          <w:tcPr>
            <w:tcW w:w="50" w:type="pct"/>
            <w:shd w:val="clear" w:color="auto" w:fill="auto"/>
          </w:tcPr>
          <w:p w14:paraId="7B67175A" w14:textId="77777777" w:rsidR="0040300B" w:rsidRDefault="0040300B">
            <w:pPr>
              <w:rPr>
                <w:rFonts w:ascii="宋体"/>
              </w:rPr>
            </w:pPr>
          </w:p>
        </w:tc>
        <w:tc>
          <w:tcPr>
            <w:tcW w:w="2826" w:type="pct"/>
            <w:shd w:val="clear" w:color="auto" w:fill="auto"/>
          </w:tcPr>
          <w:p w14:paraId="7B67175B" w14:textId="77777777" w:rsidR="0040300B" w:rsidRDefault="0040300B">
            <w:pPr>
              <w:rPr>
                <w:rFonts w:ascii="宋体"/>
              </w:rPr>
            </w:pPr>
          </w:p>
        </w:tc>
        <w:tc>
          <w:tcPr>
            <w:tcW w:w="5" w:type="pct"/>
            <w:shd w:val="clear" w:color="auto" w:fill="auto"/>
          </w:tcPr>
          <w:p w14:paraId="7B67175C" w14:textId="77777777" w:rsidR="0040300B" w:rsidRDefault="0040300B">
            <w:pPr>
              <w:rPr>
                <w:rFonts w:ascii="宋体"/>
              </w:rPr>
            </w:pPr>
          </w:p>
        </w:tc>
        <w:tc>
          <w:tcPr>
            <w:tcW w:w="50" w:type="pct"/>
            <w:shd w:val="clear" w:color="auto" w:fill="auto"/>
          </w:tcPr>
          <w:p w14:paraId="7B67175D" w14:textId="77777777" w:rsidR="0040300B" w:rsidRDefault="0040300B">
            <w:pPr>
              <w:rPr>
                <w:rFonts w:ascii="宋体"/>
              </w:rPr>
            </w:pPr>
          </w:p>
        </w:tc>
        <w:tc>
          <w:tcPr>
            <w:tcW w:w="626" w:type="pct"/>
            <w:shd w:val="clear" w:color="auto" w:fill="auto"/>
          </w:tcPr>
          <w:p w14:paraId="7B67175E" w14:textId="77777777" w:rsidR="0040300B" w:rsidRDefault="0040300B">
            <w:pPr>
              <w:rPr>
                <w:rFonts w:ascii="宋体"/>
              </w:rPr>
            </w:pPr>
          </w:p>
        </w:tc>
        <w:tc>
          <w:tcPr>
            <w:tcW w:w="5" w:type="pct"/>
            <w:shd w:val="clear" w:color="auto" w:fill="auto"/>
          </w:tcPr>
          <w:p w14:paraId="7B67175F" w14:textId="77777777" w:rsidR="0040300B" w:rsidRDefault="0040300B">
            <w:pPr>
              <w:rPr>
                <w:rFonts w:ascii="宋体"/>
              </w:rPr>
            </w:pPr>
          </w:p>
        </w:tc>
        <w:tc>
          <w:tcPr>
            <w:tcW w:w="5" w:type="pct"/>
            <w:shd w:val="clear" w:color="auto" w:fill="auto"/>
          </w:tcPr>
          <w:p w14:paraId="7B671760" w14:textId="77777777" w:rsidR="0040300B" w:rsidRDefault="0040300B">
            <w:pPr>
              <w:rPr>
                <w:rFonts w:ascii="宋体"/>
              </w:rPr>
            </w:pPr>
          </w:p>
        </w:tc>
        <w:tc>
          <w:tcPr>
            <w:tcW w:w="26" w:type="pct"/>
            <w:shd w:val="clear" w:color="auto" w:fill="auto"/>
          </w:tcPr>
          <w:p w14:paraId="7B671761" w14:textId="77777777" w:rsidR="0040300B" w:rsidRDefault="0040300B">
            <w:pPr>
              <w:rPr>
                <w:rFonts w:ascii="宋体"/>
              </w:rPr>
            </w:pPr>
          </w:p>
        </w:tc>
        <w:tc>
          <w:tcPr>
            <w:tcW w:w="5" w:type="pct"/>
            <w:shd w:val="clear" w:color="auto" w:fill="auto"/>
          </w:tcPr>
          <w:p w14:paraId="7B671762" w14:textId="77777777" w:rsidR="0040300B" w:rsidRDefault="0040300B">
            <w:pPr>
              <w:rPr>
                <w:rFonts w:ascii="宋体"/>
              </w:rPr>
            </w:pPr>
          </w:p>
        </w:tc>
        <w:tc>
          <w:tcPr>
            <w:tcW w:w="50" w:type="pct"/>
            <w:shd w:val="clear" w:color="auto" w:fill="auto"/>
          </w:tcPr>
          <w:p w14:paraId="7B671763" w14:textId="77777777" w:rsidR="0040300B" w:rsidRDefault="0040300B">
            <w:pPr>
              <w:rPr>
                <w:rFonts w:ascii="宋体"/>
              </w:rPr>
            </w:pPr>
          </w:p>
        </w:tc>
        <w:tc>
          <w:tcPr>
            <w:tcW w:w="626" w:type="pct"/>
            <w:shd w:val="clear" w:color="auto" w:fill="auto"/>
          </w:tcPr>
          <w:p w14:paraId="7B671764" w14:textId="77777777" w:rsidR="0040300B" w:rsidRDefault="0040300B">
            <w:pPr>
              <w:rPr>
                <w:rFonts w:ascii="宋体"/>
              </w:rPr>
            </w:pPr>
          </w:p>
        </w:tc>
        <w:tc>
          <w:tcPr>
            <w:tcW w:w="5" w:type="pct"/>
            <w:shd w:val="clear" w:color="auto" w:fill="auto"/>
          </w:tcPr>
          <w:p w14:paraId="7B671765" w14:textId="77777777" w:rsidR="0040300B" w:rsidRDefault="0040300B">
            <w:pPr>
              <w:rPr>
                <w:rFonts w:ascii="宋体"/>
              </w:rPr>
            </w:pPr>
          </w:p>
        </w:tc>
        <w:tc>
          <w:tcPr>
            <w:tcW w:w="5" w:type="pct"/>
            <w:shd w:val="clear" w:color="auto" w:fill="auto"/>
          </w:tcPr>
          <w:p w14:paraId="7B671766" w14:textId="77777777" w:rsidR="0040300B" w:rsidRDefault="0040300B">
            <w:pPr>
              <w:rPr>
                <w:rFonts w:ascii="宋体"/>
              </w:rPr>
            </w:pPr>
          </w:p>
        </w:tc>
        <w:tc>
          <w:tcPr>
            <w:tcW w:w="26" w:type="pct"/>
            <w:shd w:val="clear" w:color="auto" w:fill="auto"/>
          </w:tcPr>
          <w:p w14:paraId="7B671767" w14:textId="77777777" w:rsidR="0040300B" w:rsidRDefault="0040300B">
            <w:pPr>
              <w:rPr>
                <w:rFonts w:ascii="宋体"/>
              </w:rPr>
            </w:pPr>
          </w:p>
        </w:tc>
        <w:tc>
          <w:tcPr>
            <w:tcW w:w="5" w:type="pct"/>
            <w:shd w:val="clear" w:color="auto" w:fill="auto"/>
          </w:tcPr>
          <w:p w14:paraId="7B671768" w14:textId="77777777" w:rsidR="0040300B" w:rsidRDefault="0040300B">
            <w:pPr>
              <w:rPr>
                <w:rFonts w:ascii="宋体"/>
              </w:rPr>
            </w:pPr>
          </w:p>
        </w:tc>
        <w:tc>
          <w:tcPr>
            <w:tcW w:w="50" w:type="pct"/>
            <w:shd w:val="clear" w:color="auto" w:fill="auto"/>
          </w:tcPr>
          <w:p w14:paraId="7B671769" w14:textId="77777777" w:rsidR="0040300B" w:rsidRDefault="0040300B">
            <w:pPr>
              <w:rPr>
                <w:rFonts w:ascii="宋体"/>
              </w:rPr>
            </w:pPr>
          </w:p>
        </w:tc>
        <w:tc>
          <w:tcPr>
            <w:tcW w:w="626" w:type="pct"/>
            <w:shd w:val="clear" w:color="auto" w:fill="auto"/>
          </w:tcPr>
          <w:p w14:paraId="7B67176A" w14:textId="77777777" w:rsidR="0040300B" w:rsidRDefault="0040300B">
            <w:pPr>
              <w:rPr>
                <w:rFonts w:ascii="宋体"/>
              </w:rPr>
            </w:pPr>
          </w:p>
        </w:tc>
        <w:tc>
          <w:tcPr>
            <w:tcW w:w="5" w:type="pct"/>
            <w:shd w:val="clear" w:color="auto" w:fill="auto"/>
          </w:tcPr>
          <w:p w14:paraId="7B67176B" w14:textId="77777777" w:rsidR="0040300B" w:rsidRDefault="0040300B">
            <w:pPr>
              <w:rPr>
                <w:rFonts w:ascii="宋体"/>
              </w:rPr>
            </w:pPr>
          </w:p>
        </w:tc>
      </w:tr>
      <w:tr w:rsidR="0040300B" w14:paraId="7B671773" w14:textId="77777777">
        <w:tc>
          <w:tcPr>
            <w:tcW w:w="0" w:type="auto"/>
            <w:gridSpan w:val="3"/>
            <w:shd w:val="clear" w:color="auto" w:fill="auto"/>
            <w:tcMar>
              <w:top w:w="40" w:type="dxa"/>
              <w:left w:w="20" w:type="dxa"/>
              <w:bottom w:w="40" w:type="dxa"/>
              <w:right w:w="20" w:type="dxa"/>
            </w:tcMar>
            <w:vAlign w:val="bottom"/>
          </w:tcPr>
          <w:p w14:paraId="7B67176D" w14:textId="77777777" w:rsidR="0040300B" w:rsidRDefault="00BB2D4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B67176E" w14:textId="77777777" w:rsidR="0040300B" w:rsidRDefault="00BB2D44">
            <w:pPr>
              <w:jc w:val="center"/>
              <w:textAlignment w:val="bottom"/>
            </w:pPr>
            <w:r>
              <w:rPr>
                <w:rFonts w:ascii="Times New Roman" w:eastAsia="宋体" w:hAnsi="Times New Roman"/>
                <w:color w:val="000000"/>
                <w:sz w:val="18"/>
                <w:szCs w:val="18"/>
              </w:rPr>
              <w:t>May 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tcPr>
          <w:p w14:paraId="7B67176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770" w14:textId="77777777" w:rsidR="0040300B" w:rsidRDefault="00BB2D4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tcPr>
          <w:p w14:paraId="7B67177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772" w14:textId="77777777" w:rsidR="0040300B" w:rsidRDefault="00BB2D44">
            <w:pPr>
              <w:jc w:val="center"/>
              <w:textAlignment w:val="bottom"/>
            </w:pPr>
            <w:r>
              <w:rPr>
                <w:rFonts w:ascii="Times New Roman" w:eastAsia="宋体" w:hAnsi="Times New Roman"/>
                <w:color w:val="000000"/>
                <w:sz w:val="18"/>
                <w:szCs w:val="18"/>
              </w:rPr>
              <w:t>Increase (Decrease)</w:t>
            </w:r>
          </w:p>
        </w:tc>
      </w:tr>
      <w:tr w:rsidR="0040300B" w14:paraId="7B671780" w14:textId="77777777">
        <w:tc>
          <w:tcPr>
            <w:tcW w:w="0" w:type="auto"/>
            <w:gridSpan w:val="3"/>
            <w:shd w:val="clear" w:color="auto" w:fill="CCEEFF"/>
            <w:tcMar>
              <w:top w:w="40" w:type="dxa"/>
              <w:left w:w="20" w:type="dxa"/>
              <w:bottom w:w="40" w:type="dxa"/>
              <w:right w:w="20" w:type="dxa"/>
            </w:tcMar>
            <w:vAlign w:val="bottom"/>
          </w:tcPr>
          <w:p w14:paraId="7B671774" w14:textId="77777777" w:rsidR="0040300B" w:rsidRDefault="00BB2D44">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7B671775"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76" w14:textId="77777777" w:rsidR="0040300B" w:rsidRDefault="00BB2D44">
            <w:pPr>
              <w:jc w:val="right"/>
              <w:textAlignment w:val="bottom"/>
            </w:pPr>
            <w:r>
              <w:rPr>
                <w:rFonts w:ascii="Times New Roman" w:eastAsia="宋体" w:hAnsi="Times New Roman"/>
                <w:color w:val="000000"/>
                <w:sz w:val="20"/>
                <w:szCs w:val="20"/>
              </w:rPr>
              <w:t>11,903 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7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78"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79"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7A" w14:textId="77777777" w:rsidR="0040300B" w:rsidRDefault="00BB2D44">
            <w:pPr>
              <w:jc w:val="right"/>
              <w:textAlignment w:val="bottom"/>
            </w:pPr>
            <w:r>
              <w:rPr>
                <w:rFonts w:ascii="Times New Roman" w:eastAsia="宋体" w:hAnsi="Times New Roman"/>
                <w:color w:val="000000"/>
                <w:sz w:val="20"/>
                <w:szCs w:val="20"/>
              </w:rPr>
              <w:t>11,261 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7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7C"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77D"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77E" w14:textId="77777777" w:rsidR="0040300B" w:rsidRDefault="00BB2D44">
            <w:pPr>
              <w:jc w:val="right"/>
              <w:textAlignment w:val="bottom"/>
            </w:pPr>
            <w:r>
              <w:rPr>
                <w:rFonts w:ascii="Times New Roman" w:eastAsia="宋体" w:hAnsi="Times New Roman"/>
                <w:color w:val="000000"/>
                <w:sz w:val="20"/>
                <w:szCs w:val="20"/>
              </w:rPr>
              <w:t>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77F" w14:textId="77777777" w:rsidR="0040300B" w:rsidRDefault="0040300B">
            <w:pPr>
              <w:jc w:val="right"/>
              <w:rPr>
                <w:rFonts w:ascii="宋体"/>
              </w:rPr>
            </w:pPr>
          </w:p>
        </w:tc>
      </w:tr>
      <w:tr w:rsidR="0040300B" w14:paraId="7B67178A" w14:textId="77777777">
        <w:tc>
          <w:tcPr>
            <w:tcW w:w="0" w:type="auto"/>
            <w:gridSpan w:val="3"/>
            <w:shd w:val="clear" w:color="auto" w:fill="FFFFFF"/>
            <w:tcMar>
              <w:top w:w="40" w:type="dxa"/>
              <w:left w:w="20" w:type="dxa"/>
              <w:bottom w:w="40" w:type="dxa"/>
              <w:right w:w="20" w:type="dxa"/>
            </w:tcMar>
            <w:vAlign w:val="bottom"/>
          </w:tcPr>
          <w:p w14:paraId="7B671781" w14:textId="77777777" w:rsidR="0040300B" w:rsidRDefault="00BB2D44">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7B671782" w14:textId="77777777" w:rsidR="0040300B" w:rsidRDefault="00BB2D44">
            <w:pPr>
              <w:jc w:val="right"/>
              <w:textAlignment w:val="bottom"/>
            </w:pPr>
            <w:r>
              <w:rPr>
                <w:rFonts w:ascii="Times New Roman" w:eastAsia="宋体" w:hAnsi="Times New Roman"/>
                <w:color w:val="000000"/>
                <w:sz w:val="20"/>
                <w:szCs w:val="20"/>
              </w:rPr>
              <w:t>16,235 </w:t>
            </w:r>
          </w:p>
        </w:tc>
        <w:tc>
          <w:tcPr>
            <w:tcW w:w="0" w:type="auto"/>
            <w:shd w:val="clear" w:color="auto" w:fill="FFFFFF"/>
            <w:tcMar>
              <w:top w:w="40" w:type="dxa"/>
              <w:left w:w="0" w:type="dxa"/>
              <w:bottom w:w="40" w:type="dxa"/>
              <w:right w:w="20" w:type="dxa"/>
            </w:tcMar>
            <w:vAlign w:val="bottom"/>
          </w:tcPr>
          <w:p w14:paraId="7B671783"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84"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85" w14:textId="77777777" w:rsidR="0040300B" w:rsidRDefault="00BB2D44">
            <w:pPr>
              <w:jc w:val="right"/>
              <w:textAlignment w:val="bottom"/>
            </w:pPr>
            <w:r>
              <w:rPr>
                <w:rFonts w:ascii="Times New Roman" w:eastAsia="宋体" w:hAnsi="Times New Roman"/>
                <w:color w:val="000000"/>
                <w:sz w:val="20"/>
                <w:szCs w:val="20"/>
              </w:rPr>
              <w:t>17,093 </w:t>
            </w:r>
          </w:p>
        </w:tc>
        <w:tc>
          <w:tcPr>
            <w:tcW w:w="0" w:type="auto"/>
            <w:shd w:val="clear" w:color="auto" w:fill="FFFFFF"/>
            <w:tcMar>
              <w:top w:w="40" w:type="dxa"/>
              <w:left w:w="0" w:type="dxa"/>
              <w:bottom w:w="40" w:type="dxa"/>
              <w:right w:w="20" w:type="dxa"/>
            </w:tcMar>
            <w:vAlign w:val="bottom"/>
          </w:tcPr>
          <w:p w14:paraId="7B67178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87"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788" w14:textId="77777777" w:rsidR="0040300B" w:rsidRDefault="00BB2D44">
            <w:pPr>
              <w:jc w:val="right"/>
              <w:textAlignment w:val="bottom"/>
            </w:pPr>
            <w:r>
              <w:rPr>
                <w:rFonts w:ascii="Times New Roman" w:eastAsia="宋体" w:hAnsi="Times New Roman"/>
                <w:color w:val="000000"/>
                <w:sz w:val="20"/>
                <w:szCs w:val="20"/>
              </w:rPr>
              <w:t>(858)</w:t>
            </w:r>
          </w:p>
        </w:tc>
        <w:tc>
          <w:tcPr>
            <w:tcW w:w="0" w:type="auto"/>
            <w:shd w:val="clear" w:color="auto" w:fill="FFFFFF"/>
            <w:tcMar>
              <w:top w:w="40" w:type="dxa"/>
              <w:left w:w="0" w:type="dxa"/>
              <w:bottom w:w="40" w:type="dxa"/>
              <w:right w:w="20" w:type="dxa"/>
            </w:tcMar>
            <w:vAlign w:val="bottom"/>
          </w:tcPr>
          <w:p w14:paraId="7B671789" w14:textId="77777777" w:rsidR="0040300B" w:rsidRDefault="0040300B">
            <w:pPr>
              <w:jc w:val="right"/>
              <w:rPr>
                <w:rFonts w:ascii="宋体"/>
              </w:rPr>
            </w:pPr>
          </w:p>
        </w:tc>
      </w:tr>
      <w:tr w:rsidR="0040300B" w14:paraId="7B671797" w14:textId="77777777">
        <w:tc>
          <w:tcPr>
            <w:tcW w:w="0" w:type="auto"/>
            <w:gridSpan w:val="3"/>
            <w:shd w:val="clear" w:color="auto" w:fill="CCEEFF"/>
            <w:tcMar>
              <w:top w:w="40" w:type="dxa"/>
              <w:left w:w="515" w:type="dxa"/>
              <w:bottom w:w="40" w:type="dxa"/>
              <w:right w:w="20" w:type="dxa"/>
            </w:tcMar>
            <w:vAlign w:val="bottom"/>
          </w:tcPr>
          <w:p w14:paraId="7B67178B" w14:textId="77777777" w:rsidR="0040300B" w:rsidRDefault="00BB2D4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8C"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8D" w14:textId="77777777" w:rsidR="0040300B" w:rsidRDefault="00BB2D44">
            <w:pPr>
              <w:jc w:val="right"/>
              <w:textAlignment w:val="bottom"/>
            </w:pPr>
            <w:r>
              <w:rPr>
                <w:rFonts w:ascii="Times New Roman" w:eastAsia="宋体" w:hAnsi="Times New Roman"/>
                <w:color w:val="000000"/>
                <w:sz w:val="20"/>
                <w:szCs w:val="20"/>
              </w:rPr>
              <w:t>28,138 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8E"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8F"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90"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91" w14:textId="77777777" w:rsidR="0040300B" w:rsidRDefault="00BB2D44">
            <w:pPr>
              <w:jc w:val="right"/>
              <w:textAlignment w:val="bottom"/>
            </w:pPr>
            <w:r>
              <w:rPr>
                <w:rFonts w:ascii="Times New Roman" w:eastAsia="宋体" w:hAnsi="Times New Roman"/>
                <w:color w:val="000000"/>
                <w:sz w:val="20"/>
                <w:szCs w:val="20"/>
              </w:rPr>
              <w:t>28,354 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92"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793" w14:textId="77777777" w:rsidR="0040300B" w:rsidRDefault="0040300B">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B671794"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B671795" w14:textId="77777777" w:rsidR="0040300B" w:rsidRDefault="00BB2D44">
            <w:pPr>
              <w:jc w:val="right"/>
              <w:textAlignment w:val="bottom"/>
            </w:pPr>
            <w:r>
              <w:rPr>
                <w:rFonts w:ascii="Times New Roman" w:eastAsia="宋体" w:hAnsi="Times New Roman"/>
                <w:color w:val="000000"/>
                <w:sz w:val="20"/>
                <w:szCs w:val="20"/>
              </w:rPr>
              <w:t>(216)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B671796" w14:textId="77777777" w:rsidR="0040300B" w:rsidRDefault="0040300B">
            <w:pPr>
              <w:jc w:val="right"/>
              <w:rPr>
                <w:rFonts w:ascii="宋体"/>
              </w:rPr>
            </w:pPr>
          </w:p>
        </w:tc>
      </w:tr>
    </w:tbl>
    <w:p w14:paraId="7B671798" w14:textId="77777777" w:rsidR="0040300B" w:rsidRDefault="00BB2D44">
      <w:pPr>
        <w:spacing w:before="120"/>
        <w:jc w:val="both"/>
      </w:pPr>
      <w:r>
        <w:rPr>
          <w:rFonts w:ascii="Times New Roman" w:eastAsia="宋体" w:hAnsi="Times New Roman"/>
          <w:color w:val="000000"/>
          <w:sz w:val="20"/>
          <w:szCs w:val="20"/>
        </w:rPr>
        <w:t>Total remaining performance obligations decreased 1% in the first nine months of fiscal 2021 compared to the end of fiscal 2020. Remaining performance obligations for product increased 6% com</w:t>
      </w:r>
      <w:r>
        <w:rPr>
          <w:rFonts w:ascii="Times New Roman" w:eastAsia="宋体" w:hAnsi="Times New Roman"/>
          <w:color w:val="000000"/>
          <w:sz w:val="20"/>
          <w:szCs w:val="20"/>
        </w:rPr>
        <w:t>pared to the end of fiscal 2020. Remaining performance obligations for service decreased 5%.</w:t>
      </w:r>
    </w:p>
    <w:p w14:paraId="7B671799" w14:textId="77777777" w:rsidR="0040300B" w:rsidRDefault="00BB2D44">
      <w:pPr>
        <w:spacing w:before="120"/>
        <w:jc w:val="both"/>
      </w:pPr>
      <w:r>
        <w:rPr>
          <w:rFonts w:ascii="Times New Roman" w:eastAsia="宋体" w:hAnsi="Times New Roman"/>
          <w:b/>
          <w:bCs/>
          <w:color w:val="000000"/>
          <w:sz w:val="20"/>
          <w:szCs w:val="20"/>
        </w:rPr>
        <w:t>Contractual Obligations</w:t>
      </w:r>
    </w:p>
    <w:p w14:paraId="7B67179A" w14:textId="77777777" w:rsidR="0040300B" w:rsidRDefault="00BB2D44">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w:t>
      </w:r>
    </w:p>
    <w:p w14:paraId="7B67179B" w14:textId="77777777" w:rsidR="0040300B" w:rsidRDefault="00BB2D44">
      <w:pPr>
        <w:spacing w:before="120"/>
        <w:jc w:val="both"/>
      </w:pPr>
      <w:r>
        <w:rPr>
          <w:rFonts w:ascii="Times New Roman" w:eastAsia="宋体" w:hAnsi="Times New Roman"/>
          <w:color w:val="000000"/>
          <w:sz w:val="20"/>
          <w:szCs w:val="20"/>
        </w:rPr>
        <w:t>The income tax payable outstanding as of May 1, 2021 for the U.S. transition tax on accumulated earnings for foreign subsidiaries is $6.9 billion. Approximately $0.7 billion is payable in less than one year; $2.1 billion is payable between 1 to 3 years; an</w:t>
      </w:r>
      <w:r>
        <w:rPr>
          <w:rFonts w:ascii="Times New Roman" w:eastAsia="宋体" w:hAnsi="Times New Roman"/>
          <w:color w:val="000000"/>
          <w:sz w:val="20"/>
          <w:szCs w:val="20"/>
        </w:rPr>
        <w:t xml:space="preserve">d $4.1 billion is payable between 3 to 5 years. </w:t>
      </w:r>
    </w:p>
    <w:p w14:paraId="7B67179C" w14:textId="77777777" w:rsidR="0040300B" w:rsidRDefault="00BB2D44">
      <w:pPr>
        <w:spacing w:before="120"/>
        <w:jc w:val="both"/>
      </w:pPr>
      <w:r>
        <w:rPr>
          <w:rFonts w:ascii="Times New Roman" w:eastAsia="宋体" w:hAnsi="Times New Roman"/>
          <w:color w:val="000000"/>
          <w:sz w:val="20"/>
          <w:szCs w:val="20"/>
        </w:rPr>
        <w:t>For our Contractual Obligations see our</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Annual Report on Form 10-K for the year ended July 25, 2020.</w:t>
      </w:r>
    </w:p>
    <w:p w14:paraId="7B67179D" w14:textId="77777777" w:rsidR="0040300B" w:rsidRDefault="00BB2D44">
      <w:pPr>
        <w:spacing w:before="120"/>
        <w:jc w:val="both"/>
      </w:pPr>
      <w:r>
        <w:rPr>
          <w:rFonts w:ascii="Times New Roman" w:eastAsia="宋体" w:hAnsi="Times New Roman"/>
          <w:b/>
          <w:bCs/>
          <w:color w:val="000000"/>
          <w:sz w:val="20"/>
          <w:szCs w:val="20"/>
        </w:rPr>
        <w:t>Other Commitments</w:t>
      </w:r>
    </w:p>
    <w:p w14:paraId="7B67179E" w14:textId="77777777" w:rsidR="0040300B" w:rsidRDefault="00BB2D44">
      <w:pPr>
        <w:spacing w:before="120"/>
        <w:jc w:val="both"/>
      </w:pPr>
      <w:r>
        <w:rPr>
          <w:rFonts w:ascii="Times New Roman" w:eastAsia="宋体" w:hAnsi="Times New Roman"/>
          <w:color w:val="000000"/>
          <w:sz w:val="20"/>
          <w:szCs w:val="20"/>
        </w:rPr>
        <w:t>In connection with our acquisitions, we have agreed to pay certain additional amounts co</w:t>
      </w:r>
      <w:r>
        <w:rPr>
          <w:rFonts w:ascii="Times New Roman" w:eastAsia="宋体" w:hAnsi="Times New Roman"/>
          <w:color w:val="000000"/>
          <w:sz w:val="20"/>
          <w:szCs w:val="20"/>
        </w:rPr>
        <w:t>ntingent upon the achievement of certain agreed-upon technology, development, product, or other milestones or the continued employment with us of certain employees of the acquired entities. See Note 14 to the Consolidated Financial Statements.</w:t>
      </w:r>
    </w:p>
    <w:p w14:paraId="7B67179F" w14:textId="77777777" w:rsidR="0040300B" w:rsidRDefault="00BB2D44">
      <w:pPr>
        <w:spacing w:before="120"/>
        <w:jc w:val="both"/>
      </w:pPr>
      <w:r>
        <w:rPr>
          <w:rFonts w:ascii="Times New Roman" w:eastAsia="宋体" w:hAnsi="Times New Roman"/>
          <w:color w:val="000000"/>
          <w:sz w:val="20"/>
          <w:szCs w:val="20"/>
        </w:rPr>
        <w:t>We also have</w:t>
      </w:r>
      <w:r>
        <w:rPr>
          <w:rFonts w:ascii="Times New Roman" w:eastAsia="宋体" w:hAnsi="Times New Roman"/>
          <w:color w:val="000000"/>
          <w:sz w:val="20"/>
          <w:szCs w:val="20"/>
        </w:rPr>
        <w:t xml:space="preserve"> certain funding commitments primarily related to our non-marketable equity and other investments, some of which may be based on the achievement of certain agreed-upon milestones, and some of which are required to be funded on demand. The funding commitmen</w:t>
      </w:r>
      <w:r>
        <w:rPr>
          <w:rFonts w:ascii="Times New Roman" w:eastAsia="宋体" w:hAnsi="Times New Roman"/>
          <w:color w:val="000000"/>
          <w:sz w:val="20"/>
          <w:szCs w:val="20"/>
        </w:rPr>
        <w:t>ts were $0.2 billion and $0.3 billion as of May 1, 2021 and July 25, 2020, respectively.</w:t>
      </w:r>
    </w:p>
    <w:p w14:paraId="7B6717A0" w14:textId="77777777" w:rsidR="0040300B" w:rsidRDefault="00BB2D44">
      <w:pPr>
        <w:spacing w:before="120"/>
        <w:jc w:val="both"/>
      </w:pPr>
      <w:r>
        <w:rPr>
          <w:rFonts w:ascii="Times New Roman" w:eastAsia="宋体" w:hAnsi="Times New Roman"/>
          <w:b/>
          <w:bCs/>
          <w:color w:val="000000"/>
          <w:sz w:val="20"/>
          <w:szCs w:val="20"/>
        </w:rPr>
        <w:t>Off-Balance Sheet Arrangements</w:t>
      </w:r>
    </w:p>
    <w:p w14:paraId="7B6717A1" w14:textId="77777777" w:rsidR="0040300B" w:rsidRDefault="00BB2D44">
      <w:pPr>
        <w:spacing w:before="120"/>
        <w:jc w:val="both"/>
      </w:pPr>
      <w:r>
        <w:rPr>
          <w:rFonts w:ascii="Times New Roman" w:eastAsia="宋体" w:hAnsi="Times New Roman"/>
          <w:color w:val="000000"/>
          <w:sz w:val="20"/>
          <w:szCs w:val="20"/>
        </w:rPr>
        <w:t>We consider our investments in unconsolidated variable interest entities to be off-balance sheet arrangements. In the ordinary course of</w:t>
      </w:r>
      <w:r>
        <w:rPr>
          <w:rFonts w:ascii="Times New Roman" w:eastAsia="宋体" w:hAnsi="Times New Roman"/>
          <w:color w:val="000000"/>
          <w:sz w:val="20"/>
          <w:szCs w:val="20"/>
        </w:rPr>
        <w:t xml:space="preserve"> business, we have non-marketable equity and other investments and provide financing to certain customers. Certain of these investments are considered to be variable interest entities. We evaluate on an ongoing basis our non-marketable equity and other inv</w:t>
      </w:r>
      <w:r>
        <w:rPr>
          <w:rFonts w:ascii="Times New Roman" w:eastAsia="宋体" w:hAnsi="Times New Roman"/>
          <w:color w:val="000000"/>
          <w:sz w:val="20"/>
          <w:szCs w:val="20"/>
        </w:rPr>
        <w:t>estments and customer financings, and we have determined that as of May 1, 2021 there were no material unconsolidated variable interest entities.</w:t>
      </w:r>
    </w:p>
    <w:p w14:paraId="7B6717A2" w14:textId="77777777" w:rsidR="0040300B" w:rsidRDefault="00BB2D44">
      <w:pPr>
        <w:spacing w:before="120"/>
        <w:jc w:val="both"/>
      </w:pPr>
      <w:r>
        <w:rPr>
          <w:rFonts w:ascii="Times New Roman" w:eastAsia="宋体" w:hAnsi="Times New Roman"/>
          <w:color w:val="000000"/>
          <w:sz w:val="20"/>
          <w:szCs w:val="20"/>
        </w:rPr>
        <w:t xml:space="preserve">On an ongoing basis, we reassess our non-marketable equity and other investments and customer </w:t>
      </w:r>
      <w:r>
        <w:rPr>
          <w:rFonts w:ascii="Times New Roman" w:eastAsia="宋体" w:hAnsi="Times New Roman"/>
          <w:color w:val="000000"/>
          <w:sz w:val="20"/>
          <w:szCs w:val="20"/>
        </w:rPr>
        <w:t xml:space="preserve">financings to determine if they are variable interest entities and if we would be regarded as the primary beneficiary pursuant to the applicable accounting guidance. As a result of this ongoing assessment, we may be required to make additional disclosures </w:t>
      </w:r>
      <w:r>
        <w:rPr>
          <w:rFonts w:ascii="Times New Roman" w:eastAsia="宋体" w:hAnsi="Times New Roman"/>
          <w:color w:val="000000"/>
          <w:sz w:val="20"/>
          <w:szCs w:val="20"/>
        </w:rPr>
        <w:t>or consolidate these entities. Because we may not control these entities, we may not have the ability to influence these events.</w:t>
      </w:r>
    </w:p>
    <w:p w14:paraId="7B6717A3" w14:textId="77777777" w:rsidR="0040300B" w:rsidRDefault="00BB2D44">
      <w:pPr>
        <w:jc w:val="center"/>
      </w:pPr>
      <w:r>
        <w:rPr>
          <w:rFonts w:ascii="Times New Roman" w:eastAsia="宋体" w:hAnsi="Times New Roman"/>
          <w:color w:val="000000"/>
          <w:sz w:val="20"/>
          <w:szCs w:val="20"/>
        </w:rPr>
        <w:t>65</w:t>
      </w:r>
    </w:p>
    <w:p w14:paraId="7B6717A4" w14:textId="77777777" w:rsidR="0040300B" w:rsidRDefault="00BB2D44">
      <w:r>
        <w:pict w14:anchorId="7B671C51">
          <v:rect id="_x0000_i1089" style="width:415.3pt;height:1.5pt" o:hralign="center" o:hrstd="t" o:hr="t" fillcolor="#a0a0a0" stroked="f"/>
        </w:pict>
      </w:r>
    </w:p>
    <w:p w14:paraId="7B6717A5" w14:textId="77777777" w:rsidR="0040300B" w:rsidRDefault="00BB2D44">
      <w:hyperlink r:id="rId111" w:anchor="i52d5b40dbad7426a9806a2fd5167029f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7B6717A6" w14:textId="77777777" w:rsidR="0040300B" w:rsidRDefault="00BB2D44">
      <w:pPr>
        <w:jc w:val="center"/>
      </w:pPr>
      <w:r>
        <w:rPr>
          <w:rFonts w:ascii="Times New Roman" w:eastAsia="宋体" w:hAnsi="Times New Roman"/>
          <w:b/>
          <w:bCs/>
          <w:color w:val="000000"/>
          <w:sz w:val="18"/>
          <w:szCs w:val="18"/>
        </w:rPr>
        <w:t>CISCO SYSTEMS, INC.</w:t>
      </w:r>
    </w:p>
    <w:p w14:paraId="7B6717A7" w14:textId="77777777" w:rsidR="0040300B" w:rsidRDefault="00BB2D44">
      <w:pPr>
        <w:jc w:val="center"/>
      </w:pPr>
      <w:r>
        <w:rPr>
          <w:rFonts w:ascii="Times New Roman" w:eastAsia="宋体" w:hAnsi="Times New Roman"/>
          <w:b/>
          <w:bCs/>
          <w:color w:val="000000"/>
          <w:sz w:val="18"/>
          <w:szCs w:val="18"/>
        </w:rPr>
        <w:t>MANAGEMENT’S DISCUSSION AND ANALYSIS OF FINANCIAL CONDITION AND RESULTS OF OPERATIONS (Continued)</w:t>
      </w:r>
    </w:p>
    <w:p w14:paraId="7B6717A8" w14:textId="77777777" w:rsidR="0040300B" w:rsidRDefault="0040300B">
      <w:pPr>
        <w:jc w:val="center"/>
      </w:pPr>
    </w:p>
    <w:p w14:paraId="7B6717A9" w14:textId="77777777" w:rsidR="0040300B" w:rsidRDefault="00BB2D44">
      <w:pPr>
        <w:spacing w:before="120"/>
        <w:jc w:val="both"/>
      </w:pPr>
      <w:r>
        <w:rPr>
          <w:rFonts w:ascii="Times New Roman" w:eastAsia="宋体" w:hAnsi="Times New Roman"/>
          <w:color w:val="000000"/>
          <w:sz w:val="20"/>
          <w:szCs w:val="20"/>
        </w:rPr>
        <w:t xml:space="preserve">We provide financing guarantees, which are generally for various third-party </w:t>
      </w:r>
      <w:r>
        <w:rPr>
          <w:rFonts w:ascii="Times New Roman" w:eastAsia="宋体" w:hAnsi="Times New Roman"/>
          <w:color w:val="000000"/>
          <w:sz w:val="20"/>
          <w:szCs w:val="20"/>
        </w:rPr>
        <w:t>financing arrangements extended to our channel partners and end-user customers. We could be called upon to make payments under these guarantees in the event of nonpayment by the channel partners or end-user customers. See the previous discussion of these f</w:t>
      </w:r>
      <w:r>
        <w:rPr>
          <w:rFonts w:ascii="Times New Roman" w:eastAsia="宋体" w:hAnsi="Times New Roman"/>
          <w:color w:val="000000"/>
          <w:sz w:val="20"/>
          <w:szCs w:val="20"/>
        </w:rPr>
        <w:t>inancing guarantees under “Financing Receivables and Guarantees.”</w:t>
      </w:r>
    </w:p>
    <w:p w14:paraId="7B6717AA" w14:textId="77777777" w:rsidR="0040300B" w:rsidRDefault="00BB2D44">
      <w:pPr>
        <w:spacing w:before="120"/>
        <w:jc w:val="both"/>
      </w:pPr>
      <w:r>
        <w:rPr>
          <w:rFonts w:ascii="Times New Roman" w:eastAsia="宋体" w:hAnsi="Times New Roman"/>
          <w:b/>
          <w:bCs/>
          <w:color w:val="000000"/>
          <w:sz w:val="20"/>
          <w:szCs w:val="20"/>
        </w:rPr>
        <w:t>Liquidity and Capital Resource Requirements</w:t>
      </w:r>
    </w:p>
    <w:p w14:paraId="7B6717AB" w14:textId="77777777" w:rsidR="0040300B" w:rsidRDefault="00BB2D44">
      <w:pPr>
        <w:spacing w:before="120"/>
        <w:jc w:val="both"/>
      </w:pPr>
      <w:r>
        <w:rPr>
          <w:rFonts w:ascii="Times New Roman" w:eastAsia="宋体" w:hAnsi="Times New Roman"/>
          <w:color w:val="000000"/>
          <w:sz w:val="20"/>
          <w:szCs w:val="20"/>
        </w:rPr>
        <w:t>While the COVID-19 pandemic has not materially impacted our liquidity and capital resources to date, it has led to increased disruption and volati</w:t>
      </w:r>
      <w:r>
        <w:rPr>
          <w:rFonts w:ascii="Times New Roman" w:eastAsia="宋体" w:hAnsi="Times New Roman"/>
          <w:color w:val="000000"/>
          <w:sz w:val="20"/>
          <w:szCs w:val="20"/>
        </w:rPr>
        <w:t>lity in capital markets and credit markets. The pandemic and resulting economic uncertainty could adversely affect our liquidity and capital resources in the future. Based on past performance and current expectations, we believe our cash and cash equivalen</w:t>
      </w:r>
      <w:r>
        <w:rPr>
          <w:rFonts w:ascii="Times New Roman" w:eastAsia="宋体" w:hAnsi="Times New Roman"/>
          <w:color w:val="000000"/>
          <w:sz w:val="20"/>
          <w:szCs w:val="20"/>
        </w:rPr>
        <w:t>ts, investments, cash generated from operations, and ability to access capital markets and committed credit lines will satisfy, through at least the next 12 months, our liquidity requirements, both in total and domestically, including the following: workin</w:t>
      </w:r>
      <w:r>
        <w:rPr>
          <w:rFonts w:ascii="Times New Roman" w:eastAsia="宋体" w:hAnsi="Times New Roman"/>
          <w:color w:val="000000"/>
          <w:sz w:val="20"/>
          <w:szCs w:val="20"/>
        </w:rPr>
        <w:t>g capital needs, capital expenditures, investment requirements, stock repurchases, cash dividends, contractual obligations, commitments, principal and interest payments on debt, pending acquisitions, future customer financings, and other liquidity requirem</w:t>
      </w:r>
      <w:r>
        <w:rPr>
          <w:rFonts w:ascii="Times New Roman" w:eastAsia="宋体" w:hAnsi="Times New Roman"/>
          <w:color w:val="000000"/>
          <w:sz w:val="20"/>
          <w:szCs w:val="20"/>
        </w:rPr>
        <w:t>ents associated with our operations. There are no other transactions, arrangements, or relationships with unconsolidated entities or other persons that are reasonably likely to materially affect the liquidity and the availability of, as well as our require</w:t>
      </w:r>
      <w:r>
        <w:rPr>
          <w:rFonts w:ascii="Times New Roman" w:eastAsia="宋体" w:hAnsi="Times New Roman"/>
          <w:color w:val="000000"/>
          <w:sz w:val="20"/>
          <w:szCs w:val="20"/>
        </w:rPr>
        <w:t xml:space="preserve">ments for, capital resources. </w:t>
      </w:r>
    </w:p>
    <w:p w14:paraId="7B6717AC" w14:textId="77777777" w:rsidR="0040300B" w:rsidRDefault="00BB2D44">
      <w:pPr>
        <w:jc w:val="center"/>
      </w:pPr>
      <w:r>
        <w:rPr>
          <w:rFonts w:ascii="Times New Roman" w:eastAsia="宋体" w:hAnsi="Times New Roman"/>
          <w:color w:val="000000"/>
          <w:sz w:val="20"/>
          <w:szCs w:val="20"/>
        </w:rPr>
        <w:t>66</w:t>
      </w:r>
    </w:p>
    <w:p w14:paraId="7B6717AD" w14:textId="77777777" w:rsidR="0040300B" w:rsidRDefault="00BB2D44">
      <w:r>
        <w:pict w14:anchorId="7B671C52">
          <v:rect id="_x0000_i1090" style="width:415.3pt;height:1.5pt" o:hralign="center" o:hrstd="t" o:hr="t" fillcolor="#a0a0a0" stroked="f"/>
        </w:pict>
      </w:r>
    </w:p>
    <w:p w14:paraId="7B6717AE" w14:textId="77777777" w:rsidR="0040300B" w:rsidRDefault="00BB2D44">
      <w:hyperlink r:id="rId112" w:anchor="i52d5b40dbad7426a9806a2fd5167029f_7" w:history="1">
        <w:r>
          <w:rPr>
            <w:rStyle w:val="a5"/>
            <w:rFonts w:ascii="Times New Roman" w:eastAsia="宋体" w:hAnsi="Times New Roman"/>
            <w:sz w:val="18"/>
            <w:szCs w:val="18"/>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40300B" w14:paraId="7B6717B5" w14:textId="77777777">
        <w:tc>
          <w:tcPr>
            <w:tcW w:w="50" w:type="pct"/>
            <w:shd w:val="clear" w:color="auto" w:fill="auto"/>
          </w:tcPr>
          <w:p w14:paraId="7B6717AF" w14:textId="77777777" w:rsidR="0040300B" w:rsidRDefault="0040300B">
            <w:pPr>
              <w:rPr>
                <w:rFonts w:ascii="宋体"/>
              </w:rPr>
            </w:pPr>
          </w:p>
        </w:tc>
        <w:tc>
          <w:tcPr>
            <w:tcW w:w="640" w:type="pct"/>
            <w:shd w:val="clear" w:color="auto" w:fill="auto"/>
          </w:tcPr>
          <w:p w14:paraId="7B6717B0" w14:textId="77777777" w:rsidR="0040300B" w:rsidRDefault="0040300B">
            <w:pPr>
              <w:rPr>
                <w:rFonts w:ascii="宋体"/>
              </w:rPr>
            </w:pPr>
          </w:p>
        </w:tc>
        <w:tc>
          <w:tcPr>
            <w:tcW w:w="5" w:type="pct"/>
            <w:shd w:val="clear" w:color="auto" w:fill="auto"/>
          </w:tcPr>
          <w:p w14:paraId="7B6717B1" w14:textId="77777777" w:rsidR="0040300B" w:rsidRDefault="0040300B">
            <w:pPr>
              <w:rPr>
                <w:rFonts w:ascii="宋体"/>
              </w:rPr>
            </w:pPr>
          </w:p>
        </w:tc>
        <w:tc>
          <w:tcPr>
            <w:tcW w:w="50" w:type="pct"/>
            <w:shd w:val="clear" w:color="auto" w:fill="auto"/>
          </w:tcPr>
          <w:p w14:paraId="7B6717B2" w14:textId="77777777" w:rsidR="0040300B" w:rsidRDefault="0040300B">
            <w:pPr>
              <w:rPr>
                <w:rFonts w:ascii="宋体"/>
              </w:rPr>
            </w:pPr>
          </w:p>
        </w:tc>
        <w:tc>
          <w:tcPr>
            <w:tcW w:w="4249" w:type="pct"/>
            <w:shd w:val="clear" w:color="auto" w:fill="auto"/>
          </w:tcPr>
          <w:p w14:paraId="7B6717B3" w14:textId="77777777" w:rsidR="0040300B" w:rsidRDefault="0040300B">
            <w:pPr>
              <w:rPr>
                <w:rFonts w:ascii="宋体"/>
              </w:rPr>
            </w:pPr>
          </w:p>
        </w:tc>
        <w:tc>
          <w:tcPr>
            <w:tcW w:w="5" w:type="pct"/>
            <w:shd w:val="clear" w:color="auto" w:fill="auto"/>
          </w:tcPr>
          <w:p w14:paraId="7B6717B4" w14:textId="77777777" w:rsidR="0040300B" w:rsidRDefault="0040300B">
            <w:pPr>
              <w:rPr>
                <w:rFonts w:ascii="宋体"/>
              </w:rPr>
            </w:pPr>
          </w:p>
        </w:tc>
      </w:tr>
      <w:tr w:rsidR="0040300B" w14:paraId="7B6717B8" w14:textId="77777777">
        <w:tc>
          <w:tcPr>
            <w:tcW w:w="0" w:type="auto"/>
            <w:gridSpan w:val="3"/>
            <w:shd w:val="clear" w:color="auto" w:fill="auto"/>
            <w:tcMar>
              <w:top w:w="40" w:type="dxa"/>
              <w:left w:w="20" w:type="dxa"/>
              <w:bottom w:w="40" w:type="dxa"/>
              <w:right w:w="20" w:type="dxa"/>
            </w:tcMar>
          </w:tcPr>
          <w:p w14:paraId="7B6717B6" w14:textId="77777777" w:rsidR="0040300B" w:rsidRDefault="00BB2D44">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7B6717B7" w14:textId="77777777" w:rsidR="0040300B" w:rsidRDefault="00BB2D44">
            <w:pPr>
              <w:textAlignment w:val="top"/>
            </w:pPr>
            <w:r>
              <w:rPr>
                <w:rFonts w:ascii="Times New Roman" w:eastAsia="宋体" w:hAnsi="Times New Roman"/>
                <w:b/>
                <w:bCs/>
                <w:color w:val="000000"/>
                <w:sz w:val="20"/>
                <w:szCs w:val="20"/>
              </w:rPr>
              <w:t xml:space="preserve">Quantitative and </w:t>
            </w:r>
            <w:r>
              <w:rPr>
                <w:rFonts w:ascii="Times New Roman" w:eastAsia="宋体" w:hAnsi="Times New Roman"/>
                <w:b/>
                <w:bCs/>
                <w:color w:val="000000"/>
                <w:sz w:val="20"/>
                <w:szCs w:val="20"/>
              </w:rPr>
              <w:t>Qualitative Disclosures About Market Risk</w:t>
            </w:r>
          </w:p>
        </w:tc>
      </w:tr>
    </w:tbl>
    <w:p w14:paraId="7B6717B9" w14:textId="77777777" w:rsidR="0040300B" w:rsidRDefault="00BB2D44">
      <w:pPr>
        <w:spacing w:before="120"/>
        <w:jc w:val="both"/>
      </w:pPr>
      <w:r>
        <w:rPr>
          <w:rFonts w:ascii="Times New Roman" w:eastAsia="宋体" w:hAnsi="Times New Roman"/>
          <w:color w:val="000000"/>
          <w:sz w:val="20"/>
          <w:szCs w:val="20"/>
        </w:rPr>
        <w:t xml:space="preserve">Our financial position is exposed to a variety of risks, including interest rate risk, equity price risk, and foreign currency exchange risk. We have seen an increase in these risks and related uncertainties with </w:t>
      </w:r>
      <w:r>
        <w:rPr>
          <w:rFonts w:ascii="Times New Roman" w:eastAsia="宋体" w:hAnsi="Times New Roman"/>
          <w:color w:val="000000"/>
          <w:sz w:val="20"/>
          <w:szCs w:val="20"/>
        </w:rPr>
        <w:t xml:space="preserve">increased volatility in the financial markets in the current environment with the COVID-19 pandemic. </w:t>
      </w:r>
    </w:p>
    <w:p w14:paraId="7B6717BA" w14:textId="77777777" w:rsidR="0040300B" w:rsidRDefault="00BB2D44">
      <w:pPr>
        <w:spacing w:before="120"/>
        <w:jc w:val="both"/>
      </w:pPr>
      <w:r>
        <w:rPr>
          <w:rFonts w:ascii="Times New Roman" w:eastAsia="宋体" w:hAnsi="Times New Roman"/>
          <w:b/>
          <w:bCs/>
          <w:color w:val="000000"/>
          <w:sz w:val="20"/>
          <w:szCs w:val="20"/>
        </w:rPr>
        <w:t>Interest Rate Risk</w:t>
      </w:r>
    </w:p>
    <w:p w14:paraId="7B6717BB" w14:textId="77777777" w:rsidR="0040300B" w:rsidRDefault="00BB2D44">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portfolio of various holdings, types, and maturities. Our primary objecti</w:t>
      </w:r>
      <w:r>
        <w:rPr>
          <w:rFonts w:ascii="Times New Roman" w:eastAsia="宋体" w:hAnsi="Times New Roman"/>
          <w:color w:val="000000"/>
          <w:sz w:val="20"/>
          <w:szCs w:val="20"/>
        </w:rPr>
        <w:t>ve for holding available-for-sale debt investments is to achieve an appropriate investment return consistent with preserving principal and managing risk. At any time, a sharp rise in market interest rates could have a material adverse impact on the fair va</w:t>
      </w:r>
      <w:r>
        <w:rPr>
          <w:rFonts w:ascii="Times New Roman" w:eastAsia="宋体" w:hAnsi="Times New Roman"/>
          <w:color w:val="000000"/>
          <w:sz w:val="20"/>
          <w:szCs w:val="20"/>
        </w:rPr>
        <w:t>lue of our available-for-sale debt investment portfolio. Conversely, declines in interest rates as has also happened recently, including the impact from lower credit spreads, could have a material adverse impact on interest income for our investment portfo</w:t>
      </w:r>
      <w:r>
        <w:rPr>
          <w:rFonts w:ascii="Times New Roman" w:eastAsia="宋体" w:hAnsi="Times New Roman"/>
          <w:color w:val="000000"/>
          <w:sz w:val="20"/>
          <w:szCs w:val="20"/>
        </w:rPr>
        <w:t>lio. We may utilize derivative instruments designated as hedging instruments to achieve our investment objectives. We had no outstanding hedging instruments for our available-for-sale debt investments as of May 1, 2021. Our available-for-sale debt investme</w:t>
      </w:r>
      <w:r>
        <w:rPr>
          <w:rFonts w:ascii="Times New Roman" w:eastAsia="宋体" w:hAnsi="Times New Roman"/>
          <w:color w:val="000000"/>
          <w:sz w:val="20"/>
          <w:szCs w:val="20"/>
        </w:rPr>
        <w:t>nts are held for purposes other than trading. Our available-for-sale debt investments are not leveraged as of May 1, 2021. We monitor our interest rate and credit risks, including our credit exposures to specific rating categories and to individual issuers</w:t>
      </w:r>
      <w:r>
        <w:rPr>
          <w:rFonts w:ascii="Times New Roman" w:eastAsia="宋体" w:hAnsi="Times New Roman"/>
          <w:color w:val="000000"/>
          <w:sz w:val="20"/>
          <w:szCs w:val="20"/>
        </w:rPr>
        <w:t>. We believe the overall credit quality of our portfolio is strong.</w:t>
      </w:r>
    </w:p>
    <w:p w14:paraId="7B6717BC" w14:textId="77777777" w:rsidR="0040300B" w:rsidRDefault="00BB2D44">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May 1, 2021, our financing receivables had a carrying value of $9.7 billion, compared with $10.8 billion as of July 25, 2020. As of May 1, 2021, a hypothetical </w:t>
      </w:r>
      <w:r>
        <w:rPr>
          <w:rFonts w:ascii="Times New Roman" w:eastAsia="宋体" w:hAnsi="Times New Roman"/>
          <w:color w:val="000000"/>
          <w:sz w:val="20"/>
          <w:szCs w:val="20"/>
        </w:rPr>
        <w:t xml:space="preserve">50 basis points (“BPS”) increase or decrease in market interest rates would change the fair value of our financing receivables by a decrease or increase of approximately $0.1 billion, respectively. </w:t>
      </w:r>
    </w:p>
    <w:p w14:paraId="7B6717BD" w14:textId="77777777" w:rsidR="0040300B" w:rsidRDefault="00BB2D44">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May 1, 2021, we had $11.5 billion in principal amount of senior fixed-rate notes outstanding. The carrying amount of the senior notes was $11.5 billion, and the related fair value based on market prices was $13.5 billion. As of May 1, 2021, a hypoth</w:t>
      </w:r>
      <w:r>
        <w:rPr>
          <w:rFonts w:ascii="Times New Roman" w:eastAsia="宋体" w:hAnsi="Times New Roman"/>
          <w:color w:val="000000"/>
          <w:sz w:val="20"/>
          <w:szCs w:val="20"/>
        </w:rPr>
        <w:t>etical 50 BPS increase or decrease in market interest rates would change the fair value of the fixed-rate debt, excluding the $2.0 billion of hedged debt, by a decrease or increase of approximately $0.4 billion, respectively. However, this hypothetical cha</w:t>
      </w:r>
      <w:r>
        <w:rPr>
          <w:rFonts w:ascii="Times New Roman" w:eastAsia="宋体" w:hAnsi="Times New Roman"/>
          <w:color w:val="000000"/>
          <w:sz w:val="20"/>
          <w:szCs w:val="20"/>
        </w:rPr>
        <w:t xml:space="preserve">nge in interest rates would not impact the interest expense on the fixed-rate debt that is not hedged. </w:t>
      </w:r>
    </w:p>
    <w:p w14:paraId="7B6717BE" w14:textId="77777777" w:rsidR="0040300B" w:rsidRDefault="00BB2D44">
      <w:pPr>
        <w:spacing w:before="120"/>
        <w:jc w:val="both"/>
      </w:pPr>
      <w:r>
        <w:rPr>
          <w:rFonts w:ascii="Times New Roman" w:eastAsia="宋体" w:hAnsi="Times New Roman"/>
          <w:b/>
          <w:bCs/>
          <w:color w:val="000000"/>
          <w:sz w:val="20"/>
          <w:szCs w:val="20"/>
        </w:rPr>
        <w:t>Equity Price Risk</w:t>
      </w:r>
    </w:p>
    <w:p w14:paraId="7B6717BF" w14:textId="77777777" w:rsidR="0040300B" w:rsidRDefault="00BB2D44">
      <w:pPr>
        <w:spacing w:before="120"/>
        <w:jc w:val="both"/>
      </w:pPr>
      <w:r>
        <w:rPr>
          <w:rFonts w:ascii="Times New Roman" w:eastAsia="宋体" w:hAnsi="Times New Roman"/>
          <w:color w:val="000000"/>
          <w:sz w:val="20"/>
          <w:szCs w:val="20"/>
          <w:u w:val="single"/>
        </w:rPr>
        <w:t xml:space="preserve">Marketable Equity Investments. </w:t>
      </w:r>
      <w:r>
        <w:rPr>
          <w:rFonts w:ascii="Times New Roman" w:eastAsia="宋体" w:hAnsi="Times New Roman"/>
          <w:color w:val="000000"/>
          <w:sz w:val="20"/>
          <w:szCs w:val="20"/>
        </w:rPr>
        <w:t xml:space="preserve">The fair value of our marketable equity investments is subject to market price volatility. We hold equity securities for strategic purposes or to diversify our overall investment portfolio. These equity securities are held for purposes other than trading. </w:t>
      </w:r>
      <w:r>
        <w:rPr>
          <w:rFonts w:ascii="Times New Roman" w:eastAsia="宋体" w:hAnsi="Times New Roman"/>
          <w:color w:val="000000"/>
          <w:sz w:val="20"/>
          <w:szCs w:val="20"/>
        </w:rPr>
        <w:t xml:space="preserve">The total fair value of our marketable equity securities was $61 million as of May 1, 2021. We had no outstanding marketable equity securities as of July 25, 2020. </w:t>
      </w:r>
    </w:p>
    <w:p w14:paraId="7B6717C0" w14:textId="77777777" w:rsidR="0040300B" w:rsidRDefault="00BB2D44">
      <w:pPr>
        <w:spacing w:before="120"/>
        <w:jc w:val="both"/>
      </w:pPr>
      <w:r>
        <w:rPr>
          <w:rFonts w:ascii="Times New Roman" w:eastAsia="宋体" w:hAnsi="Times New Roman"/>
          <w:color w:val="000000"/>
          <w:sz w:val="20"/>
          <w:szCs w:val="20"/>
          <w:u w:val="single"/>
        </w:rPr>
        <w:t>Non-marketable Equity and Other Investments</w:t>
      </w:r>
      <w:r>
        <w:rPr>
          <w:rFonts w:ascii="Times New Roman" w:eastAsia="宋体" w:hAnsi="Times New Roman"/>
          <w:color w:val="000000"/>
          <w:sz w:val="20"/>
          <w:szCs w:val="20"/>
        </w:rPr>
        <w:t xml:space="preserve"> These investments are recorded in other assets </w:t>
      </w:r>
      <w:r>
        <w:rPr>
          <w:rFonts w:ascii="Times New Roman" w:eastAsia="宋体" w:hAnsi="Times New Roman"/>
          <w:color w:val="000000"/>
          <w:sz w:val="20"/>
          <w:szCs w:val="20"/>
        </w:rPr>
        <w:t>in our Consolidated Balance Sheets. The total carrying amount of our investments in non-marketable equity and other investments was $1.4 billion and $1.3 billion as of May 1, 2021 and July 25, 2020, respectively. Some of these companies in which we investe</w:t>
      </w:r>
      <w:r>
        <w:rPr>
          <w:rFonts w:ascii="Times New Roman" w:eastAsia="宋体" w:hAnsi="Times New Roman"/>
          <w:color w:val="000000"/>
          <w:sz w:val="20"/>
          <w:szCs w:val="20"/>
        </w:rPr>
        <w:t>d are in the startup or development stages. These investments are inherently risky because the markets for the technologies or products these companies are developing are typically in the early stages and may never materialize. We could lose our entire inv</w:t>
      </w:r>
      <w:r>
        <w:rPr>
          <w:rFonts w:ascii="Times New Roman" w:eastAsia="宋体" w:hAnsi="Times New Roman"/>
          <w:color w:val="000000"/>
          <w:sz w:val="20"/>
          <w:szCs w:val="20"/>
        </w:rPr>
        <w:t xml:space="preserve">estment in these companies. Our evaluation of non-marketable equity and other investments is based on the fundamentals of the businesses invested in, including, among other factors, the nature of their technologies and potential for financial return. </w:t>
      </w:r>
    </w:p>
    <w:p w14:paraId="7B6717C1" w14:textId="77777777" w:rsidR="0040300B" w:rsidRDefault="00BB2D44">
      <w:pPr>
        <w:spacing w:before="120"/>
        <w:jc w:val="both"/>
      </w:pPr>
      <w:r>
        <w:rPr>
          <w:rFonts w:ascii="Times New Roman" w:eastAsia="宋体" w:hAnsi="Times New Roman"/>
          <w:b/>
          <w:bCs/>
          <w:color w:val="000000"/>
          <w:sz w:val="20"/>
          <w:szCs w:val="20"/>
        </w:rPr>
        <w:t>Fore</w:t>
      </w:r>
      <w:r>
        <w:rPr>
          <w:rFonts w:ascii="Times New Roman" w:eastAsia="宋体" w:hAnsi="Times New Roman"/>
          <w:b/>
          <w:bCs/>
          <w:color w:val="000000"/>
          <w:sz w:val="20"/>
          <w:szCs w:val="20"/>
        </w:rPr>
        <w:t>ign Currency Exchange Risk</w:t>
      </w:r>
    </w:p>
    <w:p w14:paraId="7B6717C2" w14:textId="77777777" w:rsidR="0040300B" w:rsidRDefault="00BB2D44">
      <w:pPr>
        <w:spacing w:before="120"/>
        <w:jc w:val="both"/>
      </w:pPr>
      <w:r>
        <w:rPr>
          <w:rFonts w:ascii="Times New Roman" w:eastAsia="宋体" w:hAnsi="Times New Roman"/>
          <w:color w:val="000000"/>
          <w:sz w:val="20"/>
          <w:szCs w:val="20"/>
        </w:rPr>
        <w:t xml:space="preserve">Our foreign exchange forward contracts outstanding as of the respective period-ends are summarized in U.S. dollar equivalents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40300B" w14:paraId="7B6717DB" w14:textId="77777777">
        <w:tc>
          <w:tcPr>
            <w:tcW w:w="50" w:type="pct"/>
            <w:shd w:val="clear" w:color="auto" w:fill="auto"/>
          </w:tcPr>
          <w:p w14:paraId="7B6717C3" w14:textId="77777777" w:rsidR="0040300B" w:rsidRDefault="0040300B">
            <w:pPr>
              <w:rPr>
                <w:rFonts w:ascii="宋体"/>
              </w:rPr>
            </w:pPr>
          </w:p>
        </w:tc>
        <w:tc>
          <w:tcPr>
            <w:tcW w:w="2333" w:type="pct"/>
            <w:shd w:val="clear" w:color="auto" w:fill="auto"/>
          </w:tcPr>
          <w:p w14:paraId="7B6717C4" w14:textId="77777777" w:rsidR="0040300B" w:rsidRDefault="0040300B">
            <w:pPr>
              <w:rPr>
                <w:rFonts w:ascii="宋体"/>
              </w:rPr>
            </w:pPr>
          </w:p>
        </w:tc>
        <w:tc>
          <w:tcPr>
            <w:tcW w:w="5" w:type="pct"/>
            <w:shd w:val="clear" w:color="auto" w:fill="auto"/>
          </w:tcPr>
          <w:p w14:paraId="7B6717C5" w14:textId="77777777" w:rsidR="0040300B" w:rsidRDefault="0040300B">
            <w:pPr>
              <w:rPr>
                <w:rFonts w:ascii="宋体"/>
              </w:rPr>
            </w:pPr>
          </w:p>
        </w:tc>
        <w:tc>
          <w:tcPr>
            <w:tcW w:w="50" w:type="pct"/>
            <w:shd w:val="clear" w:color="auto" w:fill="auto"/>
          </w:tcPr>
          <w:p w14:paraId="7B6717C6" w14:textId="77777777" w:rsidR="0040300B" w:rsidRDefault="0040300B">
            <w:pPr>
              <w:rPr>
                <w:rFonts w:ascii="宋体"/>
              </w:rPr>
            </w:pPr>
          </w:p>
        </w:tc>
        <w:tc>
          <w:tcPr>
            <w:tcW w:w="570" w:type="pct"/>
            <w:shd w:val="clear" w:color="auto" w:fill="auto"/>
          </w:tcPr>
          <w:p w14:paraId="7B6717C7" w14:textId="77777777" w:rsidR="0040300B" w:rsidRDefault="0040300B">
            <w:pPr>
              <w:rPr>
                <w:rFonts w:ascii="宋体"/>
              </w:rPr>
            </w:pPr>
          </w:p>
        </w:tc>
        <w:tc>
          <w:tcPr>
            <w:tcW w:w="5" w:type="pct"/>
            <w:shd w:val="clear" w:color="auto" w:fill="auto"/>
          </w:tcPr>
          <w:p w14:paraId="7B6717C8" w14:textId="77777777" w:rsidR="0040300B" w:rsidRDefault="0040300B">
            <w:pPr>
              <w:rPr>
                <w:rFonts w:ascii="宋体"/>
              </w:rPr>
            </w:pPr>
          </w:p>
        </w:tc>
        <w:tc>
          <w:tcPr>
            <w:tcW w:w="5" w:type="pct"/>
            <w:shd w:val="clear" w:color="auto" w:fill="auto"/>
          </w:tcPr>
          <w:p w14:paraId="7B6717C9" w14:textId="77777777" w:rsidR="0040300B" w:rsidRDefault="0040300B">
            <w:pPr>
              <w:rPr>
                <w:rFonts w:ascii="宋体"/>
              </w:rPr>
            </w:pPr>
          </w:p>
        </w:tc>
        <w:tc>
          <w:tcPr>
            <w:tcW w:w="25" w:type="pct"/>
            <w:shd w:val="clear" w:color="auto" w:fill="auto"/>
          </w:tcPr>
          <w:p w14:paraId="7B6717CA" w14:textId="77777777" w:rsidR="0040300B" w:rsidRDefault="0040300B">
            <w:pPr>
              <w:rPr>
                <w:rFonts w:ascii="宋体"/>
              </w:rPr>
            </w:pPr>
          </w:p>
        </w:tc>
        <w:tc>
          <w:tcPr>
            <w:tcW w:w="5" w:type="pct"/>
            <w:shd w:val="clear" w:color="auto" w:fill="auto"/>
          </w:tcPr>
          <w:p w14:paraId="7B6717CB" w14:textId="77777777" w:rsidR="0040300B" w:rsidRDefault="0040300B">
            <w:pPr>
              <w:rPr>
                <w:rFonts w:ascii="宋体"/>
              </w:rPr>
            </w:pPr>
          </w:p>
        </w:tc>
        <w:tc>
          <w:tcPr>
            <w:tcW w:w="50" w:type="pct"/>
            <w:shd w:val="clear" w:color="auto" w:fill="auto"/>
          </w:tcPr>
          <w:p w14:paraId="7B6717CC" w14:textId="77777777" w:rsidR="0040300B" w:rsidRDefault="0040300B">
            <w:pPr>
              <w:rPr>
                <w:rFonts w:ascii="宋体"/>
              </w:rPr>
            </w:pPr>
          </w:p>
        </w:tc>
        <w:tc>
          <w:tcPr>
            <w:tcW w:w="570" w:type="pct"/>
            <w:shd w:val="clear" w:color="auto" w:fill="auto"/>
          </w:tcPr>
          <w:p w14:paraId="7B6717CD" w14:textId="77777777" w:rsidR="0040300B" w:rsidRDefault="0040300B">
            <w:pPr>
              <w:rPr>
                <w:rFonts w:ascii="宋体"/>
              </w:rPr>
            </w:pPr>
          </w:p>
        </w:tc>
        <w:tc>
          <w:tcPr>
            <w:tcW w:w="5" w:type="pct"/>
            <w:shd w:val="clear" w:color="auto" w:fill="auto"/>
          </w:tcPr>
          <w:p w14:paraId="7B6717CE" w14:textId="77777777" w:rsidR="0040300B" w:rsidRDefault="0040300B">
            <w:pPr>
              <w:rPr>
                <w:rFonts w:ascii="宋体"/>
              </w:rPr>
            </w:pPr>
          </w:p>
        </w:tc>
        <w:tc>
          <w:tcPr>
            <w:tcW w:w="5" w:type="pct"/>
            <w:shd w:val="clear" w:color="auto" w:fill="auto"/>
          </w:tcPr>
          <w:p w14:paraId="7B6717CF" w14:textId="77777777" w:rsidR="0040300B" w:rsidRDefault="0040300B">
            <w:pPr>
              <w:rPr>
                <w:rFonts w:ascii="宋体"/>
              </w:rPr>
            </w:pPr>
          </w:p>
        </w:tc>
        <w:tc>
          <w:tcPr>
            <w:tcW w:w="25" w:type="pct"/>
            <w:shd w:val="clear" w:color="auto" w:fill="auto"/>
          </w:tcPr>
          <w:p w14:paraId="7B6717D0" w14:textId="77777777" w:rsidR="0040300B" w:rsidRDefault="0040300B">
            <w:pPr>
              <w:rPr>
                <w:rFonts w:ascii="宋体"/>
              </w:rPr>
            </w:pPr>
          </w:p>
        </w:tc>
        <w:tc>
          <w:tcPr>
            <w:tcW w:w="5" w:type="pct"/>
            <w:shd w:val="clear" w:color="auto" w:fill="auto"/>
          </w:tcPr>
          <w:p w14:paraId="7B6717D1" w14:textId="77777777" w:rsidR="0040300B" w:rsidRDefault="0040300B">
            <w:pPr>
              <w:rPr>
                <w:rFonts w:ascii="宋体"/>
              </w:rPr>
            </w:pPr>
          </w:p>
        </w:tc>
        <w:tc>
          <w:tcPr>
            <w:tcW w:w="50" w:type="pct"/>
            <w:shd w:val="clear" w:color="auto" w:fill="auto"/>
          </w:tcPr>
          <w:p w14:paraId="7B6717D2" w14:textId="77777777" w:rsidR="0040300B" w:rsidRDefault="0040300B">
            <w:pPr>
              <w:rPr>
                <w:rFonts w:ascii="宋体"/>
              </w:rPr>
            </w:pPr>
          </w:p>
        </w:tc>
        <w:tc>
          <w:tcPr>
            <w:tcW w:w="570" w:type="pct"/>
            <w:shd w:val="clear" w:color="auto" w:fill="auto"/>
          </w:tcPr>
          <w:p w14:paraId="7B6717D3" w14:textId="77777777" w:rsidR="0040300B" w:rsidRDefault="0040300B">
            <w:pPr>
              <w:rPr>
                <w:rFonts w:ascii="宋体"/>
              </w:rPr>
            </w:pPr>
          </w:p>
        </w:tc>
        <w:tc>
          <w:tcPr>
            <w:tcW w:w="5" w:type="pct"/>
            <w:shd w:val="clear" w:color="auto" w:fill="auto"/>
          </w:tcPr>
          <w:p w14:paraId="7B6717D4" w14:textId="77777777" w:rsidR="0040300B" w:rsidRDefault="0040300B">
            <w:pPr>
              <w:rPr>
                <w:rFonts w:ascii="宋体"/>
              </w:rPr>
            </w:pPr>
          </w:p>
        </w:tc>
        <w:tc>
          <w:tcPr>
            <w:tcW w:w="5" w:type="pct"/>
            <w:shd w:val="clear" w:color="auto" w:fill="auto"/>
          </w:tcPr>
          <w:p w14:paraId="7B6717D5" w14:textId="77777777" w:rsidR="0040300B" w:rsidRDefault="0040300B">
            <w:pPr>
              <w:rPr>
                <w:rFonts w:ascii="宋体"/>
              </w:rPr>
            </w:pPr>
          </w:p>
        </w:tc>
        <w:tc>
          <w:tcPr>
            <w:tcW w:w="25" w:type="pct"/>
            <w:shd w:val="clear" w:color="auto" w:fill="auto"/>
          </w:tcPr>
          <w:p w14:paraId="7B6717D6" w14:textId="77777777" w:rsidR="0040300B" w:rsidRDefault="0040300B">
            <w:pPr>
              <w:rPr>
                <w:rFonts w:ascii="宋体"/>
              </w:rPr>
            </w:pPr>
          </w:p>
        </w:tc>
        <w:tc>
          <w:tcPr>
            <w:tcW w:w="5" w:type="pct"/>
            <w:shd w:val="clear" w:color="auto" w:fill="auto"/>
          </w:tcPr>
          <w:p w14:paraId="7B6717D7" w14:textId="77777777" w:rsidR="0040300B" w:rsidRDefault="0040300B">
            <w:pPr>
              <w:rPr>
                <w:rFonts w:ascii="宋体"/>
              </w:rPr>
            </w:pPr>
          </w:p>
        </w:tc>
        <w:tc>
          <w:tcPr>
            <w:tcW w:w="50" w:type="pct"/>
            <w:shd w:val="clear" w:color="auto" w:fill="auto"/>
          </w:tcPr>
          <w:p w14:paraId="7B6717D8" w14:textId="77777777" w:rsidR="0040300B" w:rsidRDefault="0040300B">
            <w:pPr>
              <w:rPr>
                <w:rFonts w:ascii="宋体"/>
              </w:rPr>
            </w:pPr>
          </w:p>
        </w:tc>
        <w:tc>
          <w:tcPr>
            <w:tcW w:w="571" w:type="pct"/>
            <w:shd w:val="clear" w:color="auto" w:fill="auto"/>
          </w:tcPr>
          <w:p w14:paraId="7B6717D9" w14:textId="77777777" w:rsidR="0040300B" w:rsidRDefault="0040300B">
            <w:pPr>
              <w:rPr>
                <w:rFonts w:ascii="宋体"/>
              </w:rPr>
            </w:pPr>
          </w:p>
        </w:tc>
        <w:tc>
          <w:tcPr>
            <w:tcW w:w="5" w:type="pct"/>
            <w:shd w:val="clear" w:color="auto" w:fill="auto"/>
          </w:tcPr>
          <w:p w14:paraId="7B6717DA" w14:textId="77777777" w:rsidR="0040300B" w:rsidRDefault="0040300B">
            <w:pPr>
              <w:rPr>
                <w:rFonts w:ascii="宋体"/>
              </w:rPr>
            </w:pPr>
          </w:p>
        </w:tc>
      </w:tr>
      <w:tr w:rsidR="0040300B" w14:paraId="7B6717E0" w14:textId="77777777">
        <w:tc>
          <w:tcPr>
            <w:tcW w:w="0" w:type="auto"/>
            <w:gridSpan w:val="3"/>
            <w:shd w:val="clear" w:color="auto" w:fill="auto"/>
            <w:tcMar>
              <w:top w:w="40" w:type="dxa"/>
              <w:left w:w="20" w:type="dxa"/>
              <w:bottom w:w="40" w:type="dxa"/>
              <w:right w:w="20" w:type="dxa"/>
            </w:tcMar>
            <w:vAlign w:val="bottom"/>
          </w:tcPr>
          <w:p w14:paraId="7B6717DC" w14:textId="77777777" w:rsidR="0040300B" w:rsidRDefault="00BB2D4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7B6717DD" w14:textId="77777777" w:rsidR="0040300B" w:rsidRDefault="00BB2D44">
            <w:pPr>
              <w:jc w:val="center"/>
              <w:textAlignment w:val="bottom"/>
            </w:pPr>
            <w:r>
              <w:rPr>
                <w:rFonts w:ascii="Times New Roman" w:eastAsia="宋体" w:hAnsi="Times New Roman"/>
                <w:color w:val="000000"/>
                <w:sz w:val="18"/>
                <w:szCs w:val="18"/>
              </w:rPr>
              <w:t>May 1, 2021</w:t>
            </w:r>
          </w:p>
        </w:tc>
        <w:tc>
          <w:tcPr>
            <w:tcW w:w="0" w:type="auto"/>
            <w:gridSpan w:val="3"/>
            <w:shd w:val="clear" w:color="auto" w:fill="auto"/>
            <w:tcMar>
              <w:top w:w="0" w:type="dxa"/>
              <w:left w:w="20" w:type="dxa"/>
              <w:bottom w:w="0" w:type="dxa"/>
              <w:right w:w="20" w:type="dxa"/>
            </w:tcMar>
          </w:tcPr>
          <w:p w14:paraId="7B6717DE" w14:textId="77777777" w:rsidR="0040300B" w:rsidRDefault="0040300B">
            <w:pPr>
              <w:rPr>
                <w:rFonts w:ascii="宋体"/>
              </w:rPr>
            </w:pPr>
          </w:p>
        </w:tc>
        <w:tc>
          <w:tcPr>
            <w:tcW w:w="0" w:type="auto"/>
            <w:gridSpan w:val="9"/>
            <w:shd w:val="clear" w:color="auto" w:fill="auto"/>
            <w:tcMar>
              <w:top w:w="40" w:type="dxa"/>
              <w:left w:w="20" w:type="dxa"/>
              <w:bottom w:w="40" w:type="dxa"/>
              <w:right w:w="20" w:type="dxa"/>
            </w:tcMar>
            <w:vAlign w:val="bottom"/>
          </w:tcPr>
          <w:p w14:paraId="7B6717DF" w14:textId="77777777" w:rsidR="0040300B" w:rsidRDefault="00BB2D44">
            <w:pPr>
              <w:jc w:val="center"/>
              <w:textAlignment w:val="bottom"/>
            </w:pPr>
            <w:r>
              <w:rPr>
                <w:rFonts w:ascii="Times New Roman" w:eastAsia="宋体" w:hAnsi="Times New Roman"/>
                <w:color w:val="000000"/>
                <w:sz w:val="18"/>
                <w:szCs w:val="18"/>
              </w:rPr>
              <w:t>July 25, 2020</w:t>
            </w:r>
          </w:p>
        </w:tc>
      </w:tr>
      <w:tr w:rsidR="0040300B" w14:paraId="7B6717E9" w14:textId="77777777">
        <w:tc>
          <w:tcPr>
            <w:tcW w:w="0" w:type="auto"/>
            <w:gridSpan w:val="3"/>
            <w:shd w:val="clear" w:color="auto" w:fill="auto"/>
            <w:tcMar>
              <w:top w:w="40" w:type="dxa"/>
              <w:left w:w="20" w:type="dxa"/>
              <w:bottom w:w="40" w:type="dxa"/>
              <w:right w:w="20" w:type="dxa"/>
            </w:tcMar>
            <w:vAlign w:val="bottom"/>
          </w:tcPr>
          <w:p w14:paraId="7B6717E1" w14:textId="77777777" w:rsidR="0040300B" w:rsidRDefault="00BB2D44">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7E2" w14:textId="77777777" w:rsidR="0040300B" w:rsidRDefault="00BB2D44">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17E3"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7E4" w14:textId="77777777" w:rsidR="0040300B" w:rsidRDefault="00BB2D44">
            <w:pPr>
              <w:jc w:val="center"/>
              <w:textAlignment w:val="bottom"/>
            </w:pPr>
            <w:r>
              <w:rPr>
                <w:rFonts w:ascii="Times New Roman" w:eastAsia="宋体" w:hAnsi="Times New Roman"/>
                <w:color w:val="000000"/>
                <w:sz w:val="16"/>
                <w:szCs w:val="16"/>
              </w:rPr>
              <w:t>Fair Value</w:t>
            </w:r>
          </w:p>
        </w:tc>
        <w:tc>
          <w:tcPr>
            <w:tcW w:w="0" w:type="auto"/>
            <w:gridSpan w:val="3"/>
            <w:shd w:val="clear" w:color="auto" w:fill="auto"/>
            <w:tcMar>
              <w:top w:w="0" w:type="dxa"/>
              <w:left w:w="20" w:type="dxa"/>
              <w:bottom w:w="0" w:type="dxa"/>
              <w:right w:w="20" w:type="dxa"/>
            </w:tcMar>
          </w:tcPr>
          <w:p w14:paraId="7B6717E5"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7E6" w14:textId="77777777" w:rsidR="0040300B" w:rsidRDefault="00BB2D44">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7B6717E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B6717E8" w14:textId="77777777" w:rsidR="0040300B" w:rsidRDefault="00BB2D44">
            <w:pPr>
              <w:jc w:val="center"/>
              <w:textAlignment w:val="bottom"/>
            </w:pPr>
            <w:r>
              <w:rPr>
                <w:rFonts w:ascii="Times New Roman" w:eastAsia="宋体" w:hAnsi="Times New Roman"/>
                <w:color w:val="000000"/>
                <w:sz w:val="16"/>
                <w:szCs w:val="16"/>
              </w:rPr>
              <w:t>Fair Value</w:t>
            </w:r>
          </w:p>
        </w:tc>
      </w:tr>
      <w:tr w:rsidR="0040300B" w14:paraId="7B6717F2" w14:textId="77777777">
        <w:tc>
          <w:tcPr>
            <w:tcW w:w="0" w:type="auto"/>
            <w:gridSpan w:val="3"/>
            <w:shd w:val="clear" w:color="auto" w:fill="CCEEFF"/>
            <w:tcMar>
              <w:top w:w="40" w:type="dxa"/>
              <w:left w:w="20" w:type="dxa"/>
              <w:bottom w:w="40" w:type="dxa"/>
              <w:right w:w="20" w:type="dxa"/>
            </w:tcMar>
          </w:tcPr>
          <w:p w14:paraId="7B6717EA" w14:textId="77777777" w:rsidR="0040300B" w:rsidRDefault="00BB2D44">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7B6717E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7EC"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7E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7EE"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7E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7F0" w14:textId="77777777" w:rsidR="0040300B" w:rsidRDefault="0040300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7B6717F1" w14:textId="77777777" w:rsidR="0040300B" w:rsidRDefault="0040300B">
            <w:pPr>
              <w:rPr>
                <w:rFonts w:ascii="宋体"/>
              </w:rPr>
            </w:pPr>
          </w:p>
        </w:tc>
      </w:tr>
      <w:tr w:rsidR="0040300B" w14:paraId="7B671803" w14:textId="77777777">
        <w:tc>
          <w:tcPr>
            <w:tcW w:w="0" w:type="auto"/>
            <w:gridSpan w:val="3"/>
            <w:shd w:val="clear" w:color="auto" w:fill="FFFFFF"/>
            <w:tcMar>
              <w:top w:w="40" w:type="dxa"/>
              <w:left w:w="380" w:type="dxa"/>
              <w:bottom w:w="40" w:type="dxa"/>
              <w:right w:w="20" w:type="dxa"/>
            </w:tcMar>
          </w:tcPr>
          <w:p w14:paraId="7B6717F3" w14:textId="77777777" w:rsidR="0040300B" w:rsidRDefault="00BB2D44">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7B6717F4"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7F5" w14:textId="77777777" w:rsidR="0040300B" w:rsidRDefault="00BB2D44">
            <w:pPr>
              <w:jc w:val="right"/>
              <w:textAlignment w:val="bottom"/>
            </w:pPr>
            <w:r>
              <w:rPr>
                <w:rFonts w:ascii="Times New Roman" w:eastAsia="宋体" w:hAnsi="Times New Roman"/>
                <w:color w:val="000000"/>
                <w:sz w:val="20"/>
                <w:szCs w:val="20"/>
              </w:rPr>
              <w:t>2,405 </w:t>
            </w:r>
          </w:p>
        </w:tc>
        <w:tc>
          <w:tcPr>
            <w:tcW w:w="0" w:type="auto"/>
            <w:shd w:val="clear" w:color="auto" w:fill="FFFFFF"/>
            <w:tcMar>
              <w:top w:w="40" w:type="dxa"/>
              <w:left w:w="0" w:type="dxa"/>
              <w:bottom w:w="40" w:type="dxa"/>
              <w:right w:w="20" w:type="dxa"/>
            </w:tcMar>
            <w:vAlign w:val="bottom"/>
          </w:tcPr>
          <w:p w14:paraId="7B6717F6"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F7"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7F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7F9" w14:textId="77777777" w:rsidR="0040300B" w:rsidRDefault="00BB2D44">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B6717FA"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FB"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7FC"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7FD" w14:textId="77777777" w:rsidR="0040300B" w:rsidRDefault="00BB2D44">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7B6717F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7F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80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801" w14:textId="77777777" w:rsidR="0040300B" w:rsidRDefault="00BB2D4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B671802" w14:textId="77777777" w:rsidR="0040300B" w:rsidRDefault="0040300B">
            <w:pPr>
              <w:jc w:val="right"/>
              <w:rPr>
                <w:rFonts w:ascii="宋体"/>
              </w:rPr>
            </w:pPr>
          </w:p>
        </w:tc>
      </w:tr>
      <w:tr w:rsidR="0040300B" w14:paraId="7B671814" w14:textId="77777777">
        <w:tc>
          <w:tcPr>
            <w:tcW w:w="0" w:type="auto"/>
            <w:gridSpan w:val="3"/>
            <w:shd w:val="clear" w:color="auto" w:fill="CCEEFF"/>
            <w:tcMar>
              <w:top w:w="40" w:type="dxa"/>
              <w:left w:w="380" w:type="dxa"/>
              <w:bottom w:w="40" w:type="dxa"/>
              <w:right w:w="20" w:type="dxa"/>
            </w:tcMar>
          </w:tcPr>
          <w:p w14:paraId="7B671804" w14:textId="77777777" w:rsidR="0040300B" w:rsidRDefault="00BB2D44">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7B671805"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806" w14:textId="77777777" w:rsidR="0040300B" w:rsidRDefault="00BB2D44">
            <w:pPr>
              <w:jc w:val="right"/>
              <w:textAlignment w:val="bottom"/>
            </w:pPr>
            <w:r>
              <w:rPr>
                <w:rFonts w:ascii="Times New Roman" w:eastAsia="宋体" w:hAnsi="Times New Roman"/>
                <w:color w:val="000000"/>
                <w:sz w:val="20"/>
                <w:szCs w:val="20"/>
              </w:rPr>
              <w:t>1,649 </w:t>
            </w:r>
          </w:p>
        </w:tc>
        <w:tc>
          <w:tcPr>
            <w:tcW w:w="0" w:type="auto"/>
            <w:shd w:val="clear" w:color="auto" w:fill="CCEEFF"/>
            <w:tcMar>
              <w:top w:w="40" w:type="dxa"/>
              <w:left w:w="0" w:type="dxa"/>
              <w:bottom w:w="40" w:type="dxa"/>
              <w:right w:w="20" w:type="dxa"/>
            </w:tcMar>
            <w:vAlign w:val="bottom"/>
          </w:tcPr>
          <w:p w14:paraId="7B671807"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808"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80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80A" w14:textId="77777777" w:rsidR="0040300B" w:rsidRDefault="00BB2D4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B67180B"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80C"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80D"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80E" w14:textId="77777777" w:rsidR="0040300B" w:rsidRDefault="00BB2D44">
            <w:pPr>
              <w:jc w:val="right"/>
              <w:textAlignment w:val="bottom"/>
            </w:pPr>
            <w:r>
              <w:rPr>
                <w:rFonts w:ascii="Times New Roman" w:eastAsia="宋体" w:hAnsi="Times New Roman"/>
                <w:color w:val="000000"/>
                <w:sz w:val="20"/>
                <w:szCs w:val="20"/>
              </w:rPr>
              <w:t>1,874 </w:t>
            </w:r>
          </w:p>
        </w:tc>
        <w:tc>
          <w:tcPr>
            <w:tcW w:w="0" w:type="auto"/>
            <w:shd w:val="clear" w:color="auto" w:fill="CCEEFF"/>
            <w:tcMar>
              <w:top w:w="40" w:type="dxa"/>
              <w:left w:w="0" w:type="dxa"/>
              <w:bottom w:w="40" w:type="dxa"/>
              <w:right w:w="20" w:type="dxa"/>
            </w:tcMar>
            <w:vAlign w:val="bottom"/>
          </w:tcPr>
          <w:p w14:paraId="7B67180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810"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811"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812" w14:textId="77777777" w:rsidR="0040300B" w:rsidRDefault="00BB2D4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B671813" w14:textId="77777777" w:rsidR="0040300B" w:rsidRDefault="0040300B">
            <w:pPr>
              <w:jc w:val="right"/>
              <w:rPr>
                <w:rFonts w:ascii="宋体"/>
              </w:rPr>
            </w:pPr>
          </w:p>
        </w:tc>
      </w:tr>
    </w:tbl>
    <w:p w14:paraId="7B671815" w14:textId="77777777" w:rsidR="0040300B" w:rsidRDefault="00BB2D44">
      <w:pPr>
        <w:spacing w:before="120"/>
        <w:jc w:val="both"/>
      </w:pPr>
      <w:r>
        <w:rPr>
          <w:rFonts w:ascii="Times New Roman" w:eastAsia="宋体" w:hAnsi="Times New Roman"/>
          <w:color w:val="000000"/>
          <w:sz w:val="20"/>
          <w:szCs w:val="20"/>
        </w:rPr>
        <w:t>At May 1, 2021 and July 25, 2020, we had no option contracts outstanding.</w:t>
      </w:r>
    </w:p>
    <w:p w14:paraId="7B671816" w14:textId="77777777" w:rsidR="0040300B" w:rsidRDefault="00BB2D44">
      <w:pPr>
        <w:spacing w:before="120"/>
        <w:jc w:val="both"/>
      </w:pPr>
      <w:r>
        <w:rPr>
          <w:rFonts w:ascii="Times New Roman" w:eastAsia="宋体" w:hAnsi="Times New Roman"/>
          <w:color w:val="000000"/>
          <w:sz w:val="20"/>
          <w:szCs w:val="20"/>
        </w:rPr>
        <w:t>We conduct business globally in numerous currencies. The direct effect of forei</w:t>
      </w:r>
      <w:r>
        <w:rPr>
          <w:rFonts w:ascii="Times New Roman" w:eastAsia="宋体" w:hAnsi="Times New Roman"/>
          <w:color w:val="000000"/>
          <w:sz w:val="20"/>
          <w:szCs w:val="20"/>
        </w:rPr>
        <w:t>gn currency fluctuations on revenue has not been material because our revenue is primarily denominated in U.S. dollars. However, if the U.S. dollar strengthens relative to other currencies, such strengthening could have an indirect effect on our revenue to</w:t>
      </w:r>
      <w:r>
        <w:rPr>
          <w:rFonts w:ascii="Times New Roman" w:eastAsia="宋体" w:hAnsi="Times New Roman"/>
          <w:color w:val="000000"/>
          <w:sz w:val="20"/>
          <w:szCs w:val="20"/>
        </w:rPr>
        <w:t xml:space="preserve"> the extent it raises the cost of our products to non-U.S. customers and thereby reduces demand. A weaker U.S. dollar could have the opposite effect. However, the precise </w:t>
      </w:r>
    </w:p>
    <w:p w14:paraId="7B671817" w14:textId="77777777" w:rsidR="0040300B" w:rsidRDefault="00BB2D44">
      <w:pPr>
        <w:jc w:val="center"/>
      </w:pPr>
      <w:r>
        <w:rPr>
          <w:rFonts w:ascii="Times New Roman" w:eastAsia="宋体" w:hAnsi="Times New Roman"/>
          <w:color w:val="000000"/>
          <w:sz w:val="20"/>
          <w:szCs w:val="20"/>
        </w:rPr>
        <w:t>67</w:t>
      </w:r>
    </w:p>
    <w:p w14:paraId="7B671818" w14:textId="77777777" w:rsidR="0040300B" w:rsidRDefault="00BB2D44">
      <w:r>
        <w:pict w14:anchorId="7B671C53">
          <v:rect id="_x0000_i1091" style="width:415.3pt;height:1.5pt" o:hralign="center" o:hrstd="t" o:hr="t" fillcolor="#a0a0a0" stroked="f"/>
        </w:pict>
      </w:r>
    </w:p>
    <w:p w14:paraId="7B671819" w14:textId="77777777" w:rsidR="0040300B" w:rsidRDefault="00BB2D44">
      <w:hyperlink r:id="rId113" w:anchor="i52d5b40dbad7426a9806a2fd5167029f_7" w:history="1">
        <w:r>
          <w:rPr>
            <w:rStyle w:val="a5"/>
            <w:rFonts w:ascii="Times New Roman" w:eastAsia="宋体" w:hAnsi="Times New Roman"/>
            <w:sz w:val="18"/>
            <w:szCs w:val="18"/>
          </w:rPr>
          <w:t>Table of Contents</w:t>
        </w:r>
      </w:hyperlink>
    </w:p>
    <w:p w14:paraId="7B67181A" w14:textId="77777777" w:rsidR="0040300B" w:rsidRDefault="00BB2D44">
      <w:pPr>
        <w:spacing w:before="120"/>
        <w:jc w:val="both"/>
      </w:pPr>
      <w:r>
        <w:rPr>
          <w:rFonts w:ascii="Times New Roman" w:eastAsia="宋体" w:hAnsi="Times New Roman"/>
          <w:color w:val="000000"/>
          <w:sz w:val="20"/>
          <w:szCs w:val="20"/>
        </w:rPr>
        <w:t>indirect effect of currency fluctuations is difficult to measure or predict because our revenue is influenced by many factors in addition to the impact of such currency</w:t>
      </w:r>
      <w:r>
        <w:rPr>
          <w:rFonts w:ascii="Times New Roman" w:eastAsia="宋体" w:hAnsi="Times New Roman"/>
          <w:color w:val="000000"/>
          <w:sz w:val="20"/>
          <w:szCs w:val="20"/>
        </w:rPr>
        <w:t xml:space="preserve"> fluctuations.</w:t>
      </w:r>
    </w:p>
    <w:p w14:paraId="7B67181B" w14:textId="77777777" w:rsidR="0040300B" w:rsidRDefault="00BB2D44">
      <w:pPr>
        <w:spacing w:before="120"/>
        <w:jc w:val="both"/>
      </w:pPr>
      <w:r>
        <w:rPr>
          <w:rFonts w:ascii="Times New Roman" w:eastAsia="宋体" w:hAnsi="Times New Roman"/>
          <w:color w:val="000000"/>
          <w:sz w:val="20"/>
          <w:szCs w:val="20"/>
        </w:rPr>
        <w:t>Approximately 70% of our operating expenses are U.S.-dollar denominated. In the first nine months of fiscal 2021, foreign currency fluctuations, net of hedging, increased our combined R&amp;D, sales and marketing, and G&amp;A expenses by approximate</w:t>
      </w:r>
      <w:r>
        <w:rPr>
          <w:rFonts w:ascii="Times New Roman" w:eastAsia="宋体" w:hAnsi="Times New Roman"/>
          <w:color w:val="000000"/>
          <w:sz w:val="20"/>
          <w:szCs w:val="20"/>
        </w:rPr>
        <w:t xml:space="preserve">ly $122 million, or 0.9%, compared with the first nine months of fiscal 2020. To reduce variability in operating expenses and service cost of sales caused by non-U.S.-dollar denominated operating expenses and costs, we may hedge certain forecasted foreign </w:t>
      </w:r>
      <w:r>
        <w:rPr>
          <w:rFonts w:ascii="Times New Roman" w:eastAsia="宋体" w:hAnsi="Times New Roman"/>
          <w:color w:val="000000"/>
          <w:sz w:val="20"/>
          <w:szCs w:val="20"/>
        </w:rPr>
        <w:t>currency transactions with currency options and forward contracts. These hedging programs are not designed to provide foreign currency protection over long time horizons. In designing a specific hedging approach, we consider several factors, including offs</w:t>
      </w:r>
      <w:r>
        <w:rPr>
          <w:rFonts w:ascii="Times New Roman" w:eastAsia="宋体" w:hAnsi="Times New Roman"/>
          <w:color w:val="000000"/>
          <w:sz w:val="20"/>
          <w:szCs w:val="20"/>
        </w:rPr>
        <w:t>etting exposures, significance of exposures, costs associated with entering into a particular hedge instrument, and potential effectiveness of the hedge. The gains and losses on foreign exchange contracts mitigate the effect of currency movements on our op</w:t>
      </w:r>
      <w:r>
        <w:rPr>
          <w:rFonts w:ascii="Times New Roman" w:eastAsia="宋体" w:hAnsi="Times New Roman"/>
          <w:color w:val="000000"/>
          <w:sz w:val="20"/>
          <w:szCs w:val="20"/>
        </w:rPr>
        <w:t>erating expenses and service cost of sales.</w:t>
      </w:r>
    </w:p>
    <w:p w14:paraId="7B67181C" w14:textId="77777777" w:rsidR="0040300B" w:rsidRDefault="00BB2D44">
      <w:pPr>
        <w:spacing w:before="120"/>
        <w:jc w:val="both"/>
      </w:pPr>
      <w:r>
        <w:rPr>
          <w:rFonts w:ascii="Times New Roman" w:eastAsia="宋体" w:hAnsi="Times New Roman"/>
          <w:color w:val="000000"/>
          <w:sz w:val="20"/>
          <w:szCs w:val="20"/>
        </w:rPr>
        <w:t>We also enter into foreign exchange forward and option contracts to reduce the short-term effects of foreign currency fluctuations on receivables and payables that are denominated in currencies other than the fun</w:t>
      </w:r>
      <w:r>
        <w:rPr>
          <w:rFonts w:ascii="Times New Roman" w:eastAsia="宋体" w:hAnsi="Times New Roman"/>
          <w:color w:val="000000"/>
          <w:sz w:val="20"/>
          <w:szCs w:val="20"/>
        </w:rPr>
        <w:t>ctional currencies of the entities. The market risks associated with these foreign currency receivables and payables relate primarily to variances from our forecasted foreign currency transactions and balances. We do not enter into foreign exchange forward</w:t>
      </w:r>
      <w:r>
        <w:rPr>
          <w:rFonts w:ascii="Times New Roman" w:eastAsia="宋体" w:hAnsi="Times New Roman"/>
          <w:color w:val="000000"/>
          <w:sz w:val="20"/>
          <w:szCs w:val="20"/>
        </w:rPr>
        <w:t xml:space="preserve"> or option contracts for speculative purposes.</w:t>
      </w:r>
    </w:p>
    <w:p w14:paraId="7B67181D" w14:textId="77777777" w:rsidR="0040300B" w:rsidRDefault="0040300B">
      <w:pPr>
        <w:spacing w:before="120"/>
        <w:jc w:val="both"/>
      </w:pP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40300B" w14:paraId="7B671824" w14:textId="77777777">
        <w:tc>
          <w:tcPr>
            <w:tcW w:w="50" w:type="pct"/>
            <w:shd w:val="clear" w:color="auto" w:fill="auto"/>
          </w:tcPr>
          <w:p w14:paraId="7B67181E" w14:textId="77777777" w:rsidR="0040300B" w:rsidRDefault="0040300B">
            <w:pPr>
              <w:rPr>
                <w:rFonts w:ascii="宋体"/>
              </w:rPr>
            </w:pPr>
          </w:p>
        </w:tc>
        <w:tc>
          <w:tcPr>
            <w:tcW w:w="1676" w:type="pct"/>
            <w:shd w:val="clear" w:color="auto" w:fill="auto"/>
          </w:tcPr>
          <w:p w14:paraId="7B67181F" w14:textId="77777777" w:rsidR="0040300B" w:rsidRDefault="0040300B">
            <w:pPr>
              <w:rPr>
                <w:rFonts w:ascii="宋体"/>
              </w:rPr>
            </w:pPr>
          </w:p>
        </w:tc>
        <w:tc>
          <w:tcPr>
            <w:tcW w:w="5" w:type="pct"/>
            <w:shd w:val="clear" w:color="auto" w:fill="auto"/>
          </w:tcPr>
          <w:p w14:paraId="7B671820" w14:textId="77777777" w:rsidR="0040300B" w:rsidRDefault="0040300B">
            <w:pPr>
              <w:rPr>
                <w:rFonts w:ascii="宋体"/>
              </w:rPr>
            </w:pPr>
          </w:p>
        </w:tc>
        <w:tc>
          <w:tcPr>
            <w:tcW w:w="50" w:type="pct"/>
            <w:shd w:val="clear" w:color="auto" w:fill="auto"/>
          </w:tcPr>
          <w:p w14:paraId="7B671821" w14:textId="77777777" w:rsidR="0040300B" w:rsidRDefault="0040300B">
            <w:pPr>
              <w:rPr>
                <w:rFonts w:ascii="宋体"/>
              </w:rPr>
            </w:pPr>
          </w:p>
        </w:tc>
        <w:tc>
          <w:tcPr>
            <w:tcW w:w="3213" w:type="pct"/>
            <w:shd w:val="clear" w:color="auto" w:fill="auto"/>
          </w:tcPr>
          <w:p w14:paraId="7B671822" w14:textId="77777777" w:rsidR="0040300B" w:rsidRDefault="0040300B">
            <w:pPr>
              <w:rPr>
                <w:rFonts w:ascii="宋体"/>
              </w:rPr>
            </w:pPr>
          </w:p>
        </w:tc>
        <w:tc>
          <w:tcPr>
            <w:tcW w:w="5" w:type="pct"/>
            <w:shd w:val="clear" w:color="auto" w:fill="auto"/>
          </w:tcPr>
          <w:p w14:paraId="7B671823" w14:textId="77777777" w:rsidR="0040300B" w:rsidRDefault="0040300B">
            <w:pPr>
              <w:rPr>
                <w:rFonts w:ascii="宋体"/>
              </w:rPr>
            </w:pPr>
          </w:p>
        </w:tc>
      </w:tr>
      <w:tr w:rsidR="0040300B" w14:paraId="7B671827" w14:textId="77777777">
        <w:tc>
          <w:tcPr>
            <w:tcW w:w="0" w:type="auto"/>
            <w:gridSpan w:val="3"/>
            <w:shd w:val="clear" w:color="auto" w:fill="auto"/>
            <w:tcMar>
              <w:top w:w="40" w:type="dxa"/>
              <w:left w:w="20" w:type="dxa"/>
              <w:bottom w:w="40" w:type="dxa"/>
              <w:right w:w="20" w:type="dxa"/>
            </w:tcMar>
          </w:tcPr>
          <w:p w14:paraId="7B671825" w14:textId="77777777" w:rsidR="0040300B" w:rsidRDefault="00BB2D44">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7B671826" w14:textId="77777777" w:rsidR="0040300B" w:rsidRDefault="00BB2D44">
            <w:pPr>
              <w:textAlignment w:val="top"/>
            </w:pPr>
            <w:r>
              <w:rPr>
                <w:rFonts w:ascii="Times New Roman" w:eastAsia="宋体" w:hAnsi="Times New Roman"/>
                <w:b/>
                <w:bCs/>
                <w:color w:val="000000"/>
                <w:sz w:val="20"/>
                <w:szCs w:val="20"/>
              </w:rPr>
              <w:t>Controls and Procedures</w:t>
            </w:r>
          </w:p>
        </w:tc>
      </w:tr>
    </w:tbl>
    <w:p w14:paraId="7B671828" w14:textId="77777777" w:rsidR="0040300B" w:rsidRDefault="00BB2D44">
      <w:pPr>
        <w:spacing w:before="120"/>
        <w:jc w:val="both"/>
      </w:pPr>
      <w:r>
        <w:rPr>
          <w:rFonts w:ascii="Times New Roman" w:eastAsia="宋体" w:hAnsi="Times New Roman"/>
          <w:color w:val="000000"/>
          <w:sz w:val="20"/>
          <w:szCs w:val="20"/>
          <w:u w:val="single"/>
        </w:rPr>
        <w:t>Evaluation of disclosure controls and procedures.</w:t>
      </w:r>
      <w:r>
        <w:rPr>
          <w:rFonts w:ascii="Times New Roman" w:eastAsia="宋体" w:hAnsi="Times New Roman"/>
          <w:color w:val="00000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olor w:val="000000"/>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olor w:val="000000"/>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olor w:val="000000"/>
          <w:sz w:val="20"/>
          <w:szCs w:val="20"/>
        </w:rPr>
        <w:t>pal executive officer and principal financial officer, as appropriate to allow timely decisions regarding required disclosure.</w:t>
      </w:r>
    </w:p>
    <w:p w14:paraId="7B671829" w14:textId="77777777" w:rsidR="0040300B" w:rsidRDefault="00BB2D44">
      <w:pPr>
        <w:spacing w:before="120"/>
        <w:jc w:val="both"/>
      </w:pPr>
      <w:r>
        <w:rPr>
          <w:rFonts w:ascii="Times New Roman" w:eastAsia="宋体" w:hAnsi="Times New Roman"/>
          <w:color w:val="000000"/>
          <w:sz w:val="20"/>
          <w:szCs w:val="20"/>
          <w:u w:val="single"/>
        </w:rPr>
        <w:t>Changes in internal control over financial reporting.</w:t>
      </w:r>
      <w:r>
        <w:rPr>
          <w:rFonts w:ascii="Times New Roman" w:eastAsia="宋体" w:hAnsi="Times New Roman"/>
          <w:color w:val="000000"/>
          <w:sz w:val="20"/>
          <w:szCs w:val="20"/>
        </w:rPr>
        <w:t xml:space="preserve"> There was no change in our internal control over financial reporting (as de</w:t>
      </w:r>
      <w:r>
        <w:rPr>
          <w:rFonts w:ascii="Times New Roman" w:eastAsia="宋体" w:hAnsi="Times New Roman"/>
          <w:color w:val="000000"/>
          <w:sz w:val="20"/>
          <w:szCs w:val="20"/>
        </w:rPr>
        <w:t xml:space="preserve">fined in Rules 13a-15(f) and 15d-15(f) under the Exchange Act) during our third quarter of fiscal 2021 that has materially affected, or is reasonably likely to materially affect, our internal control over financial reporting. </w:t>
      </w:r>
    </w:p>
    <w:p w14:paraId="7B67182A" w14:textId="77777777" w:rsidR="0040300B" w:rsidRDefault="0040300B">
      <w:pPr>
        <w:spacing w:before="60"/>
        <w:jc w:val="both"/>
      </w:pPr>
    </w:p>
    <w:p w14:paraId="7B67182B" w14:textId="77777777" w:rsidR="0040300B" w:rsidRDefault="00BB2D44">
      <w:r>
        <w:rPr>
          <w:rFonts w:ascii="Times New Roman" w:eastAsia="宋体" w:hAnsi="Times New Roman"/>
          <w:b/>
          <w:bCs/>
          <w:color w:val="000000"/>
          <w:sz w:val="20"/>
          <w:szCs w:val="20"/>
        </w:rPr>
        <w:t>PART II. OTHER INFORMATION</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40300B" w14:paraId="7B671832" w14:textId="77777777">
        <w:tc>
          <w:tcPr>
            <w:tcW w:w="50" w:type="pct"/>
            <w:shd w:val="clear" w:color="auto" w:fill="auto"/>
          </w:tcPr>
          <w:p w14:paraId="7B67182C" w14:textId="77777777" w:rsidR="0040300B" w:rsidRDefault="0040300B">
            <w:pPr>
              <w:rPr>
                <w:rFonts w:ascii="宋体"/>
              </w:rPr>
            </w:pPr>
          </w:p>
        </w:tc>
        <w:tc>
          <w:tcPr>
            <w:tcW w:w="1747" w:type="pct"/>
            <w:shd w:val="clear" w:color="auto" w:fill="auto"/>
          </w:tcPr>
          <w:p w14:paraId="7B67182D" w14:textId="77777777" w:rsidR="0040300B" w:rsidRDefault="0040300B">
            <w:pPr>
              <w:rPr>
                <w:rFonts w:ascii="宋体"/>
              </w:rPr>
            </w:pPr>
          </w:p>
        </w:tc>
        <w:tc>
          <w:tcPr>
            <w:tcW w:w="5" w:type="pct"/>
            <w:shd w:val="clear" w:color="auto" w:fill="auto"/>
          </w:tcPr>
          <w:p w14:paraId="7B67182E" w14:textId="77777777" w:rsidR="0040300B" w:rsidRDefault="0040300B">
            <w:pPr>
              <w:rPr>
                <w:rFonts w:ascii="宋体"/>
              </w:rPr>
            </w:pPr>
          </w:p>
        </w:tc>
        <w:tc>
          <w:tcPr>
            <w:tcW w:w="50" w:type="pct"/>
            <w:shd w:val="clear" w:color="auto" w:fill="auto"/>
          </w:tcPr>
          <w:p w14:paraId="7B67182F" w14:textId="77777777" w:rsidR="0040300B" w:rsidRDefault="0040300B">
            <w:pPr>
              <w:rPr>
                <w:rFonts w:ascii="宋体"/>
              </w:rPr>
            </w:pPr>
          </w:p>
        </w:tc>
        <w:tc>
          <w:tcPr>
            <w:tcW w:w="3142" w:type="pct"/>
            <w:shd w:val="clear" w:color="auto" w:fill="auto"/>
          </w:tcPr>
          <w:p w14:paraId="7B671830" w14:textId="77777777" w:rsidR="0040300B" w:rsidRDefault="0040300B">
            <w:pPr>
              <w:rPr>
                <w:rFonts w:ascii="宋体"/>
              </w:rPr>
            </w:pPr>
          </w:p>
        </w:tc>
        <w:tc>
          <w:tcPr>
            <w:tcW w:w="5" w:type="pct"/>
            <w:shd w:val="clear" w:color="auto" w:fill="auto"/>
          </w:tcPr>
          <w:p w14:paraId="7B671831" w14:textId="77777777" w:rsidR="0040300B" w:rsidRDefault="0040300B">
            <w:pPr>
              <w:rPr>
                <w:rFonts w:ascii="宋体"/>
              </w:rPr>
            </w:pPr>
          </w:p>
        </w:tc>
      </w:tr>
      <w:tr w:rsidR="0040300B" w14:paraId="7B671835" w14:textId="77777777">
        <w:tc>
          <w:tcPr>
            <w:tcW w:w="0" w:type="auto"/>
            <w:gridSpan w:val="3"/>
            <w:shd w:val="clear" w:color="auto" w:fill="auto"/>
            <w:tcMar>
              <w:top w:w="40" w:type="dxa"/>
              <w:left w:w="20" w:type="dxa"/>
              <w:bottom w:w="40" w:type="dxa"/>
              <w:right w:w="20" w:type="dxa"/>
            </w:tcMar>
          </w:tcPr>
          <w:p w14:paraId="7B671833" w14:textId="77777777" w:rsidR="0040300B" w:rsidRDefault="00BB2D44">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7B671834" w14:textId="77777777" w:rsidR="0040300B" w:rsidRDefault="00BB2D44">
            <w:pPr>
              <w:textAlignment w:val="top"/>
            </w:pPr>
            <w:r>
              <w:rPr>
                <w:rFonts w:ascii="Times New Roman" w:eastAsia="宋体" w:hAnsi="Times New Roman"/>
                <w:b/>
                <w:bCs/>
                <w:color w:val="000000"/>
                <w:sz w:val="20"/>
                <w:szCs w:val="20"/>
              </w:rPr>
              <w:t>Legal Proceedings</w:t>
            </w:r>
          </w:p>
        </w:tc>
      </w:tr>
    </w:tbl>
    <w:p w14:paraId="7B671836" w14:textId="77777777" w:rsidR="0040300B" w:rsidRDefault="00BB2D44">
      <w:pPr>
        <w:spacing w:before="120"/>
      </w:pPr>
      <w:r>
        <w:rPr>
          <w:rFonts w:ascii="Times New Roman" w:eastAsia="宋体" w:hAnsi="Times New Roman"/>
          <w:color w:val="000000"/>
          <w:sz w:val="20"/>
          <w:szCs w:val="20"/>
        </w:rPr>
        <w:t>For a description of our material pending legal proceedings, see Note 14, “Commitments and Contingencies—(f) Legal Proceedings” in the Notes to Consolidated Financial Statements included in Item 1 of this Form 10-Q.</w:t>
      </w:r>
    </w:p>
    <w:p w14:paraId="7B671837" w14:textId="77777777" w:rsidR="0040300B" w:rsidRDefault="0040300B">
      <w:pPr>
        <w:spacing w:before="120"/>
        <w:jc w:val="both"/>
      </w:pPr>
    </w:p>
    <w:p w14:paraId="7B671838" w14:textId="77777777" w:rsidR="0040300B" w:rsidRDefault="0040300B">
      <w:pPr>
        <w:spacing w:before="120"/>
        <w:jc w:val="both"/>
      </w:pPr>
    </w:p>
    <w:p w14:paraId="7B671839" w14:textId="77777777" w:rsidR="0040300B" w:rsidRDefault="00BB2D44">
      <w:pPr>
        <w:jc w:val="center"/>
      </w:pPr>
      <w:r>
        <w:rPr>
          <w:rFonts w:ascii="Times New Roman" w:eastAsia="宋体" w:hAnsi="Times New Roman"/>
          <w:color w:val="000000"/>
          <w:sz w:val="20"/>
          <w:szCs w:val="20"/>
        </w:rPr>
        <w:t>68</w:t>
      </w:r>
    </w:p>
    <w:p w14:paraId="7B67183A" w14:textId="77777777" w:rsidR="0040300B" w:rsidRDefault="00BB2D44">
      <w:r>
        <w:pict w14:anchorId="7B671C54">
          <v:rect id="_x0000_i1092" style="width:415.3pt;height:1.5pt" o:hralign="center" o:hrstd="t" o:hr="t" fillcolor="#a0a0a0" stroked="f"/>
        </w:pict>
      </w:r>
    </w:p>
    <w:p w14:paraId="7B67183B" w14:textId="77777777" w:rsidR="0040300B" w:rsidRDefault="00BB2D44">
      <w:hyperlink r:id="rId114" w:anchor="i52d5b40dbad7426a9806a2fd5167029f_7" w:history="1">
        <w:r>
          <w:rPr>
            <w:rStyle w:val="a5"/>
            <w:rFonts w:ascii="Times New Roman" w:eastAsia="宋体" w:hAnsi="Times New Roman"/>
            <w:sz w:val="18"/>
            <w:szCs w:val="18"/>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40300B" w14:paraId="7B671842" w14:textId="77777777">
        <w:tc>
          <w:tcPr>
            <w:tcW w:w="50" w:type="pct"/>
            <w:shd w:val="clear" w:color="auto" w:fill="auto"/>
          </w:tcPr>
          <w:p w14:paraId="7B67183C" w14:textId="77777777" w:rsidR="0040300B" w:rsidRDefault="0040300B">
            <w:pPr>
              <w:rPr>
                <w:rFonts w:ascii="宋体"/>
              </w:rPr>
            </w:pPr>
          </w:p>
        </w:tc>
        <w:tc>
          <w:tcPr>
            <w:tcW w:w="1822" w:type="pct"/>
            <w:shd w:val="clear" w:color="auto" w:fill="auto"/>
          </w:tcPr>
          <w:p w14:paraId="7B67183D" w14:textId="77777777" w:rsidR="0040300B" w:rsidRDefault="0040300B">
            <w:pPr>
              <w:rPr>
                <w:rFonts w:ascii="宋体"/>
              </w:rPr>
            </w:pPr>
          </w:p>
        </w:tc>
        <w:tc>
          <w:tcPr>
            <w:tcW w:w="5" w:type="pct"/>
            <w:shd w:val="clear" w:color="auto" w:fill="auto"/>
          </w:tcPr>
          <w:p w14:paraId="7B67183E" w14:textId="77777777" w:rsidR="0040300B" w:rsidRDefault="0040300B">
            <w:pPr>
              <w:rPr>
                <w:rFonts w:ascii="宋体"/>
              </w:rPr>
            </w:pPr>
          </w:p>
        </w:tc>
        <w:tc>
          <w:tcPr>
            <w:tcW w:w="50" w:type="pct"/>
            <w:shd w:val="clear" w:color="auto" w:fill="auto"/>
          </w:tcPr>
          <w:p w14:paraId="7B67183F" w14:textId="77777777" w:rsidR="0040300B" w:rsidRDefault="0040300B">
            <w:pPr>
              <w:rPr>
                <w:rFonts w:ascii="宋体"/>
              </w:rPr>
            </w:pPr>
          </w:p>
        </w:tc>
        <w:tc>
          <w:tcPr>
            <w:tcW w:w="3067" w:type="pct"/>
            <w:shd w:val="clear" w:color="auto" w:fill="auto"/>
          </w:tcPr>
          <w:p w14:paraId="7B671840" w14:textId="77777777" w:rsidR="0040300B" w:rsidRDefault="0040300B">
            <w:pPr>
              <w:rPr>
                <w:rFonts w:ascii="宋体"/>
              </w:rPr>
            </w:pPr>
          </w:p>
        </w:tc>
        <w:tc>
          <w:tcPr>
            <w:tcW w:w="5" w:type="pct"/>
            <w:shd w:val="clear" w:color="auto" w:fill="auto"/>
          </w:tcPr>
          <w:p w14:paraId="7B671841" w14:textId="77777777" w:rsidR="0040300B" w:rsidRDefault="0040300B">
            <w:pPr>
              <w:rPr>
                <w:rFonts w:ascii="宋体"/>
              </w:rPr>
            </w:pPr>
          </w:p>
        </w:tc>
      </w:tr>
      <w:tr w:rsidR="0040300B" w14:paraId="7B671845" w14:textId="77777777">
        <w:tc>
          <w:tcPr>
            <w:tcW w:w="0" w:type="auto"/>
            <w:gridSpan w:val="3"/>
            <w:shd w:val="clear" w:color="auto" w:fill="auto"/>
            <w:tcMar>
              <w:top w:w="40" w:type="dxa"/>
              <w:left w:w="20" w:type="dxa"/>
              <w:bottom w:w="40" w:type="dxa"/>
              <w:right w:w="20" w:type="dxa"/>
            </w:tcMar>
          </w:tcPr>
          <w:p w14:paraId="7B671843" w14:textId="77777777" w:rsidR="0040300B" w:rsidRDefault="00BB2D44">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7B671844" w14:textId="77777777" w:rsidR="0040300B" w:rsidRDefault="00BB2D44">
            <w:pPr>
              <w:textAlignment w:val="top"/>
            </w:pPr>
            <w:r>
              <w:rPr>
                <w:rFonts w:ascii="Times New Roman" w:eastAsia="宋体" w:hAnsi="Times New Roman"/>
                <w:b/>
                <w:bCs/>
                <w:color w:val="000000"/>
                <w:sz w:val="20"/>
                <w:szCs w:val="20"/>
              </w:rPr>
              <w:t>Risk Factors</w:t>
            </w:r>
          </w:p>
        </w:tc>
      </w:tr>
    </w:tbl>
    <w:p w14:paraId="7B671846" w14:textId="77777777" w:rsidR="0040300B" w:rsidRDefault="00BB2D44">
      <w:pPr>
        <w:spacing w:before="1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 The descriptions below i</w:t>
      </w:r>
      <w:r>
        <w:rPr>
          <w:rFonts w:ascii="Times New Roman" w:eastAsia="宋体" w:hAnsi="Times New Roman"/>
          <w:color w:val="000000"/>
          <w:sz w:val="20"/>
          <w:szCs w:val="20"/>
        </w:rPr>
        <w:t>nclude any material changes to and supersede the description of the risk factors affecting our business previously disclosed in “Part I, Item 1A. Risk Factors” of our Annual Report on Form 10-K for the fiscal year ended July 25, 2020.</w:t>
      </w:r>
    </w:p>
    <w:p w14:paraId="7B671847" w14:textId="77777777" w:rsidR="0040300B" w:rsidRDefault="00BB2D44">
      <w:pPr>
        <w:spacing w:before="120"/>
        <w:jc w:val="both"/>
      </w:pPr>
      <w:r>
        <w:rPr>
          <w:rFonts w:ascii="Times New Roman" w:eastAsia="宋体" w:hAnsi="Times New Roman"/>
          <w:b/>
          <w:bCs/>
          <w:color w:val="000000"/>
          <w:sz w:val="20"/>
          <w:szCs w:val="20"/>
          <w:u w:val="single"/>
        </w:rPr>
        <w:t xml:space="preserve">Risks Related to our </w:t>
      </w:r>
      <w:r>
        <w:rPr>
          <w:rFonts w:ascii="Times New Roman" w:eastAsia="宋体" w:hAnsi="Times New Roman"/>
          <w:b/>
          <w:bCs/>
          <w:color w:val="000000"/>
          <w:sz w:val="20"/>
          <w:szCs w:val="20"/>
          <w:u w:val="single"/>
        </w:rPr>
        <w:t>Business and Industry</w:t>
      </w:r>
    </w:p>
    <w:p w14:paraId="7B671848" w14:textId="77777777" w:rsidR="0040300B" w:rsidRDefault="00BB2D44">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7B671849" w14:textId="77777777" w:rsidR="0040300B" w:rsidRDefault="00BB2D44">
      <w:pPr>
        <w:spacing w:before="120"/>
        <w:jc w:val="both"/>
      </w:pPr>
      <w:r>
        <w:rPr>
          <w:rFonts w:ascii="Times New Roman" w:eastAsia="宋体" w:hAnsi="Times New Roman"/>
          <w:color w:val="000000"/>
          <w:sz w:val="20"/>
          <w:szCs w:val="20"/>
        </w:rPr>
        <w:t xml:space="preserve">The COVID-19 pandemic and the resulting containment </w:t>
      </w:r>
      <w:r>
        <w:rPr>
          <w:rFonts w:ascii="Times New Roman" w:eastAsia="宋体" w:hAnsi="Times New Roman"/>
          <w:color w:val="000000"/>
          <w:sz w:val="20"/>
          <w:szCs w:val="20"/>
        </w:rPr>
        <w:t>measures have caused economic and financial disruptions globally, including in most of the regions in which we sell our products and services and conduct our business operations. In the second half of fiscal 2020, the COVID-19 pandemic had an impact on our</w:t>
      </w:r>
      <w:r>
        <w:rPr>
          <w:rFonts w:ascii="Times New Roman" w:eastAsia="宋体" w:hAnsi="Times New Roman"/>
          <w:color w:val="000000"/>
          <w:sz w:val="20"/>
          <w:szCs w:val="20"/>
        </w:rPr>
        <w:t xml:space="preserve"> financial results and business operations, with a significant impact in the third quarter of fiscal 2020 on our supply chain where we saw manufacturing challenges and component constraints. The magnitude and duration of the disruption, its continuing impa</w:t>
      </w:r>
      <w:r>
        <w:rPr>
          <w:rFonts w:ascii="Times New Roman" w:eastAsia="宋体" w:hAnsi="Times New Roman"/>
          <w:color w:val="000000"/>
          <w:sz w:val="20"/>
          <w:szCs w:val="20"/>
        </w:rPr>
        <w:t>ct on us, and resulting decline in global business activity is uncertain. These disruptions include the unprecedented actions taken to try to contain the pandemic such as travel bans and restrictions, business closures, and social distancing measures, such</w:t>
      </w:r>
      <w:r>
        <w:rPr>
          <w:rFonts w:ascii="Times New Roman" w:eastAsia="宋体" w:hAnsi="Times New Roman"/>
          <w:color w:val="000000"/>
          <w:sz w:val="20"/>
          <w:szCs w:val="20"/>
        </w:rPr>
        <w:t xml:space="preserve"> as quarantines and shelter-in-place orders.</w:t>
      </w:r>
    </w:p>
    <w:p w14:paraId="7B67184A" w14:textId="77777777" w:rsidR="0040300B" w:rsidRDefault="00BB2D44">
      <w:pPr>
        <w:spacing w:before="120"/>
        <w:jc w:val="both"/>
      </w:pPr>
      <w:r>
        <w:rPr>
          <w:rFonts w:ascii="Times New Roman" w:eastAsia="宋体" w:hAnsi="Times New Roman"/>
          <w:color w:val="000000"/>
          <w:sz w:val="20"/>
          <w:szCs w:val="20"/>
        </w:rPr>
        <w:t xml:space="preserve">The COVID-19 pandemic and the responsive measures taken in many countries have adversely affected and could in the future materially adversely affect our business, results of operations and financial condition. </w:t>
      </w:r>
      <w:r>
        <w:rPr>
          <w:rFonts w:ascii="Times New Roman" w:eastAsia="宋体" w:hAnsi="Times New Roman"/>
          <w:color w:val="000000"/>
          <w:sz w:val="20"/>
          <w:szCs w:val="20"/>
        </w:rPr>
        <w:t>Shelter-in-place orders and other measures, including work-from-home and other policies implemented to protect workers, has and could in the future impact our supply chain. Such disruptions may continue, or worsen, in the future. In addition, current and f</w:t>
      </w:r>
      <w:r>
        <w:rPr>
          <w:rFonts w:ascii="Times New Roman" w:eastAsia="宋体" w:hAnsi="Times New Roman"/>
          <w:color w:val="000000"/>
          <w:sz w:val="20"/>
          <w:szCs w:val="20"/>
        </w:rPr>
        <w:t xml:space="preserve">uture restrictions or disruptions of transportation, such as reduced availability of air transport, port closures, and increased border controls or closures, can also impact our ability to meet customer demand and could materially adversely affect us. Our </w:t>
      </w:r>
      <w:r>
        <w:rPr>
          <w:rFonts w:ascii="Times New Roman" w:eastAsia="宋体" w:hAnsi="Times New Roman"/>
          <w:color w:val="000000"/>
          <w:sz w:val="20"/>
          <w:szCs w:val="20"/>
        </w:rPr>
        <w:t>customers have also experienced, and may continue to experience, disruptions in their operations, which can result in delayed, reduced, or canceled orders, and increased collection risks, and which may adversely affect our results of operations. The COVID-</w:t>
      </w:r>
      <w:r>
        <w:rPr>
          <w:rFonts w:ascii="Times New Roman" w:eastAsia="宋体" w:hAnsi="Times New Roman"/>
          <w:color w:val="000000"/>
          <w:sz w:val="20"/>
          <w:szCs w:val="20"/>
        </w:rPr>
        <w:t xml:space="preserve">19 pandemic may also result in long-term changes in customer needs for our products and services in various sectors, along with IT-related capital spending reductions, or shifts in spending focus, that could materially adversely affect us if we are unable </w:t>
      </w:r>
      <w:r>
        <w:rPr>
          <w:rFonts w:ascii="Times New Roman" w:eastAsia="宋体" w:hAnsi="Times New Roman"/>
          <w:color w:val="000000"/>
          <w:sz w:val="20"/>
          <w:szCs w:val="20"/>
        </w:rPr>
        <w:t>to adjust our product and service offerings to match customer needs.</w:t>
      </w:r>
    </w:p>
    <w:p w14:paraId="7B67184B" w14:textId="77777777" w:rsidR="0040300B" w:rsidRDefault="00BB2D44">
      <w:pPr>
        <w:spacing w:before="120"/>
        <w:jc w:val="both"/>
      </w:pPr>
      <w:r>
        <w:rPr>
          <w:rFonts w:ascii="Times New Roman" w:eastAsia="宋体" w:hAnsi="Times New Roman"/>
          <w:color w:val="000000"/>
          <w:sz w:val="20"/>
          <w:szCs w:val="20"/>
        </w:rPr>
        <w:t>The recent shift to a remote working environment also creates challenges. For example, governmental lockdowns, restrictions or new regulations has and could in the future impact the abili</w:t>
      </w:r>
      <w:r>
        <w:rPr>
          <w:rFonts w:ascii="Times New Roman" w:eastAsia="宋体" w:hAnsi="Times New Roman"/>
          <w:color w:val="000000"/>
          <w:sz w:val="20"/>
          <w:szCs w:val="20"/>
        </w:rPr>
        <w:t>ty of our employees and vendors to work with the same speed and productivity in certain areas, even as other areas do not see negative impact. The extent and/or duration of ongoing workforce restrictions and limitations could impact our ability to enhance,</w:t>
      </w:r>
      <w:r>
        <w:rPr>
          <w:rFonts w:ascii="Times New Roman" w:eastAsia="宋体" w:hAnsi="Times New Roman"/>
          <w:color w:val="000000"/>
          <w:sz w:val="20"/>
          <w:szCs w:val="20"/>
        </w:rPr>
        <w:t xml:space="preserve"> develop and support existing products and services, and hold product sales and marketing events to the extent we were able to previously. In addition, malefactors are seeking to use the COVID-19 pandemic to launch new cyber-attacks. The COVID-19 pandemic </w:t>
      </w:r>
      <w:r>
        <w:rPr>
          <w:rFonts w:ascii="Times New Roman" w:eastAsia="宋体" w:hAnsi="Times New Roman"/>
          <w:color w:val="000000"/>
          <w:sz w:val="20"/>
          <w:szCs w:val="20"/>
        </w:rPr>
        <w:t>has also led to increased disruption and volatility in capital markets and credit markets. The pandemic and resulting economic uncertainty could adversely affect our liquidity and capital resources in the future. The inputs into certain of our judgments, a</w:t>
      </w:r>
      <w:r>
        <w:rPr>
          <w:rFonts w:ascii="Times New Roman" w:eastAsia="宋体" w:hAnsi="Times New Roman"/>
          <w:color w:val="000000"/>
          <w:sz w:val="20"/>
          <w:szCs w:val="20"/>
        </w:rPr>
        <w:t>ssumptions, and estimates considered the economic implications of the COVID-19 pandemic on our critical and significant accounting estimates. The actual results that we experience may differ materially from our estimates. As the COVID-19 pandemic continues</w:t>
      </w:r>
      <w:r>
        <w:rPr>
          <w:rFonts w:ascii="Times New Roman" w:eastAsia="宋体" w:hAnsi="Times New Roman"/>
          <w:color w:val="000000"/>
          <w:sz w:val="20"/>
          <w:szCs w:val="20"/>
        </w:rPr>
        <w:t xml:space="preserve"> to develop, many of our estimates could require increased judgment and carry a higher degree of variability and volatility. As events continue to evolve our estimates may change materially in future periods. </w:t>
      </w:r>
    </w:p>
    <w:p w14:paraId="7B67184C" w14:textId="77777777" w:rsidR="0040300B" w:rsidRDefault="00BB2D44">
      <w:pPr>
        <w:spacing w:before="120"/>
        <w:jc w:val="both"/>
      </w:pPr>
      <w:r>
        <w:rPr>
          <w:rFonts w:ascii="Times New Roman" w:eastAsia="宋体" w:hAnsi="Times New Roman"/>
          <w:color w:val="000000"/>
          <w:sz w:val="20"/>
          <w:szCs w:val="20"/>
        </w:rPr>
        <w:t xml:space="preserve">We are continuing to monitor the pandemic and </w:t>
      </w:r>
      <w:r>
        <w:rPr>
          <w:rFonts w:ascii="Times New Roman" w:eastAsia="宋体" w:hAnsi="Times New Roman"/>
          <w:color w:val="000000"/>
          <w:sz w:val="20"/>
          <w:szCs w:val="20"/>
        </w:rPr>
        <w:t xml:space="preserve">take appropriate actions in accordance with the recommendations and requirements of relevant authorities. The extent of the impact of the COVID-19 pandemic on our operational and financial performance is currently uncertain and will depend on many factors </w:t>
      </w:r>
      <w:r>
        <w:rPr>
          <w:rFonts w:ascii="Times New Roman" w:eastAsia="宋体" w:hAnsi="Times New Roman"/>
          <w:color w:val="000000"/>
          <w:sz w:val="20"/>
          <w:szCs w:val="20"/>
        </w:rPr>
        <w:t>outside our control, including, without limitation, the timing, extent, trajectory and duration of the pandemic, the development and availability of effective treatments and vaccines, the imposition of protective public safety measures, and the impact of t</w:t>
      </w:r>
      <w:r>
        <w:rPr>
          <w:rFonts w:ascii="Times New Roman" w:eastAsia="宋体" w:hAnsi="Times New Roman"/>
          <w:color w:val="000000"/>
          <w:sz w:val="20"/>
          <w:szCs w:val="20"/>
        </w:rPr>
        <w:t xml:space="preserve">he pandemic on the global economy. Potential negative impacts of these external factors include, but are not limited to, material adverse effects on demand for our products and services; our supply chain and sales and distribution channels; collectability </w:t>
      </w:r>
      <w:r>
        <w:rPr>
          <w:rFonts w:ascii="Times New Roman" w:eastAsia="宋体" w:hAnsi="Times New Roman"/>
          <w:color w:val="000000"/>
          <w:sz w:val="20"/>
          <w:szCs w:val="20"/>
        </w:rPr>
        <w:t>of customer accounts; our ability to execute strategic plans; impairments; and our profitability and cost structure. To the extent the COVID-19 pandemic adversely affects our business, results of operations and financial condition, it may also have the eff</w:t>
      </w:r>
      <w:r>
        <w:rPr>
          <w:rFonts w:ascii="Times New Roman" w:eastAsia="宋体" w:hAnsi="Times New Roman"/>
          <w:color w:val="000000"/>
          <w:sz w:val="20"/>
          <w:szCs w:val="20"/>
        </w:rPr>
        <w:t>ect of exacerbating the other risks discussed in this “Risk Factors” section.</w:t>
      </w:r>
    </w:p>
    <w:p w14:paraId="7B67184D" w14:textId="77777777" w:rsidR="0040300B" w:rsidRDefault="0040300B">
      <w:pPr>
        <w:spacing w:before="120"/>
        <w:jc w:val="both"/>
      </w:pPr>
    </w:p>
    <w:p w14:paraId="7B67184E" w14:textId="77777777" w:rsidR="0040300B" w:rsidRDefault="00BB2D44">
      <w:pPr>
        <w:jc w:val="center"/>
      </w:pPr>
      <w:r>
        <w:rPr>
          <w:rFonts w:ascii="Times New Roman" w:eastAsia="宋体" w:hAnsi="Times New Roman"/>
          <w:color w:val="000000"/>
          <w:sz w:val="20"/>
          <w:szCs w:val="20"/>
        </w:rPr>
        <w:t>69</w:t>
      </w:r>
    </w:p>
    <w:p w14:paraId="7B67184F" w14:textId="77777777" w:rsidR="0040300B" w:rsidRDefault="00BB2D44">
      <w:r>
        <w:pict w14:anchorId="7B671C55">
          <v:rect id="_x0000_i1093" style="width:415.3pt;height:1.5pt" o:hralign="center" o:hrstd="t" o:hr="t" fillcolor="#a0a0a0" stroked="f"/>
        </w:pict>
      </w:r>
    </w:p>
    <w:p w14:paraId="7B671850" w14:textId="77777777" w:rsidR="0040300B" w:rsidRDefault="00BB2D44">
      <w:hyperlink r:id="rId115" w:anchor="i52d5b40dbad7426a9806a2fd5167029f_7" w:history="1">
        <w:r>
          <w:rPr>
            <w:rStyle w:val="a5"/>
            <w:rFonts w:ascii="Times New Roman" w:eastAsia="宋体" w:hAnsi="Times New Roman"/>
            <w:sz w:val="18"/>
            <w:szCs w:val="18"/>
          </w:rPr>
          <w:t>Table of Contents</w:t>
        </w:r>
      </w:hyperlink>
    </w:p>
    <w:p w14:paraId="7B671851" w14:textId="77777777" w:rsidR="0040300B" w:rsidRDefault="00BB2D44">
      <w:pPr>
        <w:spacing w:before="120"/>
        <w:jc w:val="both"/>
      </w:pPr>
      <w:r>
        <w:rPr>
          <w:rFonts w:ascii="Times New Roman" w:eastAsia="宋体" w:hAnsi="Times New Roman"/>
          <w:b/>
          <w:bCs/>
          <w:i/>
          <w:iCs/>
          <w:color w:val="000000"/>
          <w:sz w:val="20"/>
          <w:szCs w:val="20"/>
        </w:rPr>
        <w:t>Our o</w:t>
      </w:r>
      <w:r>
        <w:rPr>
          <w:rFonts w:ascii="Times New Roman" w:eastAsia="宋体" w:hAnsi="Times New Roman"/>
          <w:b/>
          <w:bCs/>
          <w:i/>
          <w:iCs/>
          <w:color w:val="000000"/>
          <w:sz w:val="20"/>
          <w:szCs w:val="20"/>
        </w:rPr>
        <w:t>perating results may fluctuate in future periods, which may adversely affect our stock price.</w:t>
      </w:r>
      <w:r>
        <w:rPr>
          <w:rFonts w:ascii="Times New Roman" w:eastAsia="宋体" w:hAnsi="Times New Roman"/>
          <w:b/>
          <w:bCs/>
          <w:color w:val="000000"/>
          <w:sz w:val="20"/>
          <w:szCs w:val="20"/>
        </w:rPr>
        <w:t xml:space="preserve"> </w:t>
      </w:r>
    </w:p>
    <w:p w14:paraId="7B671852" w14:textId="77777777" w:rsidR="0040300B" w:rsidRDefault="00BB2D44">
      <w:pPr>
        <w:spacing w:before="120"/>
        <w:jc w:val="both"/>
      </w:pPr>
      <w:r>
        <w:rPr>
          <w:rFonts w:ascii="Times New Roman" w:eastAsia="宋体" w:hAnsi="Times New Roman"/>
          <w:color w:val="000000"/>
          <w:sz w:val="20"/>
          <w:szCs w:val="20"/>
        </w:rPr>
        <w:t>Our operating results have been in the past, and will continue to be, subject to quarterly and annual fluctuations as a result of numerous factors, some of which</w:t>
      </w:r>
      <w:r>
        <w:rPr>
          <w:rFonts w:ascii="Times New Roman" w:eastAsia="宋体" w:hAnsi="Times New Roman"/>
          <w:color w:val="000000"/>
          <w:sz w:val="20"/>
          <w:szCs w:val="20"/>
        </w:rPr>
        <w:t xml:space="preserve"> may contribute to more pronounced fluctuations in an uncertain global economic environment. These factors include: </w:t>
      </w:r>
    </w:p>
    <w:p w14:paraId="7B671853" w14:textId="77777777" w:rsidR="0040300B" w:rsidRDefault="00BB2D44">
      <w:pPr>
        <w:spacing w:before="120"/>
        <w:ind w:hanging="360"/>
        <w:jc w:val="both"/>
      </w:pPr>
      <w:r>
        <w:rPr>
          <w:rFonts w:ascii="Times New Roman" w:eastAsia="宋体" w:hAnsi="Times New Roman"/>
          <w:color w:val="000000"/>
          <w:sz w:val="20"/>
          <w:szCs w:val="20"/>
        </w:rPr>
        <w:t>•Fluctuations in demand for our products and services, especially with respect to service providers and Internet businesses, in part due to</w:t>
      </w:r>
      <w:r>
        <w:rPr>
          <w:rFonts w:ascii="Times New Roman" w:eastAsia="宋体" w:hAnsi="Times New Roman"/>
          <w:color w:val="000000"/>
          <w:sz w:val="20"/>
          <w:szCs w:val="20"/>
        </w:rPr>
        <w:t xml:space="preserve"> changes in the global economic environment</w:t>
      </w:r>
    </w:p>
    <w:p w14:paraId="7B671854" w14:textId="77777777" w:rsidR="0040300B" w:rsidRDefault="00BB2D44">
      <w:pPr>
        <w:spacing w:before="60"/>
        <w:ind w:hanging="360"/>
        <w:jc w:val="both"/>
      </w:pPr>
      <w:r>
        <w:rPr>
          <w:rFonts w:ascii="Times New Roman" w:eastAsia="宋体" w:hAnsi="Times New Roman"/>
          <w:color w:val="000000"/>
          <w:sz w:val="20"/>
          <w:szCs w:val="20"/>
        </w:rPr>
        <w:t>•Changes in sales and implementation cycles for our products and reduced visibility into our customers’ spending plans and associated revenue</w:t>
      </w:r>
    </w:p>
    <w:p w14:paraId="7B671855" w14:textId="77777777" w:rsidR="0040300B" w:rsidRDefault="00BB2D44">
      <w:pPr>
        <w:spacing w:before="60"/>
        <w:ind w:hanging="360"/>
        <w:jc w:val="both"/>
      </w:pPr>
      <w:r>
        <w:rPr>
          <w:rFonts w:ascii="Times New Roman" w:eastAsia="宋体" w:hAnsi="Times New Roman"/>
          <w:color w:val="000000"/>
          <w:sz w:val="20"/>
          <w:szCs w:val="20"/>
        </w:rPr>
        <w:t>•Our ability to maintain appropriate inventory levels and purchase com</w:t>
      </w:r>
      <w:r>
        <w:rPr>
          <w:rFonts w:ascii="Times New Roman" w:eastAsia="宋体" w:hAnsi="Times New Roman"/>
          <w:color w:val="000000"/>
          <w:sz w:val="20"/>
          <w:szCs w:val="20"/>
        </w:rPr>
        <w:t>mitments</w:t>
      </w:r>
    </w:p>
    <w:p w14:paraId="7B671856" w14:textId="77777777" w:rsidR="0040300B" w:rsidRDefault="00BB2D44">
      <w:pPr>
        <w:spacing w:before="60"/>
        <w:ind w:hanging="360"/>
        <w:jc w:val="both"/>
      </w:pPr>
      <w:r>
        <w:rPr>
          <w:rFonts w:ascii="Times New Roman" w:eastAsia="宋体" w:hAnsi="Times New Roman"/>
          <w:color w:val="000000"/>
          <w:sz w:val="20"/>
          <w:szCs w:val="20"/>
        </w:rPr>
        <w:t>•Price and product competition in the communications and networking industries, which can change rapidly due to technological innovation and different business models from various geographic regions</w:t>
      </w:r>
    </w:p>
    <w:p w14:paraId="7B671857" w14:textId="77777777" w:rsidR="0040300B" w:rsidRDefault="00BB2D44">
      <w:pPr>
        <w:spacing w:before="60"/>
        <w:ind w:hanging="360"/>
        <w:jc w:val="both"/>
      </w:pPr>
      <w:r>
        <w:rPr>
          <w:rFonts w:ascii="Times New Roman" w:eastAsia="宋体" w:hAnsi="Times New Roman"/>
          <w:color w:val="000000"/>
          <w:sz w:val="20"/>
          <w:szCs w:val="20"/>
        </w:rPr>
        <w:t xml:space="preserve">•The overall movement toward industry </w:t>
      </w:r>
      <w:r>
        <w:rPr>
          <w:rFonts w:ascii="Times New Roman" w:eastAsia="宋体" w:hAnsi="Times New Roman"/>
          <w:color w:val="000000"/>
          <w:sz w:val="20"/>
          <w:szCs w:val="20"/>
        </w:rPr>
        <w:t>consolidation among both our competitors and our customers</w:t>
      </w:r>
    </w:p>
    <w:p w14:paraId="7B671858" w14:textId="77777777" w:rsidR="0040300B" w:rsidRDefault="00BB2D44">
      <w:pPr>
        <w:spacing w:before="60"/>
        <w:ind w:hanging="360"/>
        <w:jc w:val="both"/>
      </w:pPr>
      <w:r>
        <w:rPr>
          <w:rFonts w:ascii="Times New Roman" w:eastAsia="宋体" w:hAnsi="Times New Roman"/>
          <w:color w:val="000000"/>
          <w:sz w:val="20"/>
          <w:szCs w:val="20"/>
        </w:rPr>
        <w:t>•The introduction and market acceptance of new technologies and products, and our success in new and evolving markets, and in emerging technologies, as well as the adoption of new standards</w:t>
      </w:r>
    </w:p>
    <w:p w14:paraId="7B671859" w14:textId="77777777" w:rsidR="0040300B" w:rsidRDefault="00BB2D44">
      <w:pPr>
        <w:spacing w:before="60"/>
        <w:ind w:hanging="360"/>
        <w:jc w:val="both"/>
      </w:pPr>
      <w:r>
        <w:rPr>
          <w:rFonts w:ascii="Times New Roman" w:eastAsia="宋体" w:hAnsi="Times New Roman"/>
          <w:color w:val="000000"/>
          <w:sz w:val="20"/>
          <w:szCs w:val="20"/>
        </w:rPr>
        <w:t>•The tr</w:t>
      </w:r>
      <w:r>
        <w:rPr>
          <w:rFonts w:ascii="Times New Roman" w:eastAsia="宋体" w:hAnsi="Times New Roman"/>
          <w:color w:val="000000"/>
          <w:sz w:val="20"/>
          <w:szCs w:val="20"/>
        </w:rPr>
        <w:t>ansformation of our business to deliver more software and subscription offerings where revenue is recognized over time</w:t>
      </w:r>
    </w:p>
    <w:p w14:paraId="7B67185A" w14:textId="77777777" w:rsidR="0040300B" w:rsidRDefault="00BB2D44">
      <w:pPr>
        <w:spacing w:before="60"/>
        <w:ind w:hanging="360"/>
        <w:jc w:val="both"/>
      </w:pPr>
      <w:r>
        <w:rPr>
          <w:rFonts w:ascii="Times New Roman" w:eastAsia="宋体" w:hAnsi="Times New Roman"/>
          <w:color w:val="000000"/>
          <w:sz w:val="20"/>
          <w:szCs w:val="20"/>
        </w:rPr>
        <w:t>•Variations in sales channels, product costs, mix of products sold, or mix of direct sales and indirect sales</w:t>
      </w:r>
    </w:p>
    <w:p w14:paraId="7B67185B" w14:textId="77777777" w:rsidR="0040300B" w:rsidRDefault="00BB2D44">
      <w:pPr>
        <w:spacing w:before="60"/>
        <w:ind w:hanging="360"/>
        <w:jc w:val="both"/>
      </w:pPr>
      <w:r>
        <w:rPr>
          <w:rFonts w:ascii="Times New Roman" w:eastAsia="宋体" w:hAnsi="Times New Roman"/>
          <w:color w:val="000000"/>
          <w:sz w:val="20"/>
          <w:szCs w:val="20"/>
        </w:rPr>
        <w:t xml:space="preserve">•The timing, size, and mix </w:t>
      </w:r>
      <w:r>
        <w:rPr>
          <w:rFonts w:ascii="Times New Roman" w:eastAsia="宋体" w:hAnsi="Times New Roman"/>
          <w:color w:val="000000"/>
          <w:sz w:val="20"/>
          <w:szCs w:val="20"/>
        </w:rPr>
        <w:t>of orders from customers</w:t>
      </w:r>
    </w:p>
    <w:p w14:paraId="7B67185C" w14:textId="77777777" w:rsidR="0040300B" w:rsidRDefault="00BB2D44">
      <w:pPr>
        <w:spacing w:before="60"/>
        <w:ind w:hanging="360"/>
        <w:jc w:val="both"/>
      </w:pPr>
      <w:r>
        <w:rPr>
          <w:rFonts w:ascii="Times New Roman" w:eastAsia="宋体" w:hAnsi="Times New Roman"/>
          <w:color w:val="000000"/>
          <w:sz w:val="20"/>
          <w:szCs w:val="20"/>
        </w:rPr>
        <w:t>•Manufacturing and customer lead times</w:t>
      </w:r>
    </w:p>
    <w:p w14:paraId="7B67185D" w14:textId="77777777" w:rsidR="0040300B" w:rsidRDefault="00BB2D44">
      <w:pPr>
        <w:spacing w:before="60"/>
        <w:ind w:hanging="360"/>
        <w:jc w:val="both"/>
      </w:pPr>
      <w:r>
        <w:rPr>
          <w:rFonts w:ascii="Times New Roman" w:eastAsia="宋体" w:hAnsi="Times New Roman"/>
          <w:color w:val="000000"/>
          <w:sz w:val="20"/>
          <w:szCs w:val="20"/>
        </w:rPr>
        <w:t>•Fluctuations in our gross margins, and the factors that contribute to such fluctuations</w:t>
      </w:r>
    </w:p>
    <w:p w14:paraId="7B67185E" w14:textId="77777777" w:rsidR="0040300B" w:rsidRDefault="00BB2D44">
      <w:pPr>
        <w:spacing w:before="60"/>
        <w:ind w:hanging="360"/>
        <w:jc w:val="both"/>
      </w:pPr>
      <w:r>
        <w:rPr>
          <w:rFonts w:ascii="Times New Roman" w:eastAsia="宋体" w:hAnsi="Times New Roman"/>
          <w:color w:val="000000"/>
          <w:sz w:val="20"/>
          <w:szCs w:val="20"/>
        </w:rPr>
        <w:t xml:space="preserve">•The ability of our customers, channel partners, contract manufacturers and suppliers to obtain </w:t>
      </w:r>
      <w:r>
        <w:rPr>
          <w:rFonts w:ascii="Times New Roman" w:eastAsia="宋体" w:hAnsi="Times New Roman"/>
          <w:color w:val="000000"/>
          <w:sz w:val="20"/>
          <w:szCs w:val="20"/>
        </w:rPr>
        <w:t>financing or to fund capital expenditures, especially during a period of global credit market disruption or in the event of customer, channel partner, contract manufacturer or supplier financial problems</w:t>
      </w:r>
    </w:p>
    <w:p w14:paraId="7B67185F" w14:textId="77777777" w:rsidR="0040300B" w:rsidRDefault="00BB2D44">
      <w:pPr>
        <w:spacing w:before="60"/>
        <w:ind w:hanging="360"/>
        <w:jc w:val="both"/>
      </w:pPr>
      <w:r>
        <w:rPr>
          <w:rFonts w:ascii="Times New Roman" w:eastAsia="宋体" w:hAnsi="Times New Roman"/>
          <w:color w:val="000000"/>
          <w:sz w:val="20"/>
          <w:szCs w:val="20"/>
        </w:rPr>
        <w:t>•Actual events, circumstances, outcomes, and amounts</w:t>
      </w:r>
      <w:r>
        <w:rPr>
          <w:rFonts w:ascii="Times New Roman" w:eastAsia="宋体" w:hAnsi="Times New Roman"/>
          <w:color w:val="000000"/>
          <w:sz w:val="20"/>
          <w:szCs w:val="20"/>
        </w:rPr>
        <w:t xml:space="preserve"> differing from judgments, assumptions, and estimates used in determining the values of certain assets (including the amounts of related valuation allowances), liabilities, and other items reflected in our Consolidated Financial Statements</w:t>
      </w:r>
    </w:p>
    <w:p w14:paraId="7B671860" w14:textId="77777777" w:rsidR="0040300B" w:rsidRDefault="00BB2D44">
      <w:pPr>
        <w:spacing w:before="60"/>
        <w:ind w:hanging="360"/>
        <w:jc w:val="both"/>
      </w:pPr>
      <w:r>
        <w:rPr>
          <w:rFonts w:ascii="Times New Roman" w:eastAsia="宋体" w:hAnsi="Times New Roman"/>
          <w:color w:val="000000"/>
          <w:sz w:val="20"/>
          <w:szCs w:val="20"/>
        </w:rPr>
        <w:t>•How well we exe</w:t>
      </w:r>
      <w:r>
        <w:rPr>
          <w:rFonts w:ascii="Times New Roman" w:eastAsia="宋体" w:hAnsi="Times New Roman"/>
          <w:color w:val="000000"/>
          <w:sz w:val="20"/>
          <w:szCs w:val="20"/>
        </w:rPr>
        <w:t>cute on our strategy and operating plans and the impact of changes in our business model that could result in significant restructuring charges</w:t>
      </w:r>
    </w:p>
    <w:p w14:paraId="7B671861" w14:textId="77777777" w:rsidR="0040300B" w:rsidRDefault="00BB2D44">
      <w:pPr>
        <w:spacing w:before="60"/>
        <w:ind w:hanging="360"/>
        <w:jc w:val="both"/>
      </w:pPr>
      <w:r>
        <w:rPr>
          <w:rFonts w:ascii="Times New Roman" w:eastAsia="宋体" w:hAnsi="Times New Roman"/>
          <w:color w:val="000000"/>
          <w:sz w:val="20"/>
          <w:szCs w:val="20"/>
        </w:rPr>
        <w:t>•Our ability to achieve targeted cost reductions</w:t>
      </w:r>
    </w:p>
    <w:p w14:paraId="7B671862" w14:textId="77777777" w:rsidR="0040300B" w:rsidRDefault="00BB2D44">
      <w:pPr>
        <w:spacing w:before="60"/>
        <w:ind w:hanging="360"/>
        <w:jc w:val="both"/>
      </w:pPr>
      <w:r>
        <w:rPr>
          <w:rFonts w:ascii="Times New Roman" w:eastAsia="宋体" w:hAnsi="Times New Roman"/>
          <w:color w:val="000000"/>
          <w:sz w:val="20"/>
          <w:szCs w:val="20"/>
        </w:rPr>
        <w:t>•Benefits anticipated from our investments</w:t>
      </w:r>
    </w:p>
    <w:p w14:paraId="7B671863" w14:textId="77777777" w:rsidR="0040300B" w:rsidRDefault="00BB2D44">
      <w:pPr>
        <w:spacing w:before="60"/>
        <w:ind w:hanging="360"/>
        <w:jc w:val="both"/>
      </w:pPr>
      <w:r>
        <w:rPr>
          <w:rFonts w:ascii="Times New Roman" w:eastAsia="宋体" w:hAnsi="Times New Roman"/>
          <w:color w:val="000000"/>
          <w:sz w:val="20"/>
          <w:szCs w:val="20"/>
        </w:rPr>
        <w:t>•Changes in tax laws</w:t>
      </w:r>
      <w:r>
        <w:rPr>
          <w:rFonts w:ascii="Times New Roman" w:eastAsia="宋体" w:hAnsi="Times New Roman"/>
          <w:color w:val="000000"/>
          <w:sz w:val="20"/>
          <w:szCs w:val="20"/>
        </w:rPr>
        <w:t xml:space="preserve"> or accounting rules, or interpretations thereof</w:t>
      </w:r>
    </w:p>
    <w:p w14:paraId="7B671864" w14:textId="77777777" w:rsidR="0040300B" w:rsidRDefault="00BB2D44">
      <w:pPr>
        <w:spacing w:before="120"/>
        <w:jc w:val="both"/>
      </w:pPr>
      <w:r>
        <w:rPr>
          <w:rFonts w:ascii="Times New Roman" w:eastAsia="宋体" w:hAnsi="Times New Roman"/>
          <w:color w:val="000000"/>
          <w:sz w:val="20"/>
          <w:szCs w:val="20"/>
        </w:rPr>
        <w:t>As a consequence, operating results for a particular future period are difficult to predict, and, therefore, prior results are not necessarily indicative of results to be expected in future periods. Any of t</w:t>
      </w:r>
      <w:r>
        <w:rPr>
          <w:rFonts w:ascii="Times New Roman" w:eastAsia="宋体" w:hAnsi="Times New Roman"/>
          <w:color w:val="000000"/>
          <w:sz w:val="20"/>
          <w:szCs w:val="20"/>
        </w:rPr>
        <w:t xml:space="preserve">he foregoing factors, or any other factors discussed elsewhere herein, could have a material adverse effect on our business, results of operations, and financial condition that could adversely affect our stock price. </w:t>
      </w:r>
    </w:p>
    <w:p w14:paraId="7B671865" w14:textId="77777777" w:rsidR="0040300B" w:rsidRDefault="00BB2D44">
      <w:pPr>
        <w:spacing w:before="120"/>
        <w:jc w:val="both"/>
      </w:pPr>
      <w:r>
        <w:rPr>
          <w:rFonts w:ascii="Times New Roman" w:eastAsia="宋体" w:hAnsi="Times New Roman"/>
          <w:b/>
          <w:bCs/>
          <w:i/>
          <w:iCs/>
          <w:color w:val="000000"/>
          <w:sz w:val="20"/>
          <w:szCs w:val="20"/>
        </w:rPr>
        <w:t>Our operating results may be adversely</w:t>
      </w:r>
      <w:r>
        <w:rPr>
          <w:rFonts w:ascii="Times New Roman" w:eastAsia="宋体" w:hAnsi="Times New Roman"/>
          <w:b/>
          <w:bCs/>
          <w:i/>
          <w:iCs/>
          <w:color w:val="000000"/>
          <w:sz w:val="20"/>
          <w:szCs w:val="20"/>
        </w:rPr>
        <w:t xml:space="preserve"> affected by unfavorable economic and market conditions and the uncertain geopolitical environment.</w:t>
      </w:r>
      <w:r>
        <w:rPr>
          <w:rFonts w:ascii="Times New Roman" w:eastAsia="宋体" w:hAnsi="Times New Roman"/>
          <w:b/>
          <w:bCs/>
          <w:color w:val="000000"/>
          <w:sz w:val="20"/>
          <w:szCs w:val="20"/>
        </w:rPr>
        <w:t xml:space="preserve"> </w:t>
      </w:r>
    </w:p>
    <w:p w14:paraId="7B671866" w14:textId="77777777" w:rsidR="0040300B" w:rsidRDefault="00BB2D44">
      <w:pPr>
        <w:spacing w:before="120"/>
        <w:jc w:val="both"/>
      </w:pPr>
      <w:r>
        <w:rPr>
          <w:rFonts w:ascii="Times New Roman" w:eastAsia="宋体" w:hAnsi="Times New Roman"/>
          <w:color w:val="000000"/>
          <w:sz w:val="20"/>
          <w:szCs w:val="20"/>
        </w:rPr>
        <w:t>Challenging economic conditions worldwide have from time to time contributed, and may continue to contribute, to slowdowns in the communications and networ</w:t>
      </w:r>
      <w:r>
        <w:rPr>
          <w:rFonts w:ascii="Times New Roman" w:eastAsia="宋体" w:hAnsi="Times New Roman"/>
          <w:color w:val="000000"/>
          <w:sz w:val="20"/>
          <w:szCs w:val="20"/>
        </w:rPr>
        <w:t>king industries at large, as well as in specific segments and markets in which we operate, resulting in: reduced demand for our products as a result of continued constraints on IT-related capital spending by our customers, particularly service providers, a</w:t>
      </w:r>
      <w:r>
        <w:rPr>
          <w:rFonts w:ascii="Times New Roman" w:eastAsia="宋体" w:hAnsi="Times New Roman"/>
          <w:color w:val="000000"/>
          <w:sz w:val="20"/>
          <w:szCs w:val="20"/>
        </w:rPr>
        <w:t>nd other customer markets as well; increased price competition for our products, not only from our competitors but also as a consequence of customers disposing of unutilized products; risk of excess and obsolete inventories; risk of supply constraints; ris</w:t>
      </w:r>
      <w:r>
        <w:rPr>
          <w:rFonts w:ascii="Times New Roman" w:eastAsia="宋体" w:hAnsi="Times New Roman"/>
          <w:color w:val="000000"/>
          <w:sz w:val="20"/>
          <w:szCs w:val="20"/>
        </w:rPr>
        <w:t>k of excess facilities and manufacturing capacity; and higher overhead costs as a percentage of revenue and higher interest expense.</w:t>
      </w:r>
    </w:p>
    <w:p w14:paraId="7B671867" w14:textId="77777777" w:rsidR="0040300B" w:rsidRDefault="00BB2D44">
      <w:pPr>
        <w:spacing w:before="120"/>
        <w:jc w:val="both"/>
      </w:pPr>
      <w:r>
        <w:rPr>
          <w:rFonts w:ascii="Times New Roman" w:eastAsia="宋体" w:hAnsi="Times New Roman"/>
          <w:color w:val="000000"/>
          <w:sz w:val="20"/>
          <w:szCs w:val="20"/>
        </w:rPr>
        <w:t>The global macroeconomic environment continues to be challenging and inconsistent, and is being significantly impacted by t</w:t>
      </w:r>
      <w:r>
        <w:rPr>
          <w:rFonts w:ascii="Times New Roman" w:eastAsia="宋体" w:hAnsi="Times New Roman"/>
          <w:color w:val="000000"/>
          <w:sz w:val="20"/>
          <w:szCs w:val="20"/>
        </w:rPr>
        <w:t>he COVID-19 pandemic. During fiscal 2020 and the first quarter of fiscal 2021, we continued to see a broad-based weakening in the global macroeconomic environment which impacted our commercial and enterprise markets. We also experienced continuing weakness</w:t>
      </w:r>
      <w:r>
        <w:rPr>
          <w:rFonts w:ascii="Times New Roman" w:eastAsia="宋体" w:hAnsi="Times New Roman"/>
          <w:color w:val="000000"/>
          <w:sz w:val="20"/>
          <w:szCs w:val="20"/>
        </w:rPr>
        <w:t xml:space="preserve"> in emerging countries, and we expect ongoing uncertainty in this market. Additionally, instability in the global credit markets, the impact of uncertainty regarding global central bank monetary policy, the instability in the geopolitical environment in ma</w:t>
      </w:r>
      <w:r>
        <w:rPr>
          <w:rFonts w:ascii="Times New Roman" w:eastAsia="宋体" w:hAnsi="Times New Roman"/>
          <w:color w:val="000000"/>
          <w:sz w:val="20"/>
          <w:szCs w:val="20"/>
        </w:rPr>
        <w:t xml:space="preserve">ny parts of the world including as a result of the United Kingdom “Brexit” withdrawal from the European Union, the current economic challenges in China, including global economic ramifications of Chinese economic difficulties, </w:t>
      </w:r>
    </w:p>
    <w:p w14:paraId="7B671868" w14:textId="77777777" w:rsidR="0040300B" w:rsidRDefault="00BB2D44">
      <w:pPr>
        <w:jc w:val="center"/>
      </w:pPr>
      <w:r>
        <w:rPr>
          <w:rFonts w:ascii="Times New Roman" w:eastAsia="宋体" w:hAnsi="Times New Roman"/>
          <w:color w:val="000000"/>
          <w:sz w:val="20"/>
          <w:szCs w:val="20"/>
        </w:rPr>
        <w:t>70</w:t>
      </w:r>
    </w:p>
    <w:p w14:paraId="7B671869" w14:textId="77777777" w:rsidR="0040300B" w:rsidRDefault="00BB2D44">
      <w:r>
        <w:pict w14:anchorId="7B671C56">
          <v:rect id="_x0000_i1094" style="width:415.3pt;height:1.5pt" o:hralign="center" o:hrstd="t" o:hr="t" fillcolor="#a0a0a0" stroked="f"/>
        </w:pict>
      </w:r>
    </w:p>
    <w:p w14:paraId="7B67186A" w14:textId="77777777" w:rsidR="0040300B" w:rsidRDefault="00BB2D44">
      <w:hyperlink r:id="rId116" w:anchor="i52d5b40dbad7426a9806a2fd5167029f_7" w:history="1">
        <w:r>
          <w:rPr>
            <w:rStyle w:val="a5"/>
            <w:rFonts w:ascii="Times New Roman" w:eastAsia="宋体" w:hAnsi="Times New Roman"/>
            <w:sz w:val="18"/>
            <w:szCs w:val="18"/>
          </w:rPr>
          <w:t>Table of Contents</w:t>
        </w:r>
      </w:hyperlink>
    </w:p>
    <w:p w14:paraId="7B67186B" w14:textId="77777777" w:rsidR="0040300B" w:rsidRDefault="00BB2D44">
      <w:pPr>
        <w:spacing w:before="120"/>
        <w:jc w:val="both"/>
      </w:pPr>
      <w:r>
        <w:rPr>
          <w:rFonts w:ascii="Times New Roman" w:eastAsia="宋体" w:hAnsi="Times New Roman"/>
          <w:color w:val="000000"/>
          <w:sz w:val="20"/>
          <w:szCs w:val="20"/>
        </w:rPr>
        <w:t xml:space="preserve">and other disruptions may continue to put pressure on global economic conditions. If global economic and market </w:t>
      </w:r>
      <w:r>
        <w:rPr>
          <w:rFonts w:ascii="Times New Roman" w:eastAsia="宋体" w:hAnsi="Times New Roman"/>
          <w:color w:val="000000"/>
          <w:sz w:val="20"/>
          <w:szCs w:val="20"/>
        </w:rPr>
        <w:t>conditions, or economic conditions in key markets, remain uncertain or deteriorate further, we may experience material impacts on our business, operating results, and financial condition.</w:t>
      </w:r>
    </w:p>
    <w:p w14:paraId="7B67186C" w14:textId="77777777" w:rsidR="0040300B" w:rsidRDefault="00BB2D44">
      <w:pPr>
        <w:spacing w:before="120"/>
        <w:jc w:val="both"/>
      </w:pPr>
      <w:r>
        <w:rPr>
          <w:rFonts w:ascii="Times New Roman" w:eastAsia="宋体" w:hAnsi="Times New Roman"/>
          <w:color w:val="000000"/>
          <w:sz w:val="20"/>
          <w:szCs w:val="20"/>
        </w:rPr>
        <w:t>Our operating results in one or more segments may also be affected b</w:t>
      </w:r>
      <w:r>
        <w:rPr>
          <w:rFonts w:ascii="Times New Roman" w:eastAsia="宋体" w:hAnsi="Times New Roman"/>
          <w:color w:val="000000"/>
          <w:sz w:val="20"/>
          <w:szCs w:val="20"/>
        </w:rPr>
        <w:t>y uncertain or changing economic conditions particularly germane to that segment or to particular customer markets within that segment. In addition, reports of certain intelligence gathering methods of the U.S. government could affect customers’ perception</w:t>
      </w:r>
      <w:r>
        <w:rPr>
          <w:rFonts w:ascii="Times New Roman" w:eastAsia="宋体" w:hAnsi="Times New Roman"/>
          <w:color w:val="000000"/>
          <w:sz w:val="20"/>
          <w:szCs w:val="20"/>
        </w:rPr>
        <w:t xml:space="preserve"> of the products of IT companies which design and manufacture products in the United States. Trust and confidence in us as an IT supplier are critical to the development and growth of our markets. Impairment of that trust, or foreign regulatory actions tak</w:t>
      </w:r>
      <w:r>
        <w:rPr>
          <w:rFonts w:ascii="Times New Roman" w:eastAsia="宋体" w:hAnsi="Times New Roman"/>
          <w:color w:val="000000"/>
          <w:sz w:val="20"/>
          <w:szCs w:val="20"/>
        </w:rPr>
        <w:t>en in response to reports of certain intelligence gathering methods of the U.S. government, could affect the demand for our products from customers outside of the United States and could have an adverse effect on our operating results.</w:t>
      </w:r>
    </w:p>
    <w:p w14:paraId="7B67186D" w14:textId="77777777" w:rsidR="0040300B" w:rsidRDefault="00BB2D44">
      <w:pPr>
        <w:spacing w:before="120"/>
        <w:jc w:val="both"/>
      </w:pPr>
      <w:r>
        <w:rPr>
          <w:rFonts w:ascii="Times New Roman" w:eastAsia="宋体" w:hAnsi="Times New Roman"/>
          <w:b/>
          <w:bCs/>
          <w:i/>
          <w:iCs/>
          <w:color w:val="000000"/>
          <w:sz w:val="20"/>
          <w:szCs w:val="20"/>
        </w:rPr>
        <w:t>Our revenue for a pa</w:t>
      </w:r>
      <w:r>
        <w:rPr>
          <w:rFonts w:ascii="Times New Roman" w:eastAsia="宋体" w:hAnsi="Times New Roman"/>
          <w:b/>
          <w:bCs/>
          <w:i/>
          <w:iCs/>
          <w:color w:val="000000"/>
          <w:sz w:val="20"/>
          <w:szCs w:val="20"/>
        </w:rPr>
        <w:t>rticular period is difficult to predict, and a shortfall in revenue may harm our operating results.</w:t>
      </w:r>
      <w:r>
        <w:rPr>
          <w:rFonts w:ascii="Times New Roman" w:eastAsia="宋体" w:hAnsi="Times New Roman"/>
          <w:b/>
          <w:bCs/>
          <w:color w:val="000000"/>
          <w:sz w:val="20"/>
          <w:szCs w:val="20"/>
        </w:rPr>
        <w:t xml:space="preserve"> </w:t>
      </w:r>
    </w:p>
    <w:p w14:paraId="7B67186E" w14:textId="77777777" w:rsidR="0040300B" w:rsidRDefault="00BB2D44">
      <w:pPr>
        <w:spacing w:before="120"/>
        <w:jc w:val="both"/>
      </w:pPr>
      <w:r>
        <w:rPr>
          <w:rFonts w:ascii="Times New Roman" w:eastAsia="宋体" w:hAnsi="Times New Roman"/>
          <w:color w:val="000000"/>
          <w:sz w:val="20"/>
          <w:szCs w:val="20"/>
        </w:rPr>
        <w:t>As a result of a variety of factors discussed in this report, our revenue for a particular quarter is difficult to predict, especially in light of a challe</w:t>
      </w:r>
      <w:r>
        <w:rPr>
          <w:rFonts w:ascii="Times New Roman" w:eastAsia="宋体" w:hAnsi="Times New Roman"/>
          <w:color w:val="000000"/>
          <w:sz w:val="20"/>
          <w:szCs w:val="20"/>
        </w:rPr>
        <w:t>nging and inconsistent global macroeconomic environment, the significant impacts of the COVID-19 pandemic, and related market uncertainty. Our revenue may grow at a slower rate than in past periods or decline as it did in the first quarter of fiscal 2021 a</w:t>
      </w:r>
      <w:r>
        <w:rPr>
          <w:rFonts w:ascii="Times New Roman" w:eastAsia="宋体" w:hAnsi="Times New Roman"/>
          <w:color w:val="000000"/>
          <w:sz w:val="20"/>
          <w:szCs w:val="20"/>
        </w:rPr>
        <w:t>nd fiscal 2020, and in certain prior periods on a year-over-year basis. Our ability to meet financial expectations could also be adversely affected if the nonlinear sales pattern seen in some of our past quarters recurs in future periods. We have experienc</w:t>
      </w:r>
      <w:r>
        <w:rPr>
          <w:rFonts w:ascii="Times New Roman" w:eastAsia="宋体" w:hAnsi="Times New Roman"/>
          <w:color w:val="000000"/>
          <w:sz w:val="20"/>
          <w:szCs w:val="20"/>
        </w:rPr>
        <w:t>ed periods of time during which shipments have exceeded net bookings or manufacturing issues have delayed shipments, leading to nonlinearity in shipping patterns. In addition to making it difficult to predict revenue for a particular period, nonlinearity i</w:t>
      </w:r>
      <w:r>
        <w:rPr>
          <w:rFonts w:ascii="Times New Roman" w:eastAsia="宋体" w:hAnsi="Times New Roman"/>
          <w:color w:val="000000"/>
          <w:sz w:val="20"/>
          <w:szCs w:val="20"/>
        </w:rPr>
        <w:t>n shipping can increase costs, because irregular shipment patterns result in periods of underutilized capacity and periods in which overtime expenses may be incurred, as well as in potential additional inventory management-related costs. In addition, to th</w:t>
      </w:r>
      <w:r>
        <w:rPr>
          <w:rFonts w:ascii="Times New Roman" w:eastAsia="宋体" w:hAnsi="Times New Roman"/>
          <w:color w:val="000000"/>
          <w:sz w:val="20"/>
          <w:szCs w:val="20"/>
        </w:rPr>
        <w:t xml:space="preserve">e extent that manufacturing issues and any related component shortages result in delayed shipments in the future, and particularly in periods in which our contract manufacturers are operating at higher levels of capacity, it is possible that revenue for a </w:t>
      </w:r>
      <w:r>
        <w:rPr>
          <w:rFonts w:ascii="Times New Roman" w:eastAsia="宋体" w:hAnsi="Times New Roman"/>
          <w:color w:val="000000"/>
          <w:sz w:val="20"/>
          <w:szCs w:val="20"/>
        </w:rPr>
        <w:t xml:space="preserve">quarter could be adversely affected if such matters occur and are not remediated within the same quarter. </w:t>
      </w:r>
    </w:p>
    <w:p w14:paraId="7B67186F" w14:textId="77777777" w:rsidR="0040300B" w:rsidRDefault="00BB2D44">
      <w:pPr>
        <w:spacing w:before="120"/>
        <w:jc w:val="both"/>
      </w:pPr>
      <w:r>
        <w:rPr>
          <w:rFonts w:ascii="Times New Roman" w:eastAsia="宋体" w:hAnsi="Times New Roman"/>
          <w:color w:val="000000"/>
          <w:sz w:val="20"/>
          <w:szCs w:val="20"/>
        </w:rPr>
        <w:t>The timing of large orders can also have a significant effect on our business and operating results from quarter to quarter. From time to time, we re</w:t>
      </w:r>
      <w:r>
        <w:rPr>
          <w:rFonts w:ascii="Times New Roman" w:eastAsia="宋体" w:hAnsi="Times New Roman"/>
          <w:color w:val="000000"/>
          <w:sz w:val="20"/>
          <w:szCs w:val="20"/>
        </w:rPr>
        <w:t>ceive large orders that have a significant effect on our operating results in the period in which the order is recognized as revenue. The timing of such orders is difficult to predict, and the timing of revenue recognition from such orders may affect perio</w:t>
      </w:r>
      <w:r>
        <w:rPr>
          <w:rFonts w:ascii="Times New Roman" w:eastAsia="宋体" w:hAnsi="Times New Roman"/>
          <w:color w:val="000000"/>
          <w:sz w:val="20"/>
          <w:szCs w:val="20"/>
        </w:rPr>
        <w:t>d to period changes in revenue. As a result, our operating results could vary materially from quarter to quarter based on the receipt of such orders and their ultimate recognition as revenue. Longer than normal manufacturing lead times in the past have cau</w:t>
      </w:r>
      <w:r>
        <w:rPr>
          <w:rFonts w:ascii="Times New Roman" w:eastAsia="宋体" w:hAnsi="Times New Roman"/>
          <w:color w:val="000000"/>
          <w:sz w:val="20"/>
          <w:szCs w:val="20"/>
        </w:rPr>
        <w:t>sed, and in the future could cause, some customers to place the same or a similar order multiple times within our various sales channels and to cancel the duplicative orders upon shipment or receipt of the product, or to also place orders with other vendor</w:t>
      </w:r>
      <w:r>
        <w:rPr>
          <w:rFonts w:ascii="Times New Roman" w:eastAsia="宋体" w:hAnsi="Times New Roman"/>
          <w:color w:val="000000"/>
          <w:sz w:val="20"/>
          <w:szCs w:val="20"/>
        </w:rPr>
        <w:t xml:space="preserve">s with shorter manufacturing lead times. Such multiple ordering (along with other factors) or risk of order cancellation may cause difficulty in predicting our revenue. Further, our efforts to improve manufacturing lead-time performance may result in more </w:t>
      </w:r>
      <w:r>
        <w:rPr>
          <w:rFonts w:ascii="Times New Roman" w:eastAsia="宋体" w:hAnsi="Times New Roman"/>
          <w:color w:val="000000"/>
          <w:sz w:val="20"/>
          <w:szCs w:val="20"/>
        </w:rPr>
        <w:t>variability and less predictability in our revenue and operating results. In addition, when facing component supply-related challenges we have increased our efforts in procuring components in order to meet customer expectations, which in turn contribute to</w:t>
      </w:r>
      <w:r>
        <w:rPr>
          <w:rFonts w:ascii="Times New Roman" w:eastAsia="宋体" w:hAnsi="Times New Roman"/>
          <w:color w:val="000000"/>
          <w:sz w:val="20"/>
          <w:szCs w:val="20"/>
        </w:rPr>
        <w:t xml:space="preserve"> an increase in purchase commitments. Increases in our purchase commitments to shorten lead times could also lead to excess and obsolete inventory charges if the demand for our products is less than our expectations. We plan our operating expense levels ba</w:t>
      </w:r>
      <w:r>
        <w:rPr>
          <w:rFonts w:ascii="Times New Roman" w:eastAsia="宋体" w:hAnsi="Times New Roman"/>
          <w:color w:val="000000"/>
          <w:sz w:val="20"/>
          <w:szCs w:val="20"/>
        </w:rPr>
        <w:t>sed primarily on forecasted revenue levels. These expenses and the impact of long-term commitments are relatively fixed in the short term. A shortfall in revenue could lead to operating results being below expectations because we may not be able to quickly</w:t>
      </w:r>
      <w:r>
        <w:rPr>
          <w:rFonts w:ascii="Times New Roman" w:eastAsia="宋体" w:hAnsi="Times New Roman"/>
          <w:color w:val="000000"/>
          <w:sz w:val="20"/>
          <w:szCs w:val="20"/>
        </w:rPr>
        <w:t xml:space="preserve"> reduce these fixed expenses in response to short-term business changes. Any of the above factors could have a material adverse impact on our operations and financial results. </w:t>
      </w:r>
    </w:p>
    <w:p w14:paraId="7B671870" w14:textId="77777777" w:rsidR="0040300B" w:rsidRDefault="00BB2D44">
      <w:pPr>
        <w:spacing w:before="120"/>
        <w:jc w:val="both"/>
      </w:pPr>
      <w:r>
        <w:rPr>
          <w:rFonts w:ascii="Times New Roman" w:eastAsia="宋体" w:hAnsi="Times New Roman"/>
          <w:b/>
          <w:bCs/>
          <w:i/>
          <w:iCs/>
          <w:color w:val="000000"/>
          <w:sz w:val="20"/>
          <w:szCs w:val="20"/>
        </w:rPr>
        <w:t xml:space="preserve">Supply chain issues, including financial problems of contract manufacturers or </w:t>
      </w:r>
      <w:r>
        <w:rPr>
          <w:rFonts w:ascii="Times New Roman" w:eastAsia="宋体" w:hAnsi="Times New Roman"/>
          <w:b/>
          <w:bCs/>
          <w:i/>
          <w:iCs/>
          <w:color w:val="000000"/>
          <w:sz w:val="20"/>
          <w:szCs w:val="20"/>
        </w:rPr>
        <w:t>component suppliers, or a shortage of adequate component supply or manufacturing capacity that increase our costs or cause a delay in our ability to fulfill orders, could have an adverse impact on our business and operating results, and our failure to esti</w:t>
      </w:r>
      <w:r>
        <w:rPr>
          <w:rFonts w:ascii="Times New Roman" w:eastAsia="宋体" w:hAnsi="Times New Roman"/>
          <w:b/>
          <w:bCs/>
          <w:i/>
          <w:iCs/>
          <w:color w:val="000000"/>
          <w:sz w:val="20"/>
          <w:szCs w:val="20"/>
        </w:rPr>
        <w:t>mate customer demand properly may result in excess or obsolete component supply, which could adversely affect our gross margins.</w:t>
      </w:r>
      <w:r>
        <w:rPr>
          <w:rFonts w:ascii="Times New Roman" w:eastAsia="宋体" w:hAnsi="Times New Roman"/>
          <w:b/>
          <w:bCs/>
          <w:color w:val="000000"/>
          <w:sz w:val="20"/>
          <w:szCs w:val="20"/>
        </w:rPr>
        <w:t xml:space="preserve"> </w:t>
      </w:r>
    </w:p>
    <w:p w14:paraId="7B671871" w14:textId="77777777" w:rsidR="0040300B" w:rsidRDefault="00BB2D44">
      <w:pPr>
        <w:spacing w:before="120"/>
        <w:jc w:val="both"/>
      </w:pPr>
      <w:r>
        <w:rPr>
          <w:rFonts w:ascii="Times New Roman" w:eastAsia="宋体" w:hAnsi="Times New Roman"/>
          <w:color w:val="000000"/>
          <w:sz w:val="20"/>
          <w:szCs w:val="20"/>
        </w:rPr>
        <w:t xml:space="preserve">The fact that we do not own or operate the bulk of our manufacturing facilities and that we are reliant on our </w:t>
      </w:r>
      <w:r>
        <w:rPr>
          <w:rFonts w:ascii="Times New Roman" w:eastAsia="宋体" w:hAnsi="Times New Roman"/>
          <w:color w:val="000000"/>
          <w:sz w:val="20"/>
          <w:szCs w:val="20"/>
        </w:rPr>
        <w:t>extended supply chain could have an adverse impact on the supply of our products and on our business and operating results. Financial problems of either contract manufacturers or component suppliers, reservation of manufacturing capacity at our contract ma</w:t>
      </w:r>
      <w:r>
        <w:rPr>
          <w:rFonts w:ascii="Times New Roman" w:eastAsia="宋体" w:hAnsi="Times New Roman"/>
          <w:color w:val="000000"/>
          <w:sz w:val="20"/>
          <w:szCs w:val="20"/>
        </w:rPr>
        <w:t>nufacturers by other companies, and industry consolidation occurring within one or more component supplier markets, such as the semiconductor market, in each case, could either limit supply or increase costs.</w:t>
      </w:r>
    </w:p>
    <w:p w14:paraId="7B671872" w14:textId="77777777" w:rsidR="0040300B" w:rsidRDefault="00BB2D44">
      <w:pPr>
        <w:spacing w:before="120"/>
        <w:jc w:val="both"/>
      </w:pPr>
      <w:r>
        <w:rPr>
          <w:rFonts w:ascii="Times New Roman" w:eastAsia="宋体" w:hAnsi="Times New Roman"/>
          <w:color w:val="000000"/>
          <w:sz w:val="20"/>
          <w:szCs w:val="20"/>
        </w:rPr>
        <w:t>A reduction or interruption in supply, including disruptions on our global supply chain as a result of the COVID-19 pandemic or a significant natural disaster (including as a result of climate change); a significant increase in the price of one or more com</w:t>
      </w:r>
      <w:r>
        <w:rPr>
          <w:rFonts w:ascii="Times New Roman" w:eastAsia="宋体" w:hAnsi="Times New Roman"/>
          <w:color w:val="000000"/>
          <w:sz w:val="20"/>
          <w:szCs w:val="20"/>
        </w:rPr>
        <w:t xml:space="preserve">ponents; a failure to adequately authorize procurement of inventory by our contract manufacturers; a failure to appropriately cancel, reschedule, or adjust our requirements based on our business needs; or a decrease in demand for our </w:t>
      </w:r>
    </w:p>
    <w:p w14:paraId="7B671873" w14:textId="77777777" w:rsidR="0040300B" w:rsidRDefault="00BB2D44">
      <w:pPr>
        <w:jc w:val="center"/>
      </w:pPr>
      <w:r>
        <w:rPr>
          <w:rFonts w:ascii="Times New Roman" w:eastAsia="宋体" w:hAnsi="Times New Roman"/>
          <w:color w:val="000000"/>
          <w:sz w:val="20"/>
          <w:szCs w:val="20"/>
        </w:rPr>
        <w:t>71</w:t>
      </w:r>
    </w:p>
    <w:p w14:paraId="7B671874" w14:textId="77777777" w:rsidR="0040300B" w:rsidRDefault="00BB2D44">
      <w:r>
        <w:pict w14:anchorId="7B671C57">
          <v:rect id="_x0000_i1095" style="width:415.3pt;height:1.5pt" o:hralign="center" o:hrstd="t" o:hr="t" fillcolor="#a0a0a0" stroked="f"/>
        </w:pict>
      </w:r>
    </w:p>
    <w:p w14:paraId="7B671875" w14:textId="77777777" w:rsidR="0040300B" w:rsidRDefault="00BB2D44">
      <w:hyperlink r:id="rId117" w:anchor="i52d5b40dbad7426a9806a2fd5167029f_7" w:history="1">
        <w:r>
          <w:rPr>
            <w:rStyle w:val="a5"/>
            <w:rFonts w:ascii="Times New Roman" w:eastAsia="宋体" w:hAnsi="Times New Roman"/>
            <w:sz w:val="18"/>
            <w:szCs w:val="18"/>
          </w:rPr>
          <w:t>Table of Contents</w:t>
        </w:r>
      </w:hyperlink>
    </w:p>
    <w:p w14:paraId="7B671876" w14:textId="77777777" w:rsidR="0040300B" w:rsidRDefault="00BB2D44">
      <w:pPr>
        <w:spacing w:before="120"/>
        <w:jc w:val="both"/>
      </w:pPr>
      <w:r>
        <w:rPr>
          <w:rFonts w:ascii="Times New Roman" w:eastAsia="宋体" w:hAnsi="Times New Roman"/>
          <w:color w:val="000000"/>
          <w:sz w:val="20"/>
          <w:szCs w:val="20"/>
        </w:rPr>
        <w:t>products could materially adversely affect our business, operating results, and financial condition and c</w:t>
      </w:r>
      <w:r>
        <w:rPr>
          <w:rFonts w:ascii="Times New Roman" w:eastAsia="宋体" w:hAnsi="Times New Roman"/>
          <w:color w:val="000000"/>
          <w:sz w:val="20"/>
          <w:szCs w:val="20"/>
        </w:rPr>
        <w:t>ould materially damage customer relationships. Furthermore, as a result of binding price or purchase commitments with suppliers, we may be obligated to purchase components at prices that are higher than those available in the current market. In the event t</w:t>
      </w:r>
      <w:r>
        <w:rPr>
          <w:rFonts w:ascii="Times New Roman" w:eastAsia="宋体" w:hAnsi="Times New Roman"/>
          <w:color w:val="000000"/>
          <w:sz w:val="20"/>
          <w:szCs w:val="20"/>
        </w:rPr>
        <w:t xml:space="preserve">hat we become committed to purchase components at prices in excess of the current market price when the components are actually used, our gross margins could decrease. In addition, vendors may be under pressure to allocate product to certain customers for </w:t>
      </w:r>
      <w:r>
        <w:rPr>
          <w:rFonts w:ascii="Times New Roman" w:eastAsia="宋体" w:hAnsi="Times New Roman"/>
          <w:color w:val="000000"/>
          <w:sz w:val="20"/>
          <w:szCs w:val="20"/>
        </w:rPr>
        <w:t>business, regulatory or political reasons, and/or demand changes in agreed pricing as a condition of supply. Although we have generally secured additional supply or taken other mitigation actions when significant disruptions have occurred, if similar situa</w:t>
      </w:r>
      <w:r>
        <w:rPr>
          <w:rFonts w:ascii="Times New Roman" w:eastAsia="宋体" w:hAnsi="Times New Roman"/>
          <w:color w:val="000000"/>
          <w:sz w:val="20"/>
          <w:szCs w:val="20"/>
        </w:rPr>
        <w:t xml:space="preserve">tions occur in the future, they could have a material adverse effect on our business, results of operations, and financial condition. </w:t>
      </w:r>
    </w:p>
    <w:p w14:paraId="7B671877" w14:textId="77777777" w:rsidR="0040300B" w:rsidRDefault="00BB2D44">
      <w:pPr>
        <w:spacing w:before="120"/>
        <w:jc w:val="both"/>
      </w:pPr>
      <w:r>
        <w:rPr>
          <w:rFonts w:ascii="Times New Roman" w:eastAsia="宋体" w:hAnsi="Times New Roman"/>
          <w:color w:val="000000"/>
          <w:sz w:val="20"/>
          <w:szCs w:val="20"/>
        </w:rPr>
        <w:t>Our growth and ability to meet customer demands depend in part on our ability to obtain timely deliveries of parts from o</w:t>
      </w:r>
      <w:r>
        <w:rPr>
          <w:rFonts w:ascii="Times New Roman" w:eastAsia="宋体" w:hAnsi="Times New Roman"/>
          <w:color w:val="000000"/>
          <w:sz w:val="20"/>
          <w:szCs w:val="20"/>
        </w:rPr>
        <w:t>ur suppliers and contract manufacturers. We have experienced component shortages in the past, including shortages caused by manufacturing process issues, that have affected our operations, including longer than normal lead times. There is currently a marke</w:t>
      </w:r>
      <w:r>
        <w:rPr>
          <w:rFonts w:ascii="Times New Roman" w:eastAsia="宋体" w:hAnsi="Times New Roman"/>
          <w:color w:val="000000"/>
          <w:sz w:val="20"/>
          <w:szCs w:val="20"/>
        </w:rPr>
        <w:t xml:space="preserve">t shortage of semiconductor and other component supply which has affected, and could further affect, lead times, the cost of that supply, and our ability to meet customer demand for our products if we cannot secure sufficient supply in a timely manner. We </w:t>
      </w:r>
      <w:r>
        <w:rPr>
          <w:rFonts w:ascii="Times New Roman" w:eastAsia="宋体" w:hAnsi="Times New Roman"/>
          <w:color w:val="000000"/>
          <w:sz w:val="20"/>
          <w:szCs w:val="20"/>
        </w:rPr>
        <w:t>expect these supply chain challenges to continue through at least the end of calendar year 2021. Additionally, we may in the future experience a shortage of certain component parts as a result of our own manufacturing issues, manufacturing issues at our su</w:t>
      </w:r>
      <w:r>
        <w:rPr>
          <w:rFonts w:ascii="Times New Roman" w:eastAsia="宋体" w:hAnsi="Times New Roman"/>
          <w:color w:val="000000"/>
          <w:sz w:val="20"/>
          <w:szCs w:val="20"/>
        </w:rPr>
        <w:t>ppliers or contract manufacturers, capacity problems experienced by our suppliers or contract manufacturers including capacity or cost problems resulting from industry consolidation, or strong demand for those parts. Growth in the economy is likely to crea</w:t>
      </w:r>
      <w:r>
        <w:rPr>
          <w:rFonts w:ascii="Times New Roman" w:eastAsia="宋体" w:hAnsi="Times New Roman"/>
          <w:color w:val="000000"/>
          <w:sz w:val="20"/>
          <w:szCs w:val="20"/>
        </w:rPr>
        <w:t>te greater pressures on us and our suppliers to accurately project overall component demand and component demands within specific product categories and to establish optimal component levels and manufacturing capacity, especially for labor-intensive compon</w:t>
      </w:r>
      <w:r>
        <w:rPr>
          <w:rFonts w:ascii="Times New Roman" w:eastAsia="宋体" w:hAnsi="Times New Roman"/>
          <w:color w:val="000000"/>
          <w:sz w:val="20"/>
          <w:szCs w:val="20"/>
        </w:rPr>
        <w:t>ents, components for which we purchase a substantial portion of the supply, or the re-ramping of manufacturing capacity for highly complex products. During periods of shortages or delays the price of components may increase, or the components may not be av</w:t>
      </w:r>
      <w:r>
        <w:rPr>
          <w:rFonts w:ascii="Times New Roman" w:eastAsia="宋体" w:hAnsi="Times New Roman"/>
          <w:color w:val="000000"/>
          <w:sz w:val="20"/>
          <w:szCs w:val="20"/>
        </w:rPr>
        <w:t>ailable at all, and we may also encounter shortages if we do not accurately anticipate our needs. We may not be able to secure enough components at reasonable prices or of acceptable quality to build new products in a timely manner in the quantities or con</w:t>
      </w:r>
      <w:r>
        <w:rPr>
          <w:rFonts w:ascii="Times New Roman" w:eastAsia="宋体" w:hAnsi="Times New Roman"/>
          <w:color w:val="000000"/>
          <w:sz w:val="20"/>
          <w:szCs w:val="20"/>
        </w:rPr>
        <w:t>figurations needed. Accordingly, our revenue and gross margins could suffer until other sources can be developed.</w:t>
      </w:r>
    </w:p>
    <w:p w14:paraId="7B671878" w14:textId="77777777" w:rsidR="0040300B" w:rsidRDefault="00BB2D44">
      <w:pPr>
        <w:spacing w:before="120"/>
        <w:jc w:val="both"/>
      </w:pPr>
      <w:r>
        <w:rPr>
          <w:rFonts w:ascii="Times New Roman" w:eastAsia="宋体" w:hAnsi="Times New Roman"/>
          <w:color w:val="000000"/>
          <w:sz w:val="20"/>
          <w:szCs w:val="20"/>
        </w:rPr>
        <w:t>Our operating results would also be adversely affected if, anticipating greater demand than actually develops, we commit to the purchase of mo</w:t>
      </w:r>
      <w:r>
        <w:rPr>
          <w:rFonts w:ascii="Times New Roman" w:eastAsia="宋体" w:hAnsi="Times New Roman"/>
          <w:color w:val="000000"/>
          <w:sz w:val="20"/>
          <w:szCs w:val="20"/>
        </w:rPr>
        <w:t>re components than we need, which is more likely to occur in a period of demand uncertainties such as we are currently experiencing. There can be no assurance that we will not encounter these problems in the future. Although in many cases we use standard p</w:t>
      </w:r>
      <w:r>
        <w:rPr>
          <w:rFonts w:ascii="Times New Roman" w:eastAsia="宋体" w:hAnsi="Times New Roman"/>
          <w:color w:val="000000"/>
          <w:sz w:val="20"/>
          <w:szCs w:val="20"/>
        </w:rPr>
        <w:t xml:space="preserve">arts and components for our products, certain components are presently available only from a single source or limited sources, and a global economic downturn and related market uncertainty could negatively impact the availability of components from one or </w:t>
      </w:r>
      <w:r>
        <w:rPr>
          <w:rFonts w:ascii="Times New Roman" w:eastAsia="宋体" w:hAnsi="Times New Roman"/>
          <w:color w:val="000000"/>
          <w:sz w:val="20"/>
          <w:szCs w:val="20"/>
        </w:rPr>
        <w:t xml:space="preserve">more of these sources, especially during times such as we have recently seen when there are supplier constraints based on labor and other actions taken during economic downturns. We may not be able to diversify sources in a timely manner, which could harm </w:t>
      </w:r>
      <w:r>
        <w:rPr>
          <w:rFonts w:ascii="Times New Roman" w:eastAsia="宋体" w:hAnsi="Times New Roman"/>
          <w:color w:val="000000"/>
          <w:sz w:val="20"/>
          <w:szCs w:val="20"/>
        </w:rPr>
        <w:t xml:space="preserve">our ability to deliver products to customers and seriously impact present and future sales. </w:t>
      </w:r>
    </w:p>
    <w:p w14:paraId="7B671879" w14:textId="77777777" w:rsidR="0040300B" w:rsidRDefault="00BB2D44">
      <w:pPr>
        <w:spacing w:before="120"/>
        <w:jc w:val="both"/>
      </w:pPr>
      <w:r>
        <w:rPr>
          <w:rFonts w:ascii="Times New Roman" w:eastAsia="宋体" w:hAnsi="Times New Roman"/>
          <w:color w:val="000000"/>
          <w:sz w:val="20"/>
          <w:szCs w:val="20"/>
        </w:rPr>
        <w:t>We believe that we may be faced with the following challenges in the future: new markets in which we participate may grow quickly, which may make it difficult to q</w:t>
      </w:r>
      <w:r>
        <w:rPr>
          <w:rFonts w:ascii="Times New Roman" w:eastAsia="宋体" w:hAnsi="Times New Roman"/>
          <w:color w:val="000000"/>
          <w:sz w:val="20"/>
          <w:szCs w:val="20"/>
        </w:rPr>
        <w:t>uickly obtain significant component capacity; as we acquire companies and new technologies, we may be dependent on unfamiliar supply chains or relatively small supply partners; and we face competition for certain components that are supply-constrained, fro</w:t>
      </w:r>
      <w:r>
        <w:rPr>
          <w:rFonts w:ascii="Times New Roman" w:eastAsia="宋体" w:hAnsi="Times New Roman"/>
          <w:color w:val="000000"/>
          <w:sz w:val="20"/>
          <w:szCs w:val="20"/>
        </w:rPr>
        <w:t>m existing competitors, and companies in other markets.</w:t>
      </w:r>
    </w:p>
    <w:p w14:paraId="7B67187A" w14:textId="77777777" w:rsidR="0040300B" w:rsidRDefault="00BB2D44">
      <w:pPr>
        <w:spacing w:before="120"/>
        <w:jc w:val="both"/>
      </w:pPr>
      <w:r>
        <w:rPr>
          <w:rFonts w:ascii="Times New Roman" w:eastAsia="宋体" w:hAnsi="Times New Roman"/>
          <w:color w:val="000000"/>
          <w:sz w:val="20"/>
          <w:szCs w:val="20"/>
        </w:rPr>
        <w:t>Manufacturing capacity and component supply constraints could continue to be significant issues for us. We purchase components from a variety of suppliers and use several contract manufacturers to pro</w:t>
      </w:r>
      <w:r>
        <w:rPr>
          <w:rFonts w:ascii="Times New Roman" w:eastAsia="宋体" w:hAnsi="Times New Roman"/>
          <w:color w:val="000000"/>
          <w:sz w:val="20"/>
          <w:szCs w:val="20"/>
        </w:rPr>
        <w:t>vide manufacturing services for our products. During the normal course of business, in order to improve manufacturing lead-time performance and to help ensure adequate component supply, we enter into agreements with contract manufacturers and suppliers tha</w:t>
      </w:r>
      <w:r>
        <w:rPr>
          <w:rFonts w:ascii="Times New Roman" w:eastAsia="宋体" w:hAnsi="Times New Roman"/>
          <w:color w:val="000000"/>
          <w:sz w:val="20"/>
          <w:szCs w:val="20"/>
        </w:rPr>
        <w:t>t either allow them to procure inventory based upon criteria as defined by us or that establish the parameters defining our requirements. In certain instances, these agreements allow us the option to cancel, reschedule, and adjust our requirements based on</w:t>
      </w:r>
      <w:r>
        <w:rPr>
          <w:rFonts w:ascii="Times New Roman" w:eastAsia="宋体" w:hAnsi="Times New Roman"/>
          <w:color w:val="000000"/>
          <w:sz w:val="20"/>
          <w:szCs w:val="20"/>
        </w:rPr>
        <w:t xml:space="preserve"> our business needs prior to firm orders being placed. When facing component supply-related challenges we have increased our efforts in procuring components in order to meet customer expectations, which in turn contributes to an increase in purchase commit</w:t>
      </w:r>
      <w:r>
        <w:rPr>
          <w:rFonts w:ascii="Times New Roman" w:eastAsia="宋体" w:hAnsi="Times New Roman"/>
          <w:color w:val="000000"/>
          <w:sz w:val="20"/>
          <w:szCs w:val="20"/>
        </w:rPr>
        <w:t>ments. Increases in our purchase commitments to shorten lead times could also lead to excess and obsolete inventory charges if the demand for our products is less than our expectations. If we fail to anticipate customer demand properly, an oversupply of pa</w:t>
      </w:r>
      <w:r>
        <w:rPr>
          <w:rFonts w:ascii="Times New Roman" w:eastAsia="宋体" w:hAnsi="Times New Roman"/>
          <w:color w:val="000000"/>
          <w:sz w:val="20"/>
          <w:szCs w:val="20"/>
        </w:rPr>
        <w:t xml:space="preserve">rts could result in excess or obsolete components that could adversely affect our gross margins. For additional information regarding our purchase commitments with contract manufacturers and suppliers, see Note 14 to the Consolidated Financial Statements. </w:t>
      </w:r>
    </w:p>
    <w:p w14:paraId="7B67187B" w14:textId="77777777" w:rsidR="0040300B" w:rsidRDefault="0040300B">
      <w:pPr>
        <w:spacing w:before="120"/>
        <w:jc w:val="both"/>
      </w:pPr>
    </w:p>
    <w:p w14:paraId="7B67187C" w14:textId="77777777" w:rsidR="0040300B" w:rsidRDefault="00BB2D44">
      <w:pPr>
        <w:jc w:val="center"/>
      </w:pPr>
      <w:r>
        <w:rPr>
          <w:rFonts w:ascii="Times New Roman" w:eastAsia="宋体" w:hAnsi="Times New Roman"/>
          <w:color w:val="000000"/>
          <w:sz w:val="20"/>
          <w:szCs w:val="20"/>
        </w:rPr>
        <w:t>72</w:t>
      </w:r>
    </w:p>
    <w:p w14:paraId="7B67187D" w14:textId="77777777" w:rsidR="0040300B" w:rsidRDefault="00BB2D44">
      <w:r>
        <w:pict w14:anchorId="7B671C58">
          <v:rect id="_x0000_i1096" style="width:415.3pt;height:1.5pt" o:hralign="center" o:hrstd="t" o:hr="t" fillcolor="#a0a0a0" stroked="f"/>
        </w:pict>
      </w:r>
    </w:p>
    <w:p w14:paraId="7B67187E" w14:textId="77777777" w:rsidR="0040300B" w:rsidRDefault="00BB2D44">
      <w:hyperlink r:id="rId118" w:anchor="i52d5b40dbad7426a9806a2fd5167029f_7" w:history="1">
        <w:r>
          <w:rPr>
            <w:rStyle w:val="a5"/>
            <w:rFonts w:ascii="Times New Roman" w:eastAsia="宋体" w:hAnsi="Times New Roman"/>
            <w:sz w:val="18"/>
            <w:szCs w:val="18"/>
          </w:rPr>
          <w:t>Table of Contents</w:t>
        </w:r>
      </w:hyperlink>
    </w:p>
    <w:p w14:paraId="7B67187F" w14:textId="77777777" w:rsidR="0040300B" w:rsidRDefault="00BB2D44">
      <w:pPr>
        <w:spacing w:before="120"/>
        <w:jc w:val="both"/>
      </w:pPr>
      <w:r>
        <w:rPr>
          <w:rFonts w:ascii="Times New Roman" w:eastAsia="宋体" w:hAnsi="Times New Roman"/>
          <w:b/>
          <w:bCs/>
          <w:i/>
          <w:iCs/>
          <w:color w:val="000000"/>
          <w:sz w:val="20"/>
          <w:szCs w:val="20"/>
        </w:rPr>
        <w:t>We expect gross margin to vary over time, and our level of product gross margin ma</w:t>
      </w:r>
      <w:r>
        <w:rPr>
          <w:rFonts w:ascii="Times New Roman" w:eastAsia="宋体" w:hAnsi="Times New Roman"/>
          <w:b/>
          <w:bCs/>
          <w:i/>
          <w:iCs/>
          <w:color w:val="000000"/>
          <w:sz w:val="20"/>
          <w:szCs w:val="20"/>
        </w:rPr>
        <w:t>y not be sustainable.</w:t>
      </w:r>
      <w:r>
        <w:rPr>
          <w:rFonts w:ascii="Times New Roman" w:eastAsia="宋体" w:hAnsi="Times New Roman"/>
          <w:b/>
          <w:bCs/>
          <w:color w:val="000000"/>
          <w:sz w:val="20"/>
          <w:szCs w:val="20"/>
        </w:rPr>
        <w:t xml:space="preserve"> </w:t>
      </w:r>
    </w:p>
    <w:p w14:paraId="7B671880" w14:textId="77777777" w:rsidR="0040300B" w:rsidRDefault="00BB2D44">
      <w:pPr>
        <w:spacing w:before="120"/>
        <w:jc w:val="both"/>
      </w:pPr>
      <w:r>
        <w:rPr>
          <w:rFonts w:ascii="Times New Roman" w:eastAsia="宋体" w:hAnsi="Times New Roman"/>
          <w:color w:val="000000"/>
          <w:sz w:val="20"/>
          <w:szCs w:val="20"/>
        </w:rPr>
        <w:t>Our level of product gross margins declined in the first nine months of fiscal 2021 and have declined in certain prior periods on a year-over-year basis, and could decline in future periods due to adverse impacts from various factors</w:t>
      </w:r>
      <w:r>
        <w:rPr>
          <w:rFonts w:ascii="Times New Roman" w:eastAsia="宋体" w:hAnsi="Times New Roman"/>
          <w:color w:val="000000"/>
          <w:sz w:val="20"/>
          <w:szCs w:val="20"/>
        </w:rPr>
        <w:t>, including:</w:t>
      </w:r>
    </w:p>
    <w:p w14:paraId="7B671881" w14:textId="77777777" w:rsidR="0040300B" w:rsidRDefault="00BB2D44">
      <w:pPr>
        <w:spacing w:before="120"/>
        <w:ind w:hanging="360"/>
        <w:jc w:val="both"/>
      </w:pPr>
      <w:r>
        <w:rPr>
          <w:rFonts w:ascii="Times New Roman" w:eastAsia="宋体" w:hAnsi="Times New Roman"/>
          <w:color w:val="000000"/>
          <w:sz w:val="20"/>
          <w:szCs w:val="20"/>
        </w:rPr>
        <w:t>•Changes in customer, geographic, or product mix, including mix of configurations within each product group</w:t>
      </w:r>
    </w:p>
    <w:p w14:paraId="7B671882" w14:textId="77777777" w:rsidR="0040300B" w:rsidRDefault="00BB2D44">
      <w:pP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 transformati</w:t>
      </w:r>
      <w:r>
        <w:rPr>
          <w:rFonts w:ascii="Times New Roman" w:eastAsia="宋体" w:hAnsi="Times New Roman"/>
          <w:color w:val="000000"/>
          <w:sz w:val="20"/>
          <w:szCs w:val="20"/>
        </w:rPr>
        <w:t>on of our business to deliver more software and subscription offerings</w:t>
      </w:r>
    </w:p>
    <w:p w14:paraId="7B671883" w14:textId="77777777" w:rsidR="0040300B" w:rsidRDefault="00BB2D44">
      <w:pPr>
        <w:spacing w:before="60"/>
        <w:ind w:hanging="360"/>
        <w:jc w:val="both"/>
      </w:pPr>
      <w:r>
        <w:rPr>
          <w:rFonts w:ascii="Times New Roman" w:eastAsia="宋体" w:hAnsi="Times New Roman"/>
          <w:color w:val="000000"/>
          <w:sz w:val="20"/>
          <w:szCs w:val="20"/>
        </w:rPr>
        <w:t>•Our ability to reduce production costs</w:t>
      </w:r>
    </w:p>
    <w:p w14:paraId="7B671884" w14:textId="77777777" w:rsidR="0040300B" w:rsidRDefault="00BB2D44">
      <w:pPr>
        <w:spacing w:before="60"/>
        <w:ind w:hanging="360"/>
        <w:jc w:val="both"/>
      </w:pPr>
      <w:r>
        <w:rPr>
          <w:rFonts w:ascii="Times New Roman" w:eastAsia="宋体" w:hAnsi="Times New Roman"/>
          <w:color w:val="000000"/>
          <w:sz w:val="20"/>
          <w:szCs w:val="20"/>
        </w:rPr>
        <w:t xml:space="preserve">•Entry into new markets or growth in lower margin markets, including markets with different pricing and cost structures, through acquisitions or </w:t>
      </w:r>
      <w:r>
        <w:rPr>
          <w:rFonts w:ascii="Times New Roman" w:eastAsia="宋体" w:hAnsi="Times New Roman"/>
          <w:color w:val="000000"/>
          <w:sz w:val="20"/>
          <w:szCs w:val="20"/>
        </w:rPr>
        <w:t>internal development</w:t>
      </w:r>
    </w:p>
    <w:p w14:paraId="7B671885" w14:textId="77777777" w:rsidR="0040300B" w:rsidRDefault="00BB2D44">
      <w:pPr>
        <w:spacing w:before="60"/>
        <w:ind w:hanging="360"/>
        <w:jc w:val="both"/>
      </w:pPr>
      <w:r>
        <w:rPr>
          <w:rFonts w:ascii="Times New Roman" w:eastAsia="宋体" w:hAnsi="Times New Roman"/>
          <w:color w:val="000000"/>
          <w:sz w:val="20"/>
          <w:szCs w:val="20"/>
        </w:rPr>
        <w:t>•Sales discounts</w:t>
      </w:r>
    </w:p>
    <w:p w14:paraId="7B671886" w14:textId="77777777" w:rsidR="0040300B" w:rsidRDefault="00BB2D44">
      <w:pPr>
        <w:spacing w:before="60"/>
        <w:ind w:hanging="360"/>
        <w:jc w:val="both"/>
      </w:pPr>
      <w:r>
        <w:rPr>
          <w:rFonts w:ascii="Times New Roman" w:eastAsia="宋体" w:hAnsi="Times New Roman"/>
          <w:color w:val="000000"/>
          <w:sz w:val="20"/>
          <w:szCs w:val="20"/>
        </w:rPr>
        <w:t xml:space="preserve">•Increases in material, labor or other manufacturing-related costs (i.e. component costs, broker fees, expedited freight and overtime), which could be significant especially during periods of supply </w:t>
      </w:r>
      <w:r>
        <w:rPr>
          <w:rFonts w:ascii="Times New Roman" w:eastAsia="宋体" w:hAnsi="Times New Roman"/>
          <w:color w:val="000000"/>
          <w:sz w:val="20"/>
          <w:szCs w:val="20"/>
        </w:rPr>
        <w:t>constraints such as those impacting the market for components, including semiconductors and memory</w:t>
      </w:r>
    </w:p>
    <w:p w14:paraId="7B671887" w14:textId="77777777" w:rsidR="0040300B" w:rsidRDefault="00BB2D44">
      <w:pPr>
        <w:spacing w:before="60"/>
        <w:ind w:hanging="360"/>
        <w:jc w:val="both"/>
      </w:pPr>
      <w:r>
        <w:rPr>
          <w:rFonts w:ascii="Times New Roman" w:eastAsia="宋体" w:hAnsi="Times New Roman"/>
          <w:color w:val="000000"/>
          <w:sz w:val="20"/>
          <w:szCs w:val="20"/>
        </w:rPr>
        <w:t>•Excess inventory, inventory holding charges, and obsolescence charges</w:t>
      </w:r>
    </w:p>
    <w:p w14:paraId="7B671888" w14:textId="77777777" w:rsidR="0040300B" w:rsidRDefault="00BB2D44">
      <w:pPr>
        <w:spacing w:before="60"/>
        <w:ind w:hanging="360"/>
        <w:jc w:val="both"/>
      </w:pPr>
      <w:r>
        <w:rPr>
          <w:rFonts w:ascii="Times New Roman" w:eastAsia="宋体" w:hAnsi="Times New Roman"/>
          <w:color w:val="000000"/>
          <w:sz w:val="20"/>
          <w:szCs w:val="20"/>
        </w:rPr>
        <w:t>•Changes in shipment volume</w:t>
      </w:r>
    </w:p>
    <w:p w14:paraId="7B671889" w14:textId="77777777" w:rsidR="0040300B" w:rsidRDefault="00BB2D44">
      <w:pPr>
        <w:spacing w:before="60"/>
        <w:ind w:hanging="360"/>
        <w:jc w:val="both"/>
      </w:pPr>
      <w:r>
        <w:rPr>
          <w:rFonts w:ascii="Times New Roman" w:eastAsia="宋体" w:hAnsi="Times New Roman"/>
          <w:color w:val="000000"/>
          <w:sz w:val="20"/>
          <w:szCs w:val="20"/>
        </w:rPr>
        <w:t>•The timing of revenue recognition and revenue deferrals</w:t>
      </w:r>
    </w:p>
    <w:p w14:paraId="7B67188A" w14:textId="77777777" w:rsidR="0040300B" w:rsidRDefault="00BB2D44">
      <w:pPr>
        <w:spacing w:before="60"/>
        <w:ind w:hanging="360"/>
        <w:jc w:val="both"/>
      </w:pPr>
      <w:r>
        <w:rPr>
          <w:rFonts w:ascii="Times New Roman" w:eastAsia="宋体" w:hAnsi="Times New Roman"/>
          <w:color w:val="000000"/>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w:t>
      </w:r>
      <w:r>
        <w:rPr>
          <w:rFonts w:ascii="Times New Roman" w:eastAsia="宋体" w:hAnsi="Times New Roman"/>
          <w:color w:val="000000"/>
          <w:sz w:val="20"/>
          <w:szCs w:val="20"/>
        </w:rPr>
        <w:t>he financial health of either contract manufacturers or suppliers deteriorates</w:t>
      </w:r>
    </w:p>
    <w:p w14:paraId="7B67188B" w14:textId="77777777" w:rsidR="0040300B" w:rsidRDefault="00BB2D44">
      <w:pPr>
        <w:spacing w:before="60"/>
        <w:ind w:hanging="360"/>
        <w:jc w:val="both"/>
      </w:pPr>
      <w:r>
        <w:rPr>
          <w:rFonts w:ascii="Times New Roman" w:eastAsia="宋体" w:hAnsi="Times New Roman"/>
          <w:color w:val="000000"/>
          <w:sz w:val="20"/>
          <w:szCs w:val="20"/>
        </w:rPr>
        <w:t>•Lower than expected benefits from value engineering</w:t>
      </w:r>
    </w:p>
    <w:p w14:paraId="7B67188C" w14:textId="77777777" w:rsidR="0040300B" w:rsidRDefault="00BB2D44">
      <w:pPr>
        <w:spacing w:before="60"/>
        <w:ind w:hanging="360"/>
        <w:jc w:val="both"/>
      </w:pPr>
      <w:r>
        <w:rPr>
          <w:rFonts w:ascii="Times New Roman" w:eastAsia="宋体" w:hAnsi="Times New Roman"/>
          <w:color w:val="000000"/>
          <w:sz w:val="20"/>
          <w:szCs w:val="20"/>
        </w:rPr>
        <w:t>•Increased price competition, including competitors from Asia, especially from China</w:t>
      </w:r>
    </w:p>
    <w:p w14:paraId="7B67188D" w14:textId="77777777" w:rsidR="0040300B" w:rsidRDefault="00BB2D44">
      <w:pPr>
        <w:spacing w:before="60"/>
        <w:ind w:hanging="360"/>
        <w:jc w:val="both"/>
      </w:pPr>
      <w:r>
        <w:rPr>
          <w:rFonts w:ascii="Times New Roman" w:eastAsia="宋体" w:hAnsi="Times New Roman"/>
          <w:color w:val="000000"/>
          <w:sz w:val="20"/>
          <w:szCs w:val="20"/>
        </w:rPr>
        <w:t>•Changes in distribution channels</w:t>
      </w:r>
    </w:p>
    <w:p w14:paraId="7B67188E" w14:textId="77777777" w:rsidR="0040300B" w:rsidRDefault="00BB2D44">
      <w:pPr>
        <w:spacing w:before="60"/>
        <w:ind w:hanging="360"/>
        <w:jc w:val="both"/>
      </w:pPr>
      <w:r>
        <w:rPr>
          <w:rFonts w:ascii="Times New Roman" w:eastAsia="宋体" w:hAnsi="Times New Roman"/>
          <w:color w:val="000000"/>
          <w:sz w:val="20"/>
          <w:szCs w:val="20"/>
        </w:rPr>
        <w:t>•Incr</w:t>
      </w:r>
      <w:r>
        <w:rPr>
          <w:rFonts w:ascii="Times New Roman" w:eastAsia="宋体" w:hAnsi="Times New Roman"/>
          <w:color w:val="000000"/>
          <w:sz w:val="20"/>
          <w:szCs w:val="20"/>
        </w:rPr>
        <w:t>eased warranty or royalty costs</w:t>
      </w:r>
    </w:p>
    <w:p w14:paraId="7B67188F" w14:textId="77777777" w:rsidR="0040300B" w:rsidRDefault="00BB2D44">
      <w:pPr>
        <w:spacing w:before="60"/>
        <w:ind w:hanging="360"/>
        <w:jc w:val="both"/>
      </w:pPr>
      <w:r>
        <w:rPr>
          <w:rFonts w:ascii="Times New Roman" w:eastAsia="宋体" w:hAnsi="Times New Roman"/>
          <w:color w:val="000000"/>
          <w:sz w:val="20"/>
          <w:szCs w:val="20"/>
        </w:rPr>
        <w:t>•Increased amortization of purchased intangible assets, especially from acquisitions</w:t>
      </w:r>
    </w:p>
    <w:p w14:paraId="7B671890" w14:textId="77777777" w:rsidR="0040300B" w:rsidRDefault="00BB2D44">
      <w:pPr>
        <w:spacing w:before="60"/>
        <w:ind w:hanging="360"/>
        <w:jc w:val="both"/>
      </w:pPr>
      <w:r>
        <w:rPr>
          <w:rFonts w:ascii="Times New Roman" w:eastAsia="宋体" w:hAnsi="Times New Roman"/>
          <w:color w:val="000000"/>
          <w:sz w:val="20"/>
          <w:szCs w:val="20"/>
        </w:rPr>
        <w:t>•How well we execute on our strategy and operating plans</w:t>
      </w:r>
    </w:p>
    <w:p w14:paraId="7B671891" w14:textId="77777777" w:rsidR="0040300B" w:rsidRDefault="00BB2D44">
      <w:pPr>
        <w:spacing w:before="120"/>
        <w:jc w:val="both"/>
      </w:pPr>
      <w:r>
        <w:rPr>
          <w:rFonts w:ascii="Times New Roman" w:eastAsia="宋体" w:hAnsi="Times New Roman"/>
          <w:color w:val="000000"/>
          <w:sz w:val="20"/>
          <w:szCs w:val="20"/>
        </w:rPr>
        <w:t>Changes in service gross margin may result from various factors such as changes in</w:t>
      </w:r>
      <w:r>
        <w:rPr>
          <w:rFonts w:ascii="Times New Roman" w:eastAsia="宋体" w:hAnsi="Times New Roman"/>
          <w:color w:val="000000"/>
          <w:sz w:val="20"/>
          <w:szCs w:val="20"/>
        </w:rPr>
        <w:t xml:space="preserve"> the mix between technical support services and advanced services, as well as the timing of technical support service contract initiations and renewals and the addition of personnel and other resources to support higher levels of service business in future</w:t>
      </w:r>
      <w:r>
        <w:rPr>
          <w:rFonts w:ascii="Times New Roman" w:eastAsia="宋体" w:hAnsi="Times New Roman"/>
          <w:color w:val="000000"/>
          <w:sz w:val="20"/>
          <w:szCs w:val="20"/>
        </w:rPr>
        <w:t xml:space="preserve"> periods. </w:t>
      </w:r>
    </w:p>
    <w:p w14:paraId="7B671892" w14:textId="77777777" w:rsidR="0040300B" w:rsidRDefault="00BB2D44">
      <w:pPr>
        <w:spacing w:before="120"/>
        <w:jc w:val="both"/>
      </w:pPr>
      <w:r>
        <w:rPr>
          <w:rFonts w:ascii="Times New Roman" w:eastAsia="宋体" w:hAnsi="Times New Roman"/>
          <w:b/>
          <w:bCs/>
          <w:i/>
          <w:iCs/>
          <w:color w:val="000000"/>
          <w:sz w:val="20"/>
          <w:szCs w:val="20"/>
        </w:rPr>
        <w:t xml:space="preserve">Sales to the service provider market are especially volatile, and weakness in orders from this industry may harm our operating results and financial condition. </w:t>
      </w:r>
    </w:p>
    <w:p w14:paraId="7B671893" w14:textId="77777777" w:rsidR="0040300B" w:rsidRDefault="00BB2D44">
      <w:pPr>
        <w:spacing w:before="120"/>
        <w:jc w:val="both"/>
      </w:pPr>
      <w:r>
        <w:rPr>
          <w:rFonts w:ascii="Times New Roman" w:eastAsia="宋体" w:hAnsi="Times New Roman"/>
          <w:color w:val="000000"/>
          <w:sz w:val="20"/>
          <w:szCs w:val="20"/>
        </w:rPr>
        <w:t>Sales to the service provider market have been characterized by large and sporadic p</w:t>
      </w:r>
      <w:r>
        <w:rPr>
          <w:rFonts w:ascii="Times New Roman" w:eastAsia="宋体" w:hAnsi="Times New Roman"/>
          <w:color w:val="000000"/>
          <w:sz w:val="20"/>
          <w:szCs w:val="20"/>
        </w:rPr>
        <w:t>urchases, especially relating to our router sales and sales of certain other Infrastructure Platforms and Applications products, in addition to longer sales cycles. Service provider product orders decreased during the first quarter of fiscal 2021 and in ce</w:t>
      </w:r>
      <w:r>
        <w:rPr>
          <w:rFonts w:ascii="Times New Roman" w:eastAsia="宋体" w:hAnsi="Times New Roman"/>
          <w:color w:val="000000"/>
          <w:sz w:val="20"/>
          <w:szCs w:val="20"/>
        </w:rPr>
        <w:t>rtain prior periods, and at various times in the past, including in recent quarters, we have experienced significant weakness in product orders from service providers. Product orders from the service provider market could continue to decline and, as has be</w:t>
      </w:r>
      <w:r>
        <w:rPr>
          <w:rFonts w:ascii="Times New Roman" w:eastAsia="宋体" w:hAnsi="Times New Roman"/>
          <w:color w:val="000000"/>
          <w:sz w:val="20"/>
          <w:szCs w:val="20"/>
        </w:rPr>
        <w:t xml:space="preserve">en the case in the past, such weakness could persist over extended periods of time given fluctuating market conditions. Sales activity in this industry depends upon the stage of completion of expanding network infrastructures; the availability of funding; </w:t>
      </w:r>
      <w:r>
        <w:rPr>
          <w:rFonts w:ascii="Times New Roman" w:eastAsia="宋体" w:hAnsi="Times New Roman"/>
          <w:color w:val="000000"/>
          <w:sz w:val="20"/>
          <w:szCs w:val="20"/>
        </w:rPr>
        <w:t xml:space="preserve">and the extent to which service providers are affected by regulatory, economic, and business conditions in the country of operations. Weakness in orders from this industry, including as a result of any slowdown in capital expenditures by service providers </w:t>
      </w:r>
      <w:r>
        <w:rPr>
          <w:rFonts w:ascii="Times New Roman" w:eastAsia="宋体" w:hAnsi="Times New Roman"/>
          <w:color w:val="000000"/>
          <w:sz w:val="20"/>
          <w:szCs w:val="20"/>
        </w:rPr>
        <w:t>(which may be more prevalent during a global economic downturn, or periods of economic, political or regulatory uncertainty), could have a material adverse effect on our business, operating results, and financial condition. Such slowdowns may continue or r</w:t>
      </w:r>
      <w:r>
        <w:rPr>
          <w:rFonts w:ascii="Times New Roman" w:eastAsia="宋体" w:hAnsi="Times New Roman"/>
          <w:color w:val="000000"/>
          <w:sz w:val="20"/>
          <w:szCs w:val="20"/>
        </w:rPr>
        <w:t>ecur in future periods. Orders from this industry could decline for many reasons other than the competitiveness of our products and services within their respective markets. For example, in the past, many of our service provider customers have been materia</w:t>
      </w:r>
      <w:r>
        <w:rPr>
          <w:rFonts w:ascii="Times New Roman" w:eastAsia="宋体" w:hAnsi="Times New Roman"/>
          <w:color w:val="000000"/>
          <w:sz w:val="20"/>
          <w:szCs w:val="20"/>
        </w:rPr>
        <w:t>lly and adversely affected by slowdowns in the general economy, by overcapacity, by changes in the service provider market, by regulatory developments, and by constraints on capital availability, resulting in business failures and substantial reductions in</w:t>
      </w:r>
      <w:r>
        <w:rPr>
          <w:rFonts w:ascii="Times New Roman" w:eastAsia="宋体" w:hAnsi="Times New Roman"/>
          <w:color w:val="000000"/>
          <w:sz w:val="20"/>
          <w:szCs w:val="20"/>
        </w:rPr>
        <w:t xml:space="preserve"> spending and expansion plans. These conditions have materially harmed our business and operating results in the past, and could affect our business and operating results in any future period. Finally, service provider customers typically have longer imple</w:t>
      </w:r>
      <w:r>
        <w:rPr>
          <w:rFonts w:ascii="Times New Roman" w:eastAsia="宋体" w:hAnsi="Times New Roman"/>
          <w:color w:val="000000"/>
          <w:sz w:val="20"/>
          <w:szCs w:val="20"/>
        </w:rPr>
        <w:t>mentation cycles; require a broader range of services, including design services; demand that vendors take on a larger share of risks; often require acceptance provisions, which can lead to a delay in revenue recognition; and expect financing from vendors.</w:t>
      </w:r>
      <w:r>
        <w:rPr>
          <w:rFonts w:ascii="Times New Roman" w:eastAsia="宋体" w:hAnsi="Times New Roman"/>
          <w:color w:val="000000"/>
          <w:sz w:val="20"/>
          <w:szCs w:val="20"/>
        </w:rPr>
        <w:t xml:space="preserve"> All these factors can add further risk to business conducted with service providers.</w:t>
      </w:r>
    </w:p>
    <w:p w14:paraId="7B671894" w14:textId="77777777" w:rsidR="0040300B" w:rsidRDefault="0040300B">
      <w:pPr>
        <w:spacing w:before="120"/>
        <w:jc w:val="both"/>
      </w:pPr>
    </w:p>
    <w:p w14:paraId="7B671895" w14:textId="77777777" w:rsidR="0040300B" w:rsidRDefault="00BB2D44">
      <w:pPr>
        <w:jc w:val="center"/>
      </w:pPr>
      <w:r>
        <w:rPr>
          <w:rFonts w:ascii="Times New Roman" w:eastAsia="宋体" w:hAnsi="Times New Roman"/>
          <w:color w:val="000000"/>
          <w:sz w:val="20"/>
          <w:szCs w:val="20"/>
        </w:rPr>
        <w:t>73</w:t>
      </w:r>
    </w:p>
    <w:p w14:paraId="7B671896" w14:textId="77777777" w:rsidR="0040300B" w:rsidRDefault="00BB2D44">
      <w:r>
        <w:pict w14:anchorId="7B671C59">
          <v:rect id="_x0000_i1097" style="width:415.3pt;height:1.5pt" o:hralign="center" o:hrstd="t" o:hr="t" fillcolor="#a0a0a0" stroked="f"/>
        </w:pict>
      </w:r>
    </w:p>
    <w:p w14:paraId="7B671897" w14:textId="77777777" w:rsidR="0040300B" w:rsidRDefault="00BB2D44">
      <w:hyperlink r:id="rId119" w:anchor="i52d5b40dbad7426a9806a2fd5167029f_7" w:history="1">
        <w:r>
          <w:rPr>
            <w:rStyle w:val="a5"/>
            <w:rFonts w:ascii="Times New Roman" w:eastAsia="宋体" w:hAnsi="Times New Roman"/>
            <w:sz w:val="18"/>
            <w:szCs w:val="18"/>
          </w:rPr>
          <w:t>Table of Contents</w:t>
        </w:r>
      </w:hyperlink>
    </w:p>
    <w:p w14:paraId="7B671898" w14:textId="77777777" w:rsidR="0040300B" w:rsidRDefault="00BB2D44">
      <w:pPr>
        <w:spacing w:before="120"/>
        <w:jc w:val="both"/>
      </w:pPr>
      <w:r>
        <w:rPr>
          <w:rFonts w:ascii="Times New Roman" w:eastAsia="宋体" w:hAnsi="Times New Roman"/>
          <w:b/>
          <w:bCs/>
          <w:i/>
          <w:iCs/>
          <w:color w:val="000000"/>
          <w:sz w:val="20"/>
          <w:szCs w:val="20"/>
        </w:rPr>
        <w:t>Disruption of or changes in our distribution model could harm our sales and margins.</w:t>
      </w:r>
      <w:r>
        <w:rPr>
          <w:rFonts w:ascii="Times New Roman" w:eastAsia="宋体" w:hAnsi="Times New Roman"/>
          <w:b/>
          <w:bCs/>
          <w:color w:val="000000"/>
          <w:sz w:val="20"/>
          <w:szCs w:val="20"/>
        </w:rPr>
        <w:t xml:space="preserve"> </w:t>
      </w:r>
    </w:p>
    <w:p w14:paraId="7B671899" w14:textId="77777777" w:rsidR="0040300B" w:rsidRDefault="00BB2D44">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weaken, our revenue and gross margin</w:t>
      </w:r>
      <w:r>
        <w:rPr>
          <w:rFonts w:ascii="Times New Roman" w:eastAsia="宋体" w:hAnsi="Times New Roman"/>
          <w:color w:val="000000"/>
          <w:sz w:val="20"/>
          <w:szCs w:val="20"/>
        </w:rPr>
        <w:t>s could be adversely affected. A substantial portion of our products and services is sold through our channel partners, and the remainder is sold through direct sales. Our channel partners include systems integrators, service providers, other resellers, an</w:t>
      </w:r>
      <w:r>
        <w:rPr>
          <w:rFonts w:ascii="Times New Roman" w:eastAsia="宋体" w:hAnsi="Times New Roman"/>
          <w:color w:val="000000"/>
          <w:sz w:val="20"/>
          <w:szCs w:val="20"/>
        </w:rPr>
        <w:t>d distributors. Systems integrators and service providers typically sell directly to end users and often provide system installation, technical support, professional services, and other support services in addition to network equipment sales. Systems integ</w:t>
      </w:r>
      <w:r>
        <w:rPr>
          <w:rFonts w:ascii="Times New Roman" w:eastAsia="宋体" w:hAnsi="Times New Roman"/>
          <w:color w:val="000000"/>
          <w:sz w:val="20"/>
          <w:szCs w:val="20"/>
        </w:rPr>
        <w:t xml:space="preserve">rators also typically integrate our products into an overall solution, and a number of service providers are also systems integrators. Distributors stock inventory and typically sell to systems integrators, service providers, and other resellers. We refer </w:t>
      </w:r>
      <w:r>
        <w:rPr>
          <w:rFonts w:ascii="Times New Roman" w:eastAsia="宋体" w:hAnsi="Times New Roman"/>
          <w:color w:val="000000"/>
          <w:sz w:val="20"/>
          <w:szCs w:val="20"/>
        </w:rPr>
        <w:t>to sales through distributors as our two-tier system of sales to the end customer. If sales through indirect channels increase, this may lead to greater difficulty in forecasting the mix of our products and, to a degree, the timing of orders from our custo</w:t>
      </w:r>
      <w:r>
        <w:rPr>
          <w:rFonts w:ascii="Times New Roman" w:eastAsia="宋体" w:hAnsi="Times New Roman"/>
          <w:color w:val="000000"/>
          <w:sz w:val="20"/>
          <w:szCs w:val="20"/>
        </w:rPr>
        <w:t xml:space="preserve">mers. </w:t>
      </w:r>
    </w:p>
    <w:p w14:paraId="7B67189A" w14:textId="77777777" w:rsidR="0040300B" w:rsidRDefault="00BB2D44">
      <w:pPr>
        <w:spacing w:before="120"/>
        <w:jc w:val="both"/>
      </w:pPr>
      <w:r>
        <w:rPr>
          <w:rFonts w:ascii="Times New Roman" w:eastAsia="宋体" w:hAnsi="Times New Roman"/>
          <w:color w:val="000000"/>
          <w:sz w:val="20"/>
          <w:szCs w:val="20"/>
        </w:rPr>
        <w:t>Historically, we have seen fluctuations in our gross margins based on changes in the balance of our distribution channels. There can be no assurance that changes in the balance of our distribution model in future periods would not have an adverse ef</w:t>
      </w:r>
      <w:r>
        <w:rPr>
          <w:rFonts w:ascii="Times New Roman" w:eastAsia="宋体" w:hAnsi="Times New Roman"/>
          <w:color w:val="000000"/>
          <w:sz w:val="20"/>
          <w:szCs w:val="20"/>
        </w:rPr>
        <w:t xml:space="preserve">fect on our gross margins and profitability. Some factors could result in disruption of or changes in our distribution model, which could harm our sales and margins, including the following: competition with some of our channel partners, including through </w:t>
      </w:r>
      <w:r>
        <w:rPr>
          <w:rFonts w:ascii="Times New Roman" w:eastAsia="宋体" w:hAnsi="Times New Roman"/>
          <w:color w:val="000000"/>
          <w:sz w:val="20"/>
          <w:szCs w:val="20"/>
        </w:rPr>
        <w:t>our direct sales, which may lead these channel partners to use other suppliers that do not directly sell their own products or otherwise compete with them; some of our channel partners may demand that we absorb a greater share of the risks that their custo</w:t>
      </w:r>
      <w:r>
        <w:rPr>
          <w:rFonts w:ascii="Times New Roman" w:eastAsia="宋体" w:hAnsi="Times New Roman"/>
          <w:color w:val="000000"/>
          <w:sz w:val="20"/>
          <w:szCs w:val="20"/>
        </w:rPr>
        <w:t>mers may ask them to bear; some of our channel partners may have insufficient financial resources and may not be able to withstand changes and challenges in business conditions; and revenue from indirect sales could suffer if our distributors’ financial co</w:t>
      </w:r>
      <w:r>
        <w:rPr>
          <w:rFonts w:ascii="Times New Roman" w:eastAsia="宋体" w:hAnsi="Times New Roman"/>
          <w:color w:val="000000"/>
          <w:sz w:val="20"/>
          <w:szCs w:val="20"/>
        </w:rPr>
        <w:t>ndition or operations weaken. In addition, we depend on our channel partners globally to comply with applicable regulatory requirements. To the extent that they fail to do so, that could have a material adverse effect on our business, operating results, an</w:t>
      </w:r>
      <w:r>
        <w:rPr>
          <w:rFonts w:ascii="Times New Roman" w:eastAsia="宋体" w:hAnsi="Times New Roman"/>
          <w:color w:val="000000"/>
          <w:sz w:val="20"/>
          <w:szCs w:val="20"/>
        </w:rPr>
        <w:t>d financial condition. Further, sales of our products outside of agreed territories can result in disruption to our distribution channels.</w:t>
      </w:r>
    </w:p>
    <w:p w14:paraId="7B67189B" w14:textId="77777777" w:rsidR="0040300B" w:rsidRDefault="00BB2D44">
      <w:pPr>
        <w:spacing w:before="120"/>
        <w:jc w:val="both"/>
      </w:pPr>
      <w:r>
        <w:rPr>
          <w:rFonts w:ascii="Times New Roman" w:eastAsia="宋体" w:hAnsi="Times New Roman"/>
          <w:b/>
          <w:bCs/>
          <w:i/>
          <w:iCs/>
          <w:color w:val="000000"/>
          <w:sz w:val="20"/>
          <w:szCs w:val="20"/>
        </w:rPr>
        <w:t>The markets in which we compete are intensely competitive, which could adversely affect our achievement of revenue gr</w:t>
      </w:r>
      <w:r>
        <w:rPr>
          <w:rFonts w:ascii="Times New Roman" w:eastAsia="宋体" w:hAnsi="Times New Roman"/>
          <w:b/>
          <w:bCs/>
          <w:i/>
          <w:iCs/>
          <w:color w:val="000000"/>
          <w:sz w:val="20"/>
          <w:szCs w:val="20"/>
        </w:rPr>
        <w:t>owth.</w:t>
      </w:r>
      <w:r>
        <w:rPr>
          <w:rFonts w:ascii="Times New Roman" w:eastAsia="宋体" w:hAnsi="Times New Roman"/>
          <w:b/>
          <w:bCs/>
          <w:color w:val="000000"/>
          <w:sz w:val="20"/>
          <w:szCs w:val="20"/>
        </w:rPr>
        <w:t xml:space="preserve"> </w:t>
      </w:r>
    </w:p>
    <w:p w14:paraId="7B67189C" w14:textId="77777777" w:rsidR="0040300B" w:rsidRDefault="00BB2D44">
      <w:pPr>
        <w:spacing w:before="120"/>
        <w:jc w:val="both"/>
      </w:pPr>
      <w:r>
        <w:rPr>
          <w:rFonts w:ascii="Times New Roman" w:eastAsia="宋体" w:hAnsi="Times New Roman"/>
          <w:color w:val="000000"/>
          <w:sz w:val="20"/>
          <w:szCs w:val="20"/>
        </w:rPr>
        <w:t>The markets in which we compete are characterized by rapid change, converging technologies, and a migration to networking and communications solutions that offer relative advantages. These market factors represent a competitive threat to us. We compete wit</w:t>
      </w:r>
      <w:r>
        <w:rPr>
          <w:rFonts w:ascii="Times New Roman" w:eastAsia="宋体" w:hAnsi="Times New Roman"/>
          <w:color w:val="000000"/>
          <w:sz w:val="20"/>
          <w:szCs w:val="20"/>
        </w:rPr>
        <w:t>h numerous vendors in each product category. The overall number of our competitors providing niche product solutions may increase. Also, the identity and composition of competitors may change as we increase our activity in newer product areas, and in key p</w:t>
      </w:r>
      <w:r>
        <w:rPr>
          <w:rFonts w:ascii="Times New Roman" w:eastAsia="宋体" w:hAnsi="Times New Roman"/>
          <w:color w:val="000000"/>
          <w:sz w:val="20"/>
          <w:szCs w:val="20"/>
        </w:rPr>
        <w:t xml:space="preserve">riority and growth areas. For example, as products related to network programmability, such as software defined networking (SDN) products, become more prevalent, we expect to face increased competition from companies that develop networking products based </w:t>
      </w:r>
      <w:r>
        <w:rPr>
          <w:rFonts w:ascii="Times New Roman" w:eastAsia="宋体" w:hAnsi="Times New Roman"/>
          <w:color w:val="000000"/>
          <w:sz w:val="20"/>
          <w:szCs w:val="20"/>
        </w:rPr>
        <w:t xml:space="preserve">on commoditized hardware, referred to as “white box” hardware, to the extent customers decide to purchase those product offerings instead of ours. In addition, the growth in demand for technology delivered as a service enables new competitors to enter the </w:t>
      </w:r>
      <w:r>
        <w:rPr>
          <w:rFonts w:ascii="Times New Roman" w:eastAsia="宋体" w:hAnsi="Times New Roman"/>
          <w:color w:val="000000"/>
          <w:sz w:val="20"/>
          <w:szCs w:val="20"/>
        </w:rPr>
        <w:t>market. As we continue to expand globally, we may see new competition in different geographic regions. In particular, we have experienced price-focused competition from competitors in Asia, especially from China, and we anticipate this will continue. Our c</w:t>
      </w:r>
      <w:r>
        <w:rPr>
          <w:rFonts w:ascii="Times New Roman" w:eastAsia="宋体" w:hAnsi="Times New Roman"/>
          <w:color w:val="000000"/>
          <w:sz w:val="20"/>
          <w:szCs w:val="20"/>
        </w:rPr>
        <w:t xml:space="preserve">ompetitors (in each case relative to only some of our products or services) include: Amazon Web Services LLC; Arista Networks, Inc.; Broadcom Inc.; CommScope Holding Company, Inc.; Check Point Software Technologies Ltd.; Dell Technologies Inc.; Dynatrace; </w:t>
      </w:r>
      <w:r>
        <w:rPr>
          <w:rFonts w:ascii="Times New Roman" w:eastAsia="宋体" w:hAnsi="Times New Roman"/>
          <w:color w:val="000000"/>
          <w:sz w:val="20"/>
          <w:szCs w:val="20"/>
        </w:rPr>
        <w:t>F5 Networks, Inc.; FireEye, Inc.; Fortinet, Inc.; Hewlett-Packard Enterprise Company; Huawei Technologies Co., Ltd.; Juniper Networks, Inc.; Lenovo Group Limited; LogMeIn, Inc.; Microsoft Corporation; New Relic, Inc.; Nokia Corporation; Nutanix, Inc.; Palo</w:t>
      </w:r>
      <w:r>
        <w:rPr>
          <w:rFonts w:ascii="Times New Roman" w:eastAsia="宋体" w:hAnsi="Times New Roman"/>
          <w:color w:val="000000"/>
          <w:sz w:val="20"/>
          <w:szCs w:val="20"/>
        </w:rPr>
        <w:t xml:space="preserve"> Alto Networks, Inc.; RingCentral, Inc.; Slack Technologies, Inc.; Ubiquiti Networks; VMware, Inc.; Zoom Video Communications, Inc.; and Zscaler, Inc.; among others. </w:t>
      </w:r>
    </w:p>
    <w:p w14:paraId="7B67189D" w14:textId="77777777" w:rsidR="0040300B" w:rsidRDefault="00BB2D44">
      <w:pPr>
        <w:spacing w:before="120"/>
        <w:jc w:val="both"/>
      </w:pPr>
      <w:r>
        <w:rPr>
          <w:rFonts w:ascii="Times New Roman" w:eastAsia="宋体" w:hAnsi="Times New Roman"/>
          <w:color w:val="000000"/>
          <w:sz w:val="20"/>
          <w:szCs w:val="20"/>
        </w:rPr>
        <w:t>Some of our competitors compete across many of our product lines, while others are primar</w:t>
      </w:r>
      <w:r>
        <w:rPr>
          <w:rFonts w:ascii="Times New Roman" w:eastAsia="宋体" w:hAnsi="Times New Roman"/>
          <w:color w:val="000000"/>
          <w:sz w:val="20"/>
          <w:szCs w:val="20"/>
        </w:rPr>
        <w:t>ily focused in a specific product area. Barriers to entry are relatively low, and new ventures to create products that do or could compete with our products are regularly formed. In addition, some of our competitors may have greater resources, including te</w:t>
      </w:r>
      <w:r>
        <w:rPr>
          <w:rFonts w:ascii="Times New Roman" w:eastAsia="宋体" w:hAnsi="Times New Roman"/>
          <w:color w:val="000000"/>
          <w:sz w:val="20"/>
          <w:szCs w:val="20"/>
        </w:rPr>
        <w:t>chnical and engineering resources, than we do. As we expand into new markets, we will face competition not only from our existing competitors but also from other competitors, including existing companies with strong technological, marketing, and sales posi</w:t>
      </w:r>
      <w:r>
        <w:rPr>
          <w:rFonts w:ascii="Times New Roman" w:eastAsia="宋体" w:hAnsi="Times New Roman"/>
          <w:color w:val="000000"/>
          <w:sz w:val="20"/>
          <w:szCs w:val="20"/>
        </w:rPr>
        <w:t>tions in those markets. We also sometimes face competition from resellers and distributors of our products. Companies with which we have strategic alliances in some areas may be competitors in other areas, and this trend may increase. For example, the ente</w:t>
      </w:r>
      <w:r>
        <w:rPr>
          <w:rFonts w:ascii="Times New Roman" w:eastAsia="宋体" w:hAnsi="Times New Roman"/>
          <w:color w:val="000000"/>
          <w:sz w:val="20"/>
          <w:szCs w:val="20"/>
        </w:rPr>
        <w:t>rprise data center is undergoing a fundamental transformation arising from the convergence of technologies, including computing, networking, storage, and software, that previously were segregated. Due to several factors, including the availability of highl</w:t>
      </w:r>
      <w:r>
        <w:rPr>
          <w:rFonts w:ascii="Times New Roman" w:eastAsia="宋体" w:hAnsi="Times New Roman"/>
          <w:color w:val="000000"/>
          <w:sz w:val="20"/>
          <w:szCs w:val="20"/>
        </w:rPr>
        <w:t>y scalable and general purpose microprocessors, ASICs offering advanced services, standards based protocols, cloud computing and virtualization, the convergence of technologies within the enterprise data center is spanning multiple, previously independent,</w:t>
      </w:r>
      <w:r>
        <w:rPr>
          <w:rFonts w:ascii="Times New Roman" w:eastAsia="宋体" w:hAnsi="Times New Roman"/>
          <w:color w:val="000000"/>
          <w:sz w:val="20"/>
          <w:szCs w:val="20"/>
        </w:rPr>
        <w:t xml:space="preserve"> technology segments. Also, some of our current and potential competitors for enterprise data center business have made acquisitions, or announced new strategic alliances, designed to position them to provide end-to-end technology solutions </w:t>
      </w:r>
    </w:p>
    <w:p w14:paraId="7B67189E" w14:textId="77777777" w:rsidR="0040300B" w:rsidRDefault="00BB2D44">
      <w:pPr>
        <w:jc w:val="center"/>
      </w:pPr>
      <w:r>
        <w:rPr>
          <w:rFonts w:ascii="Times New Roman" w:eastAsia="宋体" w:hAnsi="Times New Roman"/>
          <w:color w:val="000000"/>
          <w:sz w:val="20"/>
          <w:szCs w:val="20"/>
        </w:rPr>
        <w:t>74</w:t>
      </w:r>
    </w:p>
    <w:p w14:paraId="7B67189F" w14:textId="77777777" w:rsidR="0040300B" w:rsidRDefault="00BB2D44">
      <w:r>
        <w:pict w14:anchorId="7B671C5A">
          <v:rect id="_x0000_i1098" style="width:415.3pt;height:1.5pt" o:hralign="center" o:hrstd="t" o:hr="t" fillcolor="#a0a0a0" stroked="f"/>
        </w:pict>
      </w:r>
    </w:p>
    <w:p w14:paraId="7B6718A0" w14:textId="77777777" w:rsidR="0040300B" w:rsidRDefault="00BB2D44">
      <w:hyperlink r:id="rId120" w:anchor="i52d5b40dbad7426a9806a2fd5167029f_7" w:history="1">
        <w:r>
          <w:rPr>
            <w:rStyle w:val="a5"/>
            <w:rFonts w:ascii="Times New Roman" w:eastAsia="宋体" w:hAnsi="Times New Roman"/>
            <w:sz w:val="18"/>
            <w:szCs w:val="18"/>
          </w:rPr>
          <w:t>Table of Contents</w:t>
        </w:r>
      </w:hyperlink>
    </w:p>
    <w:p w14:paraId="7B6718A1" w14:textId="77777777" w:rsidR="0040300B" w:rsidRDefault="00BB2D44">
      <w:pPr>
        <w:spacing w:before="120"/>
        <w:jc w:val="both"/>
      </w:pPr>
      <w:r>
        <w:rPr>
          <w:rFonts w:ascii="Times New Roman" w:eastAsia="宋体" w:hAnsi="Times New Roman"/>
          <w:color w:val="000000"/>
          <w:sz w:val="20"/>
          <w:szCs w:val="20"/>
        </w:rPr>
        <w:t>for the enterprise data center. As a result of all of these developments, we face greater competit</w:t>
      </w:r>
      <w:r>
        <w:rPr>
          <w:rFonts w:ascii="Times New Roman" w:eastAsia="宋体" w:hAnsi="Times New Roman"/>
          <w:color w:val="000000"/>
          <w:sz w:val="20"/>
          <w:szCs w:val="20"/>
        </w:rPr>
        <w:t>ion in the development and sale of enterprise data center technologies, including competition from entities that are among our long-term strategic alliance partners. Companies that are strategic alliance partners in some areas of our business may acquire o</w:t>
      </w:r>
      <w:r>
        <w:rPr>
          <w:rFonts w:ascii="Times New Roman" w:eastAsia="宋体" w:hAnsi="Times New Roman"/>
          <w:color w:val="000000"/>
          <w:sz w:val="20"/>
          <w:szCs w:val="20"/>
        </w:rPr>
        <w:t>r form alliances with our competitors, thereby reducing their business with us.</w:t>
      </w:r>
    </w:p>
    <w:p w14:paraId="7B6718A2" w14:textId="77777777" w:rsidR="0040300B" w:rsidRDefault="00BB2D44">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w:t>
      </w:r>
      <w:r>
        <w:rPr>
          <w:rFonts w:ascii="Times New Roman" w:eastAsia="宋体" w:hAnsi="Times New Roman"/>
          <w:color w:val="000000"/>
          <w:sz w:val="20"/>
          <w:szCs w:val="20"/>
        </w:rPr>
        <w:t>ty to provide a broad range of networking and communications products and services; product performance; price; the ability to introduce new products, including providing continuous new customer value and products with price-performance advantages; the abi</w:t>
      </w:r>
      <w:r>
        <w:rPr>
          <w:rFonts w:ascii="Times New Roman" w:eastAsia="宋体" w:hAnsi="Times New Roman"/>
          <w:color w:val="000000"/>
          <w:sz w:val="20"/>
          <w:szCs w:val="20"/>
        </w:rPr>
        <w:t>lity to reduce production costs; the ability to provide value-added features such as security, reliability, and investment protection; conformance to standards; market presence; the ability to provide financing; and disruptive technology shifts and new bus</w:t>
      </w:r>
      <w:r>
        <w:rPr>
          <w:rFonts w:ascii="Times New Roman" w:eastAsia="宋体" w:hAnsi="Times New Roman"/>
          <w:color w:val="000000"/>
          <w:sz w:val="20"/>
          <w:szCs w:val="20"/>
        </w:rPr>
        <w:t>iness models.</w:t>
      </w:r>
    </w:p>
    <w:p w14:paraId="7B6718A3" w14:textId="77777777" w:rsidR="0040300B" w:rsidRDefault="00BB2D44">
      <w:pPr>
        <w:spacing w:before="120"/>
        <w:jc w:val="both"/>
      </w:pPr>
      <w:r>
        <w:rPr>
          <w:rFonts w:ascii="Times New Roman" w:eastAsia="宋体" w:hAnsi="Times New Roman"/>
          <w:color w:val="000000"/>
          <w:sz w:val="20"/>
          <w:szCs w:val="20"/>
        </w:rPr>
        <w:t>We also face competition from customers to which we license or supply technology and suppliers from which we transfer technology. The inherent nature of networking requires interoperability. As such, we must cooperate and at the same time com</w:t>
      </w:r>
      <w:r>
        <w:rPr>
          <w:rFonts w:ascii="Times New Roman" w:eastAsia="宋体" w:hAnsi="Times New Roman"/>
          <w:color w:val="000000"/>
          <w:sz w:val="20"/>
          <w:szCs w:val="20"/>
        </w:rPr>
        <w:t>pete with many companies. Any inability to effectively manage these complicated relationships with customers, suppliers, and strategic alliance partners could have a material adverse effect on our business, operating results, and financial condition and ac</w:t>
      </w:r>
      <w:r>
        <w:rPr>
          <w:rFonts w:ascii="Times New Roman" w:eastAsia="宋体" w:hAnsi="Times New Roman"/>
          <w:color w:val="000000"/>
          <w:sz w:val="20"/>
          <w:szCs w:val="20"/>
        </w:rPr>
        <w:t xml:space="preserve">cordingly affect our chances of success. </w:t>
      </w:r>
    </w:p>
    <w:p w14:paraId="7B6718A4" w14:textId="77777777" w:rsidR="0040300B" w:rsidRDefault="00BB2D44">
      <w:pPr>
        <w:spacing w:before="120"/>
        <w:jc w:val="both"/>
      </w:pPr>
      <w:r>
        <w:rPr>
          <w:rFonts w:ascii="Times New Roman" w:eastAsia="宋体" w:hAnsi="Times New Roman"/>
          <w:b/>
          <w:bCs/>
          <w:i/>
          <w:iCs/>
          <w:color w:val="000000"/>
          <w:sz w:val="20"/>
          <w:szCs w:val="20"/>
        </w:rPr>
        <w:t>If we do not successfully manage our strategic alliances, we may not realize the expected benefits from such alliances, and we may experience increased competition or delays in product development.</w:t>
      </w:r>
      <w:r>
        <w:rPr>
          <w:rFonts w:ascii="Times New Roman" w:eastAsia="宋体" w:hAnsi="Times New Roman"/>
          <w:b/>
          <w:bCs/>
          <w:color w:val="000000"/>
          <w:sz w:val="20"/>
          <w:szCs w:val="20"/>
        </w:rPr>
        <w:t xml:space="preserve"> </w:t>
      </w:r>
    </w:p>
    <w:p w14:paraId="7B6718A5" w14:textId="77777777" w:rsidR="0040300B" w:rsidRDefault="00BB2D44">
      <w:pPr>
        <w:spacing w:before="120"/>
        <w:jc w:val="both"/>
      </w:pPr>
      <w:r>
        <w:rPr>
          <w:rFonts w:ascii="Times New Roman" w:eastAsia="宋体" w:hAnsi="Times New Roman"/>
          <w:color w:val="000000"/>
          <w:sz w:val="20"/>
          <w:szCs w:val="20"/>
        </w:rPr>
        <w:t xml:space="preserve">We have </w:t>
      </w:r>
      <w:r>
        <w:rPr>
          <w:rFonts w:ascii="Times New Roman" w:eastAsia="宋体" w:hAnsi="Times New Roman"/>
          <w:color w:val="000000"/>
          <w:sz w:val="20"/>
          <w:szCs w:val="20"/>
        </w:rPr>
        <w:t>several strategic alliances with large and complex organizations and other companies with which we work to offer complementary products and services and, in the past, have established a joint venture to market services associated with our Cisco Unified Com</w:t>
      </w:r>
      <w:r>
        <w:rPr>
          <w:rFonts w:ascii="Times New Roman" w:eastAsia="宋体" w:hAnsi="Times New Roman"/>
          <w:color w:val="000000"/>
          <w:sz w:val="20"/>
          <w:szCs w:val="20"/>
        </w:rPr>
        <w:t>puting System products. These arrangements are generally limited to specific projects, the goal of which is generally to facilitate product compatibility and adoption of industry standards. There can be no assurance we will realize the expected benefits fr</w:t>
      </w:r>
      <w:r>
        <w:rPr>
          <w:rFonts w:ascii="Times New Roman" w:eastAsia="宋体" w:hAnsi="Times New Roman"/>
          <w:color w:val="000000"/>
          <w:sz w:val="20"/>
          <w:szCs w:val="20"/>
        </w:rPr>
        <w:t xml:space="preserve">om these strategic alliances or from the joint venture. If successful, these relationships may be mutually beneficial and result in industry growth. However, alliances carry an element of risk because, in most cases, we must compete in some business areas </w:t>
      </w:r>
      <w:r>
        <w:rPr>
          <w:rFonts w:ascii="Times New Roman" w:eastAsia="宋体" w:hAnsi="Times New Roman"/>
          <w:color w:val="000000"/>
          <w:sz w:val="20"/>
          <w:szCs w:val="20"/>
        </w:rPr>
        <w:t>with a company with which we have a strategic alliance and, at the same time, cooperate with that company in other business areas. Also, if these companies fail to perform or if these relationships fail to materialize as expected, we could suffer delays in</w:t>
      </w:r>
      <w:r>
        <w:rPr>
          <w:rFonts w:ascii="Times New Roman" w:eastAsia="宋体" w:hAnsi="Times New Roman"/>
          <w:color w:val="000000"/>
          <w:sz w:val="20"/>
          <w:szCs w:val="20"/>
        </w:rPr>
        <w:t xml:space="preserve"> product development or other operational difficulties. Joint ventures can be difficult to manage, given the potentially different interests of joint venture partners.</w:t>
      </w:r>
    </w:p>
    <w:p w14:paraId="7B6718A6" w14:textId="77777777" w:rsidR="0040300B" w:rsidRDefault="00BB2D44">
      <w:pPr>
        <w:spacing w:before="120"/>
        <w:jc w:val="both"/>
      </w:pPr>
      <w:r>
        <w:rPr>
          <w:rFonts w:ascii="Times New Roman" w:eastAsia="宋体" w:hAnsi="Times New Roman"/>
          <w:b/>
          <w:bCs/>
          <w:i/>
          <w:iCs/>
          <w:color w:val="000000"/>
          <w:sz w:val="20"/>
          <w:szCs w:val="20"/>
        </w:rPr>
        <w:t>Inventory management relating to our sales to our two-tier distribution channel is compl</w:t>
      </w:r>
      <w:r>
        <w:rPr>
          <w:rFonts w:ascii="Times New Roman" w:eastAsia="宋体" w:hAnsi="Times New Roman"/>
          <w:b/>
          <w:bCs/>
          <w:i/>
          <w:iCs/>
          <w:color w:val="000000"/>
          <w:sz w:val="20"/>
          <w:szCs w:val="20"/>
        </w:rPr>
        <w:t>ex, and excess inventory may harm our gross margins.</w:t>
      </w:r>
    </w:p>
    <w:p w14:paraId="7B6718A7" w14:textId="77777777" w:rsidR="0040300B" w:rsidRDefault="00BB2D44">
      <w:pPr>
        <w:spacing w:before="120"/>
        <w:jc w:val="both"/>
      </w:pPr>
      <w:r>
        <w:rPr>
          <w:rFonts w:ascii="Times New Roman" w:eastAsia="宋体" w:hAnsi="Times New Roman"/>
          <w:color w:val="000000"/>
          <w:sz w:val="20"/>
          <w:szCs w:val="20"/>
        </w:rPr>
        <w:t>We must manage inventory relating to sales to our distributors effectively, because inventory held by them could affect our results of operations. Our distributors may increase orders during periods of p</w:t>
      </w:r>
      <w:r>
        <w:rPr>
          <w:rFonts w:ascii="Times New Roman" w:eastAsia="宋体" w:hAnsi="Times New Roman"/>
          <w:color w:val="000000"/>
          <w:sz w:val="20"/>
          <w:szCs w:val="20"/>
        </w:rPr>
        <w:t>roduct shortages, cancel orders if their inventory is too high, or delay orders in anticipation of new products. They also may adjust their orders in response to the supply of our products and the products of our competitors that are available to them, and</w:t>
      </w:r>
      <w:r>
        <w:rPr>
          <w:rFonts w:ascii="Times New Roman" w:eastAsia="宋体" w:hAnsi="Times New Roman"/>
          <w:color w:val="000000"/>
          <w:sz w:val="20"/>
          <w:szCs w:val="20"/>
        </w:rPr>
        <w:t xml:space="preserve"> in response to seasonal fluctuations in end-user demand. Our distributors are generally given business terms that allow them to return a portion of inventory, receive credits for changes in selling price, and participate in various cooperative marketing p</w:t>
      </w:r>
      <w:r>
        <w:rPr>
          <w:rFonts w:ascii="Times New Roman" w:eastAsia="宋体" w:hAnsi="Times New Roman"/>
          <w:color w:val="000000"/>
          <w:sz w:val="20"/>
          <w:szCs w:val="20"/>
        </w:rPr>
        <w:t>rograms. Inventory management remains an area of focus as we balance the need to maintain strategic inventory levels to ensure competitive lead times against the risk of inventory obsolescence because of rapidly changing technology and customer requirement</w:t>
      </w:r>
      <w:r>
        <w:rPr>
          <w:rFonts w:ascii="Times New Roman" w:eastAsia="宋体" w:hAnsi="Times New Roman"/>
          <w:color w:val="000000"/>
          <w:sz w:val="20"/>
          <w:szCs w:val="20"/>
        </w:rPr>
        <w:t>s. When facing component supply-related challenges, we have increased our efforts in procuring components in order to meet customer expectations. If we ultimately determine that we have excess inventory, we may have to reduce our prices and write down inve</w:t>
      </w:r>
      <w:r>
        <w:rPr>
          <w:rFonts w:ascii="Times New Roman" w:eastAsia="宋体" w:hAnsi="Times New Roman"/>
          <w:color w:val="000000"/>
          <w:sz w:val="20"/>
          <w:szCs w:val="20"/>
        </w:rPr>
        <w:t xml:space="preserve">ntory, which in turn could result in lower gross margins. </w:t>
      </w:r>
    </w:p>
    <w:p w14:paraId="7B6718A8" w14:textId="77777777" w:rsidR="0040300B" w:rsidRDefault="00BB2D44">
      <w:pPr>
        <w:spacing w:before="120"/>
        <w:jc w:val="both"/>
      </w:pPr>
      <w:r>
        <w:rPr>
          <w:rFonts w:ascii="Times New Roman" w:eastAsia="宋体" w:hAnsi="Times New Roman"/>
          <w:b/>
          <w:bCs/>
          <w:i/>
          <w:iCs/>
          <w:color w:val="000000"/>
          <w:sz w:val="20"/>
          <w:szCs w:val="20"/>
        </w:rPr>
        <w:t>We depend upon the development of new products and services, and enhancements to existing products and services, and if we fail to predict and respond to emerging technological trends and customers</w:t>
      </w:r>
      <w:r>
        <w:rPr>
          <w:rFonts w:ascii="Times New Roman" w:eastAsia="宋体" w:hAnsi="Times New Roman"/>
          <w:b/>
          <w:bCs/>
          <w:i/>
          <w:iCs/>
          <w:color w:val="000000"/>
          <w:sz w:val="20"/>
          <w:szCs w:val="20"/>
        </w:rPr>
        <w:t>’ changing needs, our operating results and market share may suffer.</w:t>
      </w:r>
      <w:r>
        <w:rPr>
          <w:rFonts w:ascii="Times New Roman" w:eastAsia="宋体" w:hAnsi="Times New Roman"/>
          <w:b/>
          <w:bCs/>
          <w:color w:val="000000"/>
          <w:sz w:val="20"/>
          <w:szCs w:val="20"/>
        </w:rPr>
        <w:t xml:space="preserve"> </w:t>
      </w:r>
    </w:p>
    <w:p w14:paraId="7B6718A9" w14:textId="77777777" w:rsidR="0040300B" w:rsidRDefault="00BB2D44">
      <w:pPr>
        <w:spacing w:before="120"/>
        <w:jc w:val="both"/>
      </w:pPr>
      <w:r>
        <w:rPr>
          <w:rFonts w:ascii="Times New Roman" w:eastAsia="宋体" w:hAnsi="Times New Roman"/>
          <w:color w:val="000000"/>
          <w:sz w:val="20"/>
          <w:szCs w:val="20"/>
        </w:rPr>
        <w:t>The markets for our products and services are characterized by rapidly changing technology, evolving industry standards, new product and service introductions, and evolving methods of bu</w:t>
      </w:r>
      <w:r>
        <w:rPr>
          <w:rFonts w:ascii="Times New Roman" w:eastAsia="宋体" w:hAnsi="Times New Roman"/>
          <w:color w:val="000000"/>
          <w:sz w:val="20"/>
          <w:szCs w:val="20"/>
        </w:rPr>
        <w:t>ilding and operating networks. Our operating results depend on our ability to develop and introduce new products and services into existing and emerging markets and to reduce the production costs of existing products. If customers do not purchase and/or re</w:t>
      </w:r>
      <w:r>
        <w:rPr>
          <w:rFonts w:ascii="Times New Roman" w:eastAsia="宋体" w:hAnsi="Times New Roman"/>
          <w:color w:val="000000"/>
          <w:sz w:val="20"/>
          <w:szCs w:val="20"/>
        </w:rPr>
        <w:t>new our offerings our business could be harmed. The COVID-19 pandemic may also result in long-term changes in customer needs for our products and services in various sectors, along with IT-related capital spending reductions, or shifts in spending focus, t</w:t>
      </w:r>
      <w:r>
        <w:rPr>
          <w:rFonts w:ascii="Times New Roman" w:eastAsia="宋体" w:hAnsi="Times New Roman"/>
          <w:color w:val="000000"/>
          <w:sz w:val="20"/>
          <w:szCs w:val="20"/>
        </w:rPr>
        <w:t>hat could materially adversely affect us if we are unable to adjust our product and service offerings to match customer needs.</w:t>
      </w:r>
    </w:p>
    <w:p w14:paraId="7B6718AA" w14:textId="77777777" w:rsidR="0040300B" w:rsidRDefault="00BB2D44">
      <w:pPr>
        <w:spacing w:before="120"/>
        <w:jc w:val="both"/>
      </w:pPr>
      <w:r>
        <w:rPr>
          <w:rFonts w:ascii="Times New Roman" w:eastAsia="宋体" w:hAnsi="Times New Roman"/>
          <w:color w:val="000000"/>
          <w:sz w:val="20"/>
          <w:szCs w:val="20"/>
        </w:rPr>
        <w:t>The process of developing new technology, including intent-based networking, more programmable, flexible and virtual networks, an</w:t>
      </w:r>
      <w:r>
        <w:rPr>
          <w:rFonts w:ascii="Times New Roman" w:eastAsia="宋体" w:hAnsi="Times New Roman"/>
          <w:color w:val="000000"/>
          <w:sz w:val="20"/>
          <w:szCs w:val="20"/>
        </w:rPr>
        <w:t xml:space="preserve">d technology related to other market transitions— such as security, digital transformation and IoT, and cloud— is complex and uncertain, and if we fail to accurately predict customers’ changing needs and emerging technological trends our </w:t>
      </w:r>
    </w:p>
    <w:p w14:paraId="7B6718AB" w14:textId="77777777" w:rsidR="0040300B" w:rsidRDefault="00BB2D44">
      <w:pPr>
        <w:jc w:val="center"/>
      </w:pPr>
      <w:r>
        <w:rPr>
          <w:rFonts w:ascii="Times New Roman" w:eastAsia="宋体" w:hAnsi="Times New Roman"/>
          <w:color w:val="000000"/>
          <w:sz w:val="20"/>
          <w:szCs w:val="20"/>
        </w:rPr>
        <w:t>75</w:t>
      </w:r>
    </w:p>
    <w:p w14:paraId="7B6718AC" w14:textId="77777777" w:rsidR="0040300B" w:rsidRDefault="00BB2D44">
      <w:r>
        <w:pict w14:anchorId="7B671C5B">
          <v:rect id="_x0000_i1099" style="width:415.3pt;height:1.5pt" o:hralign="center" o:hrstd="t" o:hr="t" fillcolor="#a0a0a0" stroked="f"/>
        </w:pict>
      </w:r>
    </w:p>
    <w:p w14:paraId="7B6718AD" w14:textId="77777777" w:rsidR="0040300B" w:rsidRDefault="00BB2D44">
      <w:hyperlink r:id="rId121" w:anchor="i52d5b40dbad7426a9806a2fd5167029f_7" w:history="1">
        <w:r>
          <w:rPr>
            <w:rStyle w:val="a5"/>
            <w:rFonts w:ascii="Times New Roman" w:eastAsia="宋体" w:hAnsi="Times New Roman"/>
            <w:sz w:val="18"/>
            <w:szCs w:val="18"/>
          </w:rPr>
          <w:t>Table of Contents</w:t>
        </w:r>
      </w:hyperlink>
    </w:p>
    <w:p w14:paraId="7B6718AE" w14:textId="77777777" w:rsidR="0040300B" w:rsidRDefault="00BB2D44">
      <w:pPr>
        <w:spacing w:before="120"/>
        <w:jc w:val="both"/>
      </w:pPr>
      <w:r>
        <w:rPr>
          <w:rFonts w:ascii="Times New Roman" w:eastAsia="宋体" w:hAnsi="Times New Roman"/>
          <w:color w:val="000000"/>
          <w:sz w:val="20"/>
          <w:szCs w:val="20"/>
        </w:rPr>
        <w:t xml:space="preserve">business could be harmed. We must commit significant resources, including the investments we have </w:t>
      </w:r>
      <w:r>
        <w:rPr>
          <w:rFonts w:ascii="Times New Roman" w:eastAsia="宋体" w:hAnsi="Times New Roman"/>
          <w:color w:val="000000"/>
          <w:sz w:val="20"/>
          <w:szCs w:val="20"/>
        </w:rPr>
        <w:t>been making in our strategic priorities to developing new products and services before knowing whether our investments will result in products and services the market will accept. In particular, if our model of the evolution of networking does not emerge a</w:t>
      </w:r>
      <w:r>
        <w:rPr>
          <w:rFonts w:ascii="Times New Roman" w:eastAsia="宋体" w:hAnsi="Times New Roman"/>
          <w:color w:val="000000"/>
          <w:sz w:val="20"/>
          <w:szCs w:val="20"/>
        </w:rPr>
        <w:t>s we believe it will, or if the industry does not evolve as we believe it will, or if our strategy for addressing this evolution is not successful, many of our strategic initiatives and investments may be of no or limited value. For example, if we do not i</w:t>
      </w:r>
      <w:r>
        <w:rPr>
          <w:rFonts w:ascii="Times New Roman" w:eastAsia="宋体" w:hAnsi="Times New Roman"/>
          <w:color w:val="000000"/>
          <w:sz w:val="20"/>
          <w:szCs w:val="20"/>
        </w:rPr>
        <w:t>ntroduce products related to network programmability, such as software-defined-networking products, in a timely fashion, or if product offerings in this market that ultimately succeed are based on technology, or an approach to technology, that differs from</w:t>
      </w:r>
      <w:r>
        <w:rPr>
          <w:rFonts w:ascii="Times New Roman" w:eastAsia="宋体" w:hAnsi="Times New Roman"/>
          <w:color w:val="000000"/>
          <w:sz w:val="20"/>
          <w:szCs w:val="20"/>
        </w:rPr>
        <w:t xml:space="preserve"> ours, such as, for example, networking products based on “white box” hardware, our business could be harmed. Similarly, our business could be harmed if we fail to develop, or fail to develop in a timely fashion, offerings to address other transitions, or </w:t>
      </w:r>
      <w:r>
        <w:rPr>
          <w:rFonts w:ascii="Times New Roman" w:eastAsia="宋体" w:hAnsi="Times New Roman"/>
          <w:color w:val="000000"/>
          <w:sz w:val="20"/>
          <w:szCs w:val="20"/>
        </w:rPr>
        <w:t>if the offerings addressing these other transitions that ultimately succeed are based on technology, or an approach to technology, different from ours. In addition, our business could be adversely affected in periods surrounding our new product introductio</w:t>
      </w:r>
      <w:r>
        <w:rPr>
          <w:rFonts w:ascii="Times New Roman" w:eastAsia="宋体" w:hAnsi="Times New Roman"/>
          <w:color w:val="000000"/>
          <w:sz w:val="20"/>
          <w:szCs w:val="20"/>
        </w:rPr>
        <w:t>ns if customers delay purchasing decisions to qualify or otherwise evaluate the new product offerings. We have also been transforming our business to move from selling individual products and services to selling products and services integrated into archit</w:t>
      </w:r>
      <w:r>
        <w:rPr>
          <w:rFonts w:ascii="Times New Roman" w:eastAsia="宋体" w:hAnsi="Times New Roman"/>
          <w:color w:val="000000"/>
          <w:sz w:val="20"/>
          <w:szCs w:val="20"/>
        </w:rPr>
        <w:t xml:space="preserve">ectures and solutions, and we are seeking to meet the evolving needs of customers which include offering our products and solutions in the manner in which customers wish to consume them. As a part of this transformation, we continue to make changes to how </w:t>
      </w:r>
      <w:r>
        <w:rPr>
          <w:rFonts w:ascii="Times New Roman" w:eastAsia="宋体" w:hAnsi="Times New Roman"/>
          <w:color w:val="000000"/>
          <w:sz w:val="20"/>
          <w:szCs w:val="20"/>
        </w:rPr>
        <w:t xml:space="preserve">we are organized and how we build and deliver our technology, including changes in our business models with customers. If our strategy for addressing our customer needs, or the architectures and solutions we develop do not meet those needs, or the changes </w:t>
      </w:r>
      <w:r>
        <w:rPr>
          <w:rFonts w:ascii="Times New Roman" w:eastAsia="宋体" w:hAnsi="Times New Roman"/>
          <w:color w:val="000000"/>
          <w:sz w:val="20"/>
          <w:szCs w:val="20"/>
        </w:rPr>
        <w:t>we are making in how we are organized and how we build and deliver or technology is incorrect or ineffective, our business could be harmed.</w:t>
      </w:r>
    </w:p>
    <w:p w14:paraId="7B6718AF" w14:textId="77777777" w:rsidR="0040300B" w:rsidRDefault="00BB2D44">
      <w:pPr>
        <w:spacing w:before="120"/>
        <w:jc w:val="both"/>
      </w:pPr>
      <w:r>
        <w:rPr>
          <w:rFonts w:ascii="Times New Roman" w:eastAsia="宋体" w:hAnsi="Times New Roman"/>
          <w:color w:val="000000"/>
          <w:sz w:val="20"/>
          <w:szCs w:val="20"/>
        </w:rPr>
        <w:t xml:space="preserve">Furthermore, we may not execute successfully on our vision or strategy because of challenges with regard to product </w:t>
      </w:r>
      <w:r>
        <w:rPr>
          <w:rFonts w:ascii="Times New Roman" w:eastAsia="宋体" w:hAnsi="Times New Roman"/>
          <w:color w:val="000000"/>
          <w:sz w:val="20"/>
          <w:szCs w:val="20"/>
        </w:rPr>
        <w:t>planning and timing, technical hurdles that we fail to overcome in a timely fashion, or a lack of appropriate resources. This could result in competitors, some of which may also be our strategic alliance partners, providing those solutions before we do and</w:t>
      </w:r>
      <w:r>
        <w:rPr>
          <w:rFonts w:ascii="Times New Roman" w:eastAsia="宋体" w:hAnsi="Times New Roman"/>
          <w:color w:val="000000"/>
          <w:sz w:val="20"/>
          <w:szCs w:val="20"/>
        </w:rPr>
        <w:t xml:space="preserve"> loss of market share, revenue, and earnings. In addition, the growth in demand for technology delivered as a service enables new competitors to enter the market. The success of new products and services depends on several factors, including proper new pro</w:t>
      </w:r>
      <w:r>
        <w:rPr>
          <w:rFonts w:ascii="Times New Roman" w:eastAsia="宋体" w:hAnsi="Times New Roman"/>
          <w:color w:val="000000"/>
          <w:sz w:val="20"/>
          <w:szCs w:val="20"/>
        </w:rPr>
        <w:t xml:space="preserve">duct and service definition, component costs, timely completion and introduction of these products and services, differentiation of new products and services from those of our competitors, and market acceptance of these products and services. There can be </w:t>
      </w:r>
      <w:r>
        <w:rPr>
          <w:rFonts w:ascii="Times New Roman" w:eastAsia="宋体" w:hAnsi="Times New Roman"/>
          <w:color w:val="000000"/>
          <w:sz w:val="20"/>
          <w:szCs w:val="20"/>
        </w:rPr>
        <w:t>no assurance that we will successfully identify new product and services opportunities, develop and bring new products and services to market in a timely manner, or achieve market acceptance of our products and services or that products, services and techn</w:t>
      </w:r>
      <w:r>
        <w:rPr>
          <w:rFonts w:ascii="Times New Roman" w:eastAsia="宋体" w:hAnsi="Times New Roman"/>
          <w:color w:val="000000"/>
          <w:sz w:val="20"/>
          <w:szCs w:val="20"/>
        </w:rPr>
        <w:t>ologies developed by others will not render our products, services or technologies obsolete or noncompetitive. The products and technologies in our other product categories and key priority and growth areas may not prove to have the market success we antic</w:t>
      </w:r>
      <w:r>
        <w:rPr>
          <w:rFonts w:ascii="Times New Roman" w:eastAsia="宋体" w:hAnsi="Times New Roman"/>
          <w:color w:val="000000"/>
          <w:sz w:val="20"/>
          <w:szCs w:val="20"/>
        </w:rPr>
        <w:t>ipate, and we may not successfully identify and invest in other emerging or new products and services.</w:t>
      </w:r>
    </w:p>
    <w:p w14:paraId="7B6718B0" w14:textId="77777777" w:rsidR="0040300B" w:rsidRDefault="00BB2D44">
      <w:pPr>
        <w:spacing w:before="120"/>
        <w:jc w:val="both"/>
      </w:pPr>
      <w:r>
        <w:rPr>
          <w:rFonts w:ascii="Times New Roman" w:eastAsia="宋体" w:hAnsi="Times New Roman"/>
          <w:b/>
          <w:bCs/>
          <w:i/>
          <w:iCs/>
          <w:color w:val="000000"/>
          <w:sz w:val="20"/>
          <w:szCs w:val="20"/>
        </w:rPr>
        <w:t>Changes in industry structure and market conditions could lead to charges related to discontinuances of certain of our products or businesses, asset impa</w:t>
      </w:r>
      <w:r>
        <w:rPr>
          <w:rFonts w:ascii="Times New Roman" w:eastAsia="宋体" w:hAnsi="Times New Roman"/>
          <w:b/>
          <w:bCs/>
          <w:i/>
          <w:iCs/>
          <w:color w:val="000000"/>
          <w:sz w:val="20"/>
          <w:szCs w:val="20"/>
        </w:rPr>
        <w:t>irments and workforce reductions or restructurings.</w:t>
      </w:r>
    </w:p>
    <w:p w14:paraId="7B6718B1" w14:textId="77777777" w:rsidR="0040300B" w:rsidRDefault="00BB2D44">
      <w:pPr>
        <w:spacing w:before="120"/>
        <w:jc w:val="both"/>
      </w:pPr>
      <w:r>
        <w:rPr>
          <w:rFonts w:ascii="Times New Roman" w:eastAsia="宋体" w:hAnsi="Times New Roman"/>
          <w:color w:val="000000"/>
          <w:sz w:val="20"/>
          <w:szCs w:val="20"/>
        </w:rPr>
        <w:t>In response to changes in industry and market conditions, we may be required to strategically realign our resources and to consider restructuring, disposing of, or otherwise exiting businesses. Any resour</w:t>
      </w:r>
      <w:r>
        <w:rPr>
          <w:rFonts w:ascii="Times New Roman" w:eastAsia="宋体" w:hAnsi="Times New Roman"/>
          <w:color w:val="000000"/>
          <w:sz w:val="20"/>
          <w:szCs w:val="20"/>
        </w:rPr>
        <w:t>ce realignment, or decision to limit investment in or dispose of or otherwise exit businesses, may result in the recording of special charges, such as inventory and technology-related write-offs, workforce reduction or restructuring costs, charges relating</w:t>
      </w:r>
      <w:r>
        <w:rPr>
          <w:rFonts w:ascii="Times New Roman" w:eastAsia="宋体" w:hAnsi="Times New Roman"/>
          <w:color w:val="000000"/>
          <w:sz w:val="20"/>
          <w:szCs w:val="20"/>
        </w:rPr>
        <w:t xml:space="preserve"> to consolidation of excess facilities, or claims from third parties who were resellers or users of discontinued products. Our estimates with respect to the useful life or ultimate recoverability of our carrying basis of assets, including purchased intangi</w:t>
      </w:r>
      <w:r>
        <w:rPr>
          <w:rFonts w:ascii="Times New Roman" w:eastAsia="宋体" w:hAnsi="Times New Roman"/>
          <w:color w:val="000000"/>
          <w:sz w:val="20"/>
          <w:szCs w:val="20"/>
        </w:rPr>
        <w:t>ble assets, could change as a result of such assessments and decisions. Although in certain instances our supply agreements allow us the option to cancel, reschedule, and adjust our requirements based on our business needs prior to firm orders being placed</w:t>
      </w:r>
      <w:r>
        <w:rPr>
          <w:rFonts w:ascii="Times New Roman" w:eastAsia="宋体" w:hAnsi="Times New Roman"/>
          <w:color w:val="000000"/>
          <w:sz w:val="20"/>
          <w:szCs w:val="20"/>
        </w:rPr>
        <w:t>, our loss contingencies may include liabilities for contracts that we cannot cancel with contract manufacturers and suppliers. Further, our estimates relating to the liabilities for excess facilities are affected by changes in real estate market condition</w:t>
      </w:r>
      <w:r>
        <w:rPr>
          <w:rFonts w:ascii="Times New Roman" w:eastAsia="宋体" w:hAnsi="Times New Roman"/>
          <w:color w:val="000000"/>
          <w:sz w:val="20"/>
          <w:szCs w:val="20"/>
        </w:rPr>
        <w:t>s. Additionally, we are required to perform goodwill impairment tests on an annual basis and between annual tests in certain circumstances, and future goodwill impairment tests may result in a charge to earnings. We initiated a restructuring plan in the fi</w:t>
      </w:r>
      <w:r>
        <w:rPr>
          <w:rFonts w:ascii="Times New Roman" w:eastAsia="宋体" w:hAnsi="Times New Roman"/>
          <w:color w:val="000000"/>
          <w:sz w:val="20"/>
          <w:szCs w:val="20"/>
        </w:rPr>
        <w:t>rst quarter of fiscal 2021, which includes a voluntary early retirement program. The implementation of this restructuring plan may be disruptive to our business, and following completion of the restructuring plan our business may not be more efficient or e</w:t>
      </w:r>
      <w:r>
        <w:rPr>
          <w:rFonts w:ascii="Times New Roman" w:eastAsia="宋体" w:hAnsi="Times New Roman"/>
          <w:color w:val="000000"/>
          <w:sz w:val="20"/>
          <w:szCs w:val="20"/>
        </w:rPr>
        <w:t>ffective than prior to implementation of the plan. Our restructuring activities, including any related charges and the impact of the related headcount restructurings, could have a material adverse effect on our business, operating results, and financial co</w:t>
      </w:r>
      <w:r>
        <w:rPr>
          <w:rFonts w:ascii="Times New Roman" w:eastAsia="宋体" w:hAnsi="Times New Roman"/>
          <w:color w:val="000000"/>
          <w:sz w:val="20"/>
          <w:szCs w:val="20"/>
        </w:rPr>
        <w:t xml:space="preserve">ndition. </w:t>
      </w:r>
    </w:p>
    <w:p w14:paraId="7B6718B2" w14:textId="77777777" w:rsidR="0040300B" w:rsidRDefault="00BB2D44">
      <w:pPr>
        <w:spacing w:before="120"/>
        <w:jc w:val="both"/>
      </w:pPr>
      <w:r>
        <w:rPr>
          <w:rFonts w:ascii="Times New Roman" w:eastAsia="宋体" w:hAnsi="Times New Roman"/>
          <w:b/>
          <w:bCs/>
          <w:i/>
          <w:iCs/>
          <w:color w:val="000000"/>
          <w:sz w:val="20"/>
          <w:szCs w:val="20"/>
        </w:rPr>
        <w:t>Over the long term we intend to invest in engineering, sales, service and marketing activities, and in key priority and growth areas, and these investments may achieve delayed, or lower than expected, benefits which could harm our operating resul</w:t>
      </w:r>
      <w:r>
        <w:rPr>
          <w:rFonts w:ascii="Times New Roman" w:eastAsia="宋体" w:hAnsi="Times New Roman"/>
          <w:b/>
          <w:bCs/>
          <w:i/>
          <w:iCs/>
          <w:color w:val="000000"/>
          <w:sz w:val="20"/>
          <w:szCs w:val="20"/>
        </w:rPr>
        <w:t>ts.</w:t>
      </w:r>
      <w:r>
        <w:rPr>
          <w:rFonts w:ascii="Times New Roman" w:eastAsia="宋体" w:hAnsi="Times New Roman"/>
          <w:b/>
          <w:bCs/>
          <w:color w:val="000000"/>
          <w:sz w:val="20"/>
          <w:szCs w:val="20"/>
        </w:rPr>
        <w:t xml:space="preserve"> </w:t>
      </w:r>
    </w:p>
    <w:p w14:paraId="7B6718B3" w14:textId="77777777" w:rsidR="0040300B" w:rsidRDefault="00BB2D44">
      <w:pPr>
        <w:spacing w:before="120"/>
        <w:jc w:val="both"/>
      </w:pPr>
      <w:r>
        <w:rPr>
          <w:rFonts w:ascii="Times New Roman" w:eastAsia="宋体" w:hAnsi="Times New Roman"/>
          <w:color w:val="000000"/>
          <w:sz w:val="20"/>
          <w:szCs w:val="20"/>
        </w:rPr>
        <w:t>While we intend to focus on managing our costs and expenses, over the long term, we also intend to invest in personnel and other resources related to our engineering, sales, service and marketing functions as we realign and dedicate resources on key p</w:t>
      </w:r>
      <w:r>
        <w:rPr>
          <w:rFonts w:ascii="Times New Roman" w:eastAsia="宋体" w:hAnsi="Times New Roman"/>
          <w:color w:val="000000"/>
          <w:sz w:val="20"/>
          <w:szCs w:val="20"/>
        </w:rPr>
        <w:t xml:space="preserve">riority and growth areas, such as Security and Applications, and we also intend to focus on maintaining leadership in </w:t>
      </w:r>
    </w:p>
    <w:p w14:paraId="7B6718B4" w14:textId="77777777" w:rsidR="0040300B" w:rsidRDefault="00BB2D44">
      <w:pPr>
        <w:jc w:val="center"/>
      </w:pPr>
      <w:r>
        <w:rPr>
          <w:rFonts w:ascii="Times New Roman" w:eastAsia="宋体" w:hAnsi="Times New Roman"/>
          <w:color w:val="000000"/>
          <w:sz w:val="20"/>
          <w:szCs w:val="20"/>
        </w:rPr>
        <w:t>76</w:t>
      </w:r>
    </w:p>
    <w:p w14:paraId="7B6718B5" w14:textId="77777777" w:rsidR="0040300B" w:rsidRDefault="00BB2D44">
      <w:r>
        <w:pict w14:anchorId="7B671C5C">
          <v:rect id="_x0000_i1100" style="width:415.3pt;height:1.5pt" o:hralign="center" o:hrstd="t" o:hr="t" fillcolor="#a0a0a0" stroked="f"/>
        </w:pict>
      </w:r>
    </w:p>
    <w:p w14:paraId="7B6718B6" w14:textId="77777777" w:rsidR="0040300B" w:rsidRDefault="00BB2D44">
      <w:hyperlink r:id="rId122" w:anchor="i52d5b40dbad7426a9806a2fd5167029f_7" w:history="1">
        <w:r>
          <w:rPr>
            <w:rStyle w:val="a5"/>
            <w:rFonts w:ascii="Times New Roman" w:eastAsia="宋体" w:hAnsi="Times New Roman"/>
            <w:sz w:val="18"/>
            <w:szCs w:val="18"/>
          </w:rPr>
          <w:t>Table of Contents</w:t>
        </w:r>
      </w:hyperlink>
    </w:p>
    <w:p w14:paraId="7B6718B7" w14:textId="77777777" w:rsidR="0040300B" w:rsidRDefault="00BB2D44">
      <w:pPr>
        <w:spacing w:before="120"/>
        <w:jc w:val="both"/>
      </w:pPr>
      <w:r>
        <w:rPr>
          <w:rFonts w:ascii="Times New Roman" w:eastAsia="宋体" w:hAnsi="Times New Roman"/>
          <w:color w:val="000000"/>
          <w:sz w:val="20"/>
          <w:szCs w:val="20"/>
        </w:rPr>
        <w:t>Infrastructure Platforms and in Services. We are likely to recognize the costs associated with these investments earlier than some of the anticipated benefits, and the return on these investments may be lower, or may deve</w:t>
      </w:r>
      <w:r>
        <w:rPr>
          <w:rFonts w:ascii="Times New Roman" w:eastAsia="宋体" w:hAnsi="Times New Roman"/>
          <w:color w:val="000000"/>
          <w:sz w:val="20"/>
          <w:szCs w:val="20"/>
        </w:rPr>
        <w:t>lop more slowly, than we expect. If we do not achieve the benefits anticipated from these investments (including if our selection of areas for investment does not play out as we expect), or if the achievement of these benefits is delayed, our operating res</w:t>
      </w:r>
      <w:r>
        <w:rPr>
          <w:rFonts w:ascii="Times New Roman" w:eastAsia="宋体" w:hAnsi="Times New Roman"/>
          <w:color w:val="000000"/>
          <w:sz w:val="20"/>
          <w:szCs w:val="20"/>
        </w:rPr>
        <w:t xml:space="preserve">ults may be adversely affected. </w:t>
      </w:r>
    </w:p>
    <w:p w14:paraId="7B6718B8" w14:textId="77777777" w:rsidR="0040300B" w:rsidRDefault="00BB2D44">
      <w:pPr>
        <w:spacing w:before="120"/>
        <w:jc w:val="both"/>
      </w:pPr>
      <w:r>
        <w:rPr>
          <w:rFonts w:ascii="Times New Roman" w:eastAsia="宋体" w:hAnsi="Times New Roman"/>
          <w:b/>
          <w:bCs/>
          <w:i/>
          <w:iCs/>
          <w:color w:val="000000"/>
          <w:sz w:val="20"/>
          <w:szCs w:val="20"/>
        </w:rPr>
        <w:t>We have made and expect to continue to make acquisitions that could disrupt our operations and harm our operating results.</w:t>
      </w:r>
    </w:p>
    <w:p w14:paraId="7B6718B9" w14:textId="77777777" w:rsidR="0040300B" w:rsidRDefault="00BB2D44">
      <w:pPr>
        <w:spacing w:before="120"/>
        <w:jc w:val="both"/>
      </w:pPr>
      <w:r>
        <w:rPr>
          <w:rFonts w:ascii="Times New Roman" w:eastAsia="宋体" w:hAnsi="Times New Roman"/>
          <w:color w:val="000000"/>
          <w:sz w:val="20"/>
          <w:szCs w:val="20"/>
        </w:rPr>
        <w:t>Our growth depends upon market growth, our ability to enhance our existing products, and our ability</w:t>
      </w:r>
      <w:r>
        <w:rPr>
          <w:rFonts w:ascii="Times New Roman" w:eastAsia="宋体" w:hAnsi="Times New Roman"/>
          <w:color w:val="000000"/>
          <w:sz w:val="20"/>
          <w:szCs w:val="20"/>
        </w:rPr>
        <w:t xml:space="preserve"> to introduce new products on a timely basis. We intend to continue to address the need to develop new products and enhance existing products through acquisitions of other companies, product lines, technologies, and personnel. Acquisitions involve numerous</w:t>
      </w:r>
      <w:r>
        <w:rPr>
          <w:rFonts w:ascii="Times New Roman" w:eastAsia="宋体" w:hAnsi="Times New Roman"/>
          <w:color w:val="000000"/>
          <w:sz w:val="20"/>
          <w:szCs w:val="20"/>
        </w:rPr>
        <w:t xml:space="preserve"> risks, including the following:</w:t>
      </w:r>
    </w:p>
    <w:p w14:paraId="7B6718BA" w14:textId="77777777" w:rsidR="0040300B" w:rsidRDefault="00BB2D44">
      <w:pPr>
        <w:spacing w:before="120"/>
        <w:ind w:hanging="360"/>
        <w:jc w:val="both"/>
      </w:pPr>
      <w:r>
        <w:rPr>
          <w:rFonts w:ascii="Times New Roman" w:eastAsia="宋体" w:hAnsi="Times New Roman"/>
          <w:color w:val="000000"/>
          <w:sz w:val="20"/>
          <w:szCs w:val="20"/>
        </w:rPr>
        <w:t>•Difficulties in integrating the operations, systems, technologies, products, and personnel of the acquired companies, particularly companies with large and widespread operations and/or complex products</w:t>
      </w:r>
    </w:p>
    <w:p w14:paraId="7B6718BB" w14:textId="77777777" w:rsidR="0040300B" w:rsidRDefault="00BB2D44">
      <w:pPr>
        <w:spacing w:before="60"/>
        <w:ind w:hanging="360"/>
        <w:jc w:val="both"/>
      </w:pPr>
      <w:r>
        <w:rPr>
          <w:rFonts w:ascii="Times New Roman" w:eastAsia="宋体" w:hAnsi="Times New Roman"/>
          <w:color w:val="000000"/>
          <w:sz w:val="20"/>
          <w:szCs w:val="20"/>
        </w:rPr>
        <w:t>•Diversion of manage</w:t>
      </w:r>
      <w:r>
        <w:rPr>
          <w:rFonts w:ascii="Times New Roman" w:eastAsia="宋体" w:hAnsi="Times New Roman"/>
          <w:color w:val="000000"/>
          <w:sz w:val="20"/>
          <w:szCs w:val="20"/>
        </w:rPr>
        <w:t>ment’s attention from normal daily operations of the business and the challenges of managing larger and more widespread operations resulting from acquisitions</w:t>
      </w:r>
    </w:p>
    <w:p w14:paraId="7B6718BC" w14:textId="77777777" w:rsidR="0040300B" w:rsidRDefault="00BB2D44">
      <w:pPr>
        <w:spacing w:before="60"/>
        <w:ind w:hanging="360"/>
        <w:jc w:val="both"/>
      </w:pPr>
      <w:r>
        <w:rPr>
          <w:rFonts w:ascii="Times New Roman" w:eastAsia="宋体" w:hAnsi="Times New Roman"/>
          <w:color w:val="000000"/>
          <w:sz w:val="20"/>
          <w:szCs w:val="20"/>
        </w:rPr>
        <w:t>•Potential difficulties in completing projects associated with in-process research and developmen</w:t>
      </w:r>
      <w:r>
        <w:rPr>
          <w:rFonts w:ascii="Times New Roman" w:eastAsia="宋体" w:hAnsi="Times New Roman"/>
          <w:color w:val="000000"/>
          <w:sz w:val="20"/>
          <w:szCs w:val="20"/>
        </w:rPr>
        <w:t>t intangibles</w:t>
      </w:r>
    </w:p>
    <w:p w14:paraId="7B6718BD" w14:textId="77777777" w:rsidR="0040300B" w:rsidRDefault="00BB2D44">
      <w:pPr>
        <w:spacing w:before="60"/>
        <w:ind w:hanging="360"/>
        <w:jc w:val="both"/>
      </w:pPr>
      <w:r>
        <w:rPr>
          <w:rFonts w:ascii="Times New Roman" w:eastAsia="宋体" w:hAnsi="Times New Roman"/>
          <w:color w:val="000000"/>
          <w:sz w:val="20"/>
          <w:szCs w:val="20"/>
        </w:rPr>
        <w:t>•Difficulties in entering markets in which we have no or limited direct prior experience and where competitors in such markets have stronger market positions</w:t>
      </w:r>
    </w:p>
    <w:p w14:paraId="7B6718BE" w14:textId="77777777" w:rsidR="0040300B" w:rsidRDefault="00BB2D44">
      <w:pPr>
        <w:spacing w:before="60"/>
        <w:ind w:hanging="360"/>
        <w:jc w:val="both"/>
      </w:pPr>
      <w:r>
        <w:rPr>
          <w:rFonts w:ascii="Times New Roman" w:eastAsia="宋体" w:hAnsi="Times New Roman"/>
          <w:color w:val="000000"/>
          <w:sz w:val="20"/>
          <w:szCs w:val="20"/>
        </w:rPr>
        <w:t xml:space="preserve">•Initial dependence on unfamiliar supply chains or relatively small supply </w:t>
      </w:r>
      <w:r>
        <w:rPr>
          <w:rFonts w:ascii="Times New Roman" w:eastAsia="宋体" w:hAnsi="Times New Roman"/>
          <w:color w:val="000000"/>
          <w:sz w:val="20"/>
          <w:szCs w:val="20"/>
        </w:rPr>
        <w:t>partners</w:t>
      </w:r>
    </w:p>
    <w:p w14:paraId="7B6718BF" w14:textId="77777777" w:rsidR="0040300B" w:rsidRDefault="00BB2D44">
      <w:pP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7B6718C0" w14:textId="77777777" w:rsidR="0040300B" w:rsidRDefault="00BB2D44">
      <w:pPr>
        <w:spacing w:before="60"/>
        <w:ind w:hanging="360"/>
        <w:jc w:val="both"/>
      </w:pPr>
      <w:r>
        <w:rPr>
          <w:rFonts w:ascii="Times New Roman" w:eastAsia="宋体" w:hAnsi="Times New Roman"/>
          <w:color w:val="000000"/>
          <w:sz w:val="20"/>
          <w:szCs w:val="20"/>
        </w:rPr>
        <w:t>•The potential loss of key employees, customers, distributors, vendors and other business partners of the companies we acquire following and continuing after announcem</w:t>
      </w:r>
      <w:r>
        <w:rPr>
          <w:rFonts w:ascii="Times New Roman" w:eastAsia="宋体" w:hAnsi="Times New Roman"/>
          <w:color w:val="000000"/>
          <w:sz w:val="20"/>
          <w:szCs w:val="20"/>
        </w:rPr>
        <w:t>ent of acquisition plans</w:t>
      </w:r>
    </w:p>
    <w:p w14:paraId="7B6718C1" w14:textId="77777777" w:rsidR="0040300B" w:rsidRDefault="00BB2D44">
      <w:pPr>
        <w:spacing w:before="120"/>
        <w:jc w:val="both"/>
      </w:pPr>
      <w:r>
        <w:rPr>
          <w:rFonts w:ascii="Times New Roman" w:eastAsia="宋体" w:hAnsi="Times New Roman"/>
          <w:color w:val="000000"/>
          <w:sz w:val="20"/>
          <w:szCs w:val="20"/>
        </w:rPr>
        <w:t>Acquisitions may also cause us to:</w:t>
      </w:r>
    </w:p>
    <w:p w14:paraId="7B6718C2" w14:textId="77777777" w:rsidR="0040300B" w:rsidRDefault="00BB2D44">
      <w:pPr>
        <w:spacing w:before="120"/>
        <w:ind w:hanging="360"/>
        <w:jc w:val="both"/>
      </w:pPr>
      <w:r>
        <w:rPr>
          <w:rFonts w:ascii="Times New Roman" w:eastAsia="宋体" w:hAnsi="Times New Roman"/>
          <w:color w:val="000000"/>
          <w:sz w:val="20"/>
          <w:szCs w:val="20"/>
        </w:rPr>
        <w:t>•Issue common stock that would dilute our current stockholders’ percentage ownership</w:t>
      </w:r>
    </w:p>
    <w:p w14:paraId="7B6718C3" w14:textId="77777777" w:rsidR="0040300B" w:rsidRDefault="00BB2D44">
      <w:pPr>
        <w:spacing w:before="60"/>
        <w:ind w:hanging="360"/>
        <w:jc w:val="both"/>
      </w:pPr>
      <w:r>
        <w:rPr>
          <w:rFonts w:ascii="Times New Roman" w:eastAsia="宋体" w:hAnsi="Times New Roman"/>
          <w:color w:val="000000"/>
          <w:sz w:val="20"/>
          <w:szCs w:val="20"/>
        </w:rPr>
        <w:t>•Use a substantial portion of our cash resources, or incur debt</w:t>
      </w:r>
    </w:p>
    <w:p w14:paraId="7B6718C4" w14:textId="77777777" w:rsidR="0040300B" w:rsidRDefault="00BB2D44">
      <w:pPr>
        <w:spacing w:before="60"/>
        <w:ind w:hanging="360"/>
        <w:jc w:val="both"/>
      </w:pPr>
      <w:r>
        <w:rPr>
          <w:rFonts w:ascii="Times New Roman" w:eastAsia="宋体" w:hAnsi="Times New Roman"/>
          <w:color w:val="000000"/>
          <w:sz w:val="20"/>
          <w:szCs w:val="20"/>
        </w:rPr>
        <w:t xml:space="preserve">•Significantly increase our interest </w:t>
      </w:r>
      <w:r>
        <w:rPr>
          <w:rFonts w:ascii="Times New Roman" w:eastAsia="宋体" w:hAnsi="Times New Roman"/>
          <w:color w:val="000000"/>
          <w:sz w:val="20"/>
          <w:szCs w:val="20"/>
        </w:rPr>
        <w:t>expense, leverage and debt service requirements if we incur additional debt to pay for an acquisition</w:t>
      </w:r>
    </w:p>
    <w:p w14:paraId="7B6718C5" w14:textId="77777777" w:rsidR="0040300B" w:rsidRDefault="00BB2D44">
      <w:pPr>
        <w:spacing w:before="60"/>
        <w:ind w:hanging="360"/>
        <w:jc w:val="both"/>
      </w:pPr>
      <w:r>
        <w:rPr>
          <w:rFonts w:ascii="Times New Roman" w:eastAsia="宋体" w:hAnsi="Times New Roman"/>
          <w:color w:val="000000"/>
          <w:sz w:val="20"/>
          <w:szCs w:val="20"/>
        </w:rPr>
        <w:t>•Assume liabilities</w:t>
      </w:r>
    </w:p>
    <w:p w14:paraId="7B6718C6" w14:textId="77777777" w:rsidR="0040300B" w:rsidRDefault="00BB2D44">
      <w:pPr>
        <w:spacing w:before="60"/>
        <w:ind w:hanging="360"/>
        <w:jc w:val="both"/>
      </w:pPr>
      <w:r>
        <w:rPr>
          <w:rFonts w:ascii="Times New Roman" w:eastAsia="宋体" w:hAnsi="Times New Roman"/>
          <w:color w:val="000000"/>
          <w:sz w:val="20"/>
          <w:szCs w:val="20"/>
        </w:rPr>
        <w:t>•Record goodwill and intangible assets that are subject to impairment testing on a regular basis and potential periodic impairment cha</w:t>
      </w:r>
      <w:r>
        <w:rPr>
          <w:rFonts w:ascii="Times New Roman" w:eastAsia="宋体" w:hAnsi="Times New Roman"/>
          <w:color w:val="000000"/>
          <w:sz w:val="20"/>
          <w:szCs w:val="20"/>
        </w:rPr>
        <w:t>rges</w:t>
      </w:r>
    </w:p>
    <w:p w14:paraId="7B6718C7" w14:textId="77777777" w:rsidR="0040300B" w:rsidRDefault="00BB2D44">
      <w:pPr>
        <w:spacing w:before="60"/>
        <w:ind w:hanging="360"/>
        <w:jc w:val="both"/>
      </w:pPr>
      <w:r>
        <w:rPr>
          <w:rFonts w:ascii="Times New Roman" w:eastAsia="宋体" w:hAnsi="Times New Roman"/>
          <w:color w:val="000000"/>
          <w:sz w:val="20"/>
          <w:szCs w:val="20"/>
        </w:rPr>
        <w:t>•Incur amortization expenses related to certain intangible assets</w:t>
      </w:r>
    </w:p>
    <w:p w14:paraId="7B6718C8" w14:textId="77777777" w:rsidR="0040300B" w:rsidRDefault="00BB2D44">
      <w:pPr>
        <w:spacing w:before="60"/>
        <w:ind w:hanging="360"/>
        <w:jc w:val="both"/>
      </w:pPr>
      <w:r>
        <w:rPr>
          <w:rFonts w:ascii="Times New Roman" w:eastAsia="宋体" w:hAnsi="Times New Roman"/>
          <w:color w:val="000000"/>
          <w:sz w:val="20"/>
          <w:szCs w:val="20"/>
        </w:rPr>
        <w:t>•Incur tax expenses related to the effect of acquisitions on our legal structure</w:t>
      </w:r>
    </w:p>
    <w:p w14:paraId="7B6718C9" w14:textId="77777777" w:rsidR="0040300B" w:rsidRDefault="00BB2D44">
      <w:pPr>
        <w:spacing w:before="60"/>
        <w:ind w:hanging="360"/>
        <w:jc w:val="both"/>
      </w:pPr>
      <w:r>
        <w:rPr>
          <w:rFonts w:ascii="Times New Roman" w:eastAsia="宋体" w:hAnsi="Times New Roman"/>
          <w:color w:val="000000"/>
          <w:sz w:val="20"/>
          <w:szCs w:val="20"/>
        </w:rPr>
        <w:t>•Incur large write-offs and restructuring and other related expenses</w:t>
      </w:r>
    </w:p>
    <w:p w14:paraId="7B6718CA" w14:textId="77777777" w:rsidR="0040300B" w:rsidRDefault="00BB2D44">
      <w:pPr>
        <w:spacing w:before="60"/>
        <w:ind w:hanging="360"/>
        <w:jc w:val="both"/>
      </w:pPr>
      <w:r>
        <w:rPr>
          <w:rFonts w:ascii="Times New Roman" w:eastAsia="宋体" w:hAnsi="Times New Roman"/>
          <w:color w:val="000000"/>
          <w:sz w:val="20"/>
          <w:szCs w:val="20"/>
        </w:rPr>
        <w:t>•Become subject to intellectual pro</w:t>
      </w:r>
      <w:r>
        <w:rPr>
          <w:rFonts w:ascii="Times New Roman" w:eastAsia="宋体" w:hAnsi="Times New Roman"/>
          <w:color w:val="000000"/>
          <w:sz w:val="20"/>
          <w:szCs w:val="20"/>
        </w:rPr>
        <w:t>perty or other litigation</w:t>
      </w:r>
      <w:r>
        <w:rPr>
          <w:rFonts w:ascii="Times New Roman" w:eastAsia="宋体" w:hAnsi="Times New Roman"/>
          <w:color w:val="000000"/>
          <w:sz w:val="8"/>
          <w:szCs w:val="8"/>
        </w:rPr>
        <w:t> </w:t>
      </w:r>
    </w:p>
    <w:p w14:paraId="7B6718CB" w14:textId="77777777" w:rsidR="0040300B" w:rsidRDefault="00BB2D44">
      <w:pPr>
        <w:spacing w:before="120"/>
        <w:jc w:val="both"/>
      </w:pPr>
      <w:r>
        <w:rPr>
          <w:rFonts w:ascii="Times New Roman" w:eastAsia="宋体" w:hAnsi="Times New Roman"/>
          <w:color w:val="000000"/>
          <w:sz w:val="20"/>
          <w:szCs w:val="20"/>
        </w:rPr>
        <w:t>Mergers and acquisitions of high-technology companies are inherently risky and subject to many factors outside of our control, and no assurance can be given that our previous or future acquisitions will be successful and will not</w:t>
      </w:r>
      <w:r>
        <w:rPr>
          <w:rFonts w:ascii="Times New Roman" w:eastAsia="宋体" w:hAnsi="Times New Roman"/>
          <w:color w:val="000000"/>
          <w:sz w:val="20"/>
          <w:szCs w:val="20"/>
        </w:rPr>
        <w:t xml:space="preserve"> materially adversely affect our business, operating results, or financial condition. Failure to manage and successfully integrate acquisitions could materially harm our business and operating results. Prior acquisitions have resulted in a wide range of ou</w:t>
      </w:r>
      <w:r>
        <w:rPr>
          <w:rFonts w:ascii="Times New Roman" w:eastAsia="宋体" w:hAnsi="Times New Roman"/>
          <w:color w:val="000000"/>
          <w:sz w:val="20"/>
          <w:szCs w:val="20"/>
        </w:rPr>
        <w:t xml:space="preserve">tcomes, from successful introduction of new products and technologies to a failure to do so. Even when an acquired company has already developed and marketed products, there can be no assurance that product enhancements will be made in a timely fashion or </w:t>
      </w:r>
      <w:r>
        <w:rPr>
          <w:rFonts w:ascii="Times New Roman" w:eastAsia="宋体" w:hAnsi="Times New Roman"/>
          <w:color w:val="000000"/>
          <w:sz w:val="20"/>
          <w:szCs w:val="20"/>
        </w:rPr>
        <w:t>that pre-acquisition due diligence will have identified all possible issues that might arise with respect to such products. In addition, our effective tax rate for future periods is uncertain and could be impacted by mergers and acquisitions. Risks related</w:t>
      </w:r>
      <w:r>
        <w:rPr>
          <w:rFonts w:ascii="Times New Roman" w:eastAsia="宋体" w:hAnsi="Times New Roman"/>
          <w:color w:val="000000"/>
          <w:sz w:val="20"/>
          <w:szCs w:val="20"/>
        </w:rPr>
        <w:t xml:space="preserve"> to new product development also apply to acquisitions. </w:t>
      </w:r>
    </w:p>
    <w:p w14:paraId="7B6718CC" w14:textId="77777777" w:rsidR="0040300B" w:rsidRDefault="00BB2D44">
      <w:pPr>
        <w:spacing w:before="120"/>
        <w:jc w:val="both"/>
      </w:pPr>
      <w:r>
        <w:rPr>
          <w:rFonts w:ascii="Times New Roman" w:eastAsia="宋体" w:hAnsi="Times New Roman"/>
          <w:b/>
          <w:bCs/>
          <w:i/>
          <w:iCs/>
          <w:color w:val="000000"/>
          <w:sz w:val="20"/>
          <w:szCs w:val="20"/>
        </w:rPr>
        <w:t>Entrance into new or developing markets exposes us to additional competition and will likely increase demands on our service and support operations.</w:t>
      </w:r>
      <w:r>
        <w:rPr>
          <w:rFonts w:ascii="Times New Roman" w:eastAsia="宋体" w:hAnsi="Times New Roman"/>
          <w:b/>
          <w:bCs/>
          <w:color w:val="000000"/>
          <w:sz w:val="20"/>
          <w:szCs w:val="20"/>
        </w:rPr>
        <w:t xml:space="preserve"> </w:t>
      </w:r>
    </w:p>
    <w:p w14:paraId="7B6718CD" w14:textId="77777777" w:rsidR="0040300B" w:rsidRDefault="00BB2D44">
      <w:pPr>
        <w:spacing w:before="120"/>
        <w:jc w:val="both"/>
      </w:pPr>
      <w:r>
        <w:rPr>
          <w:rFonts w:ascii="Times New Roman" w:eastAsia="宋体" w:hAnsi="Times New Roman"/>
          <w:color w:val="000000"/>
          <w:sz w:val="20"/>
          <w:szCs w:val="20"/>
        </w:rPr>
        <w:t>As we focus on new market opportunities and key p</w:t>
      </w:r>
      <w:r>
        <w:rPr>
          <w:rFonts w:ascii="Times New Roman" w:eastAsia="宋体" w:hAnsi="Times New Roman"/>
          <w:color w:val="000000"/>
          <w:sz w:val="20"/>
          <w:szCs w:val="20"/>
        </w:rPr>
        <w:t>riority and growth areas, we will increasingly compete with large telecommunications equipment suppliers as well as startup companies. Several of our competitors may have greater resources, including technical and engineering resources, than we do. Additio</w:t>
      </w:r>
      <w:r>
        <w:rPr>
          <w:rFonts w:ascii="Times New Roman" w:eastAsia="宋体" w:hAnsi="Times New Roman"/>
          <w:color w:val="000000"/>
          <w:sz w:val="20"/>
          <w:szCs w:val="20"/>
        </w:rPr>
        <w:t>nally, as customers in these markets complete infrastructure deployments, they may require greater levels of service, support, and financing than we have provided in the past, especially in emerging countries. Demand for these types of service, support, or</w:t>
      </w:r>
      <w:r>
        <w:rPr>
          <w:rFonts w:ascii="Times New Roman" w:eastAsia="宋体" w:hAnsi="Times New Roman"/>
          <w:color w:val="000000"/>
          <w:sz w:val="20"/>
          <w:szCs w:val="20"/>
        </w:rPr>
        <w:t xml:space="preserve"> financing contracts may increase in the future. There can be </w:t>
      </w:r>
    </w:p>
    <w:p w14:paraId="7B6718CE" w14:textId="77777777" w:rsidR="0040300B" w:rsidRDefault="00BB2D44">
      <w:pPr>
        <w:jc w:val="center"/>
      </w:pPr>
      <w:r>
        <w:rPr>
          <w:rFonts w:ascii="Times New Roman" w:eastAsia="宋体" w:hAnsi="Times New Roman"/>
          <w:color w:val="000000"/>
          <w:sz w:val="20"/>
          <w:szCs w:val="20"/>
        </w:rPr>
        <w:t>77</w:t>
      </w:r>
    </w:p>
    <w:p w14:paraId="7B6718CF" w14:textId="77777777" w:rsidR="0040300B" w:rsidRDefault="00BB2D44">
      <w:r>
        <w:pict w14:anchorId="7B671C5D">
          <v:rect id="_x0000_i1101" style="width:415.3pt;height:1.5pt" o:hralign="center" o:hrstd="t" o:hr="t" fillcolor="#a0a0a0" stroked="f"/>
        </w:pict>
      </w:r>
    </w:p>
    <w:p w14:paraId="7B6718D0" w14:textId="77777777" w:rsidR="0040300B" w:rsidRDefault="00BB2D44">
      <w:hyperlink r:id="rId123" w:anchor="i52d5b40dbad7426a9806a2fd5167029f_7" w:history="1">
        <w:r>
          <w:rPr>
            <w:rStyle w:val="a5"/>
            <w:rFonts w:ascii="Times New Roman" w:eastAsia="宋体" w:hAnsi="Times New Roman"/>
            <w:sz w:val="18"/>
            <w:szCs w:val="18"/>
          </w:rPr>
          <w:t>Table of Contents</w:t>
        </w:r>
      </w:hyperlink>
    </w:p>
    <w:p w14:paraId="7B6718D1" w14:textId="77777777" w:rsidR="0040300B" w:rsidRDefault="00BB2D44">
      <w:pPr>
        <w:spacing w:before="120"/>
        <w:jc w:val="both"/>
      </w:pPr>
      <w:r>
        <w:rPr>
          <w:rFonts w:ascii="Times New Roman" w:eastAsia="宋体" w:hAnsi="Times New Roman"/>
          <w:color w:val="000000"/>
          <w:sz w:val="20"/>
          <w:szCs w:val="20"/>
        </w:rPr>
        <w:t xml:space="preserve">no assurance that we </w:t>
      </w:r>
      <w:r>
        <w:rPr>
          <w:rFonts w:ascii="Times New Roman" w:eastAsia="宋体" w:hAnsi="Times New Roman"/>
          <w:color w:val="000000"/>
          <w:sz w:val="20"/>
          <w:szCs w:val="20"/>
        </w:rPr>
        <w:t>can provide products, service, support, and financing to effectively compete for these market opportunities. Further, entry into other markets has subjected and will subject us to additional risks, particularly to those markets, including the effects of ge</w:t>
      </w:r>
      <w:r>
        <w:rPr>
          <w:rFonts w:ascii="Times New Roman" w:eastAsia="宋体" w:hAnsi="Times New Roman"/>
          <w:color w:val="000000"/>
          <w:sz w:val="20"/>
          <w:szCs w:val="20"/>
        </w:rPr>
        <w:t>neral market conditions and reduced consumer confidence. For example, as we add direct selling capabilities globally to meet changing customer demands, we will face increased legal and regulatory requirements.</w:t>
      </w:r>
    </w:p>
    <w:p w14:paraId="7B6718D2" w14:textId="77777777" w:rsidR="0040300B" w:rsidRDefault="00BB2D44">
      <w:pPr>
        <w:spacing w:before="120"/>
        <w:jc w:val="both"/>
      </w:pPr>
      <w:r>
        <w:rPr>
          <w:rFonts w:ascii="Times New Roman" w:eastAsia="宋体" w:hAnsi="Times New Roman"/>
          <w:b/>
          <w:bCs/>
          <w:i/>
          <w:iCs/>
          <w:color w:val="000000"/>
          <w:sz w:val="20"/>
          <w:szCs w:val="20"/>
        </w:rPr>
        <w:t>Industry consolidation may lead to increased c</w:t>
      </w:r>
      <w:r>
        <w:rPr>
          <w:rFonts w:ascii="Times New Roman" w:eastAsia="宋体" w:hAnsi="Times New Roman"/>
          <w:b/>
          <w:bCs/>
          <w:i/>
          <w:iCs/>
          <w:color w:val="000000"/>
          <w:sz w:val="20"/>
          <w:szCs w:val="20"/>
        </w:rPr>
        <w:t>ompetition and may harm our operating results.</w:t>
      </w:r>
      <w:r>
        <w:rPr>
          <w:rFonts w:ascii="Times New Roman" w:eastAsia="宋体" w:hAnsi="Times New Roman"/>
          <w:b/>
          <w:bCs/>
          <w:color w:val="000000"/>
          <w:sz w:val="20"/>
          <w:szCs w:val="20"/>
        </w:rPr>
        <w:t xml:space="preserve"> </w:t>
      </w:r>
    </w:p>
    <w:p w14:paraId="7B6718D3" w14:textId="77777777" w:rsidR="0040300B" w:rsidRDefault="00BB2D44">
      <w:pPr>
        <w:spacing w:before="120"/>
        <w:jc w:val="both"/>
      </w:pPr>
      <w:r>
        <w:rPr>
          <w:rFonts w:ascii="Times New Roman" w:eastAsia="宋体" w:hAnsi="Times New Roman"/>
          <w:color w:val="000000"/>
          <w:sz w:val="20"/>
          <w:szCs w:val="20"/>
        </w:rPr>
        <w:t xml:space="preserve">There is a continuing trend toward industry consolidation in our markets. We expect this trend to continue as companies attempt to strengthen or hold their market positions in an evolving industry and as </w:t>
      </w:r>
      <w:r>
        <w:rPr>
          <w:rFonts w:ascii="Times New Roman" w:eastAsia="宋体" w:hAnsi="Times New Roman"/>
          <w:color w:val="000000"/>
          <w:sz w:val="20"/>
          <w:szCs w:val="20"/>
        </w:rPr>
        <w:t>companies are acquired or are unable to continue operations. For example, some of our current and potential competitors for enterprise data center business have made acquisitions, or announced new strategic alliances, designed to position them with the abi</w:t>
      </w:r>
      <w:r>
        <w:rPr>
          <w:rFonts w:ascii="Times New Roman" w:eastAsia="宋体" w:hAnsi="Times New Roman"/>
          <w:color w:val="000000"/>
          <w:sz w:val="20"/>
          <w:szCs w:val="20"/>
        </w:rPr>
        <w:t>lity to provide end-to-end technology solutions for the enterprise data center. Companies that are strategic alliance partners in some areas of our business may acquire or form alliances with our competitors, thereby reducing their business with us. We bel</w:t>
      </w:r>
      <w:r>
        <w:rPr>
          <w:rFonts w:ascii="Times New Roman" w:eastAsia="宋体" w:hAnsi="Times New Roman"/>
          <w:color w:val="000000"/>
          <w:sz w:val="20"/>
          <w:szCs w:val="20"/>
        </w:rPr>
        <w:t>ieve that industry consolidation may result in stronger competitors that are better able to compete as sole-source vendors for customers. This could lead to more variability in our operating results and could have a material adverse effect on our business,</w:t>
      </w:r>
      <w:r>
        <w:rPr>
          <w:rFonts w:ascii="Times New Roman" w:eastAsia="宋体" w:hAnsi="Times New Roman"/>
          <w:color w:val="000000"/>
          <w:sz w:val="20"/>
          <w:szCs w:val="20"/>
        </w:rPr>
        <w:t xml:space="preserve"> operating results, and financial condition. Furthermore, particularly in the service provider market, rapid consolidation will lead to fewer customers, with the effect that loss of a major customer could have a material impact on results not anticipated i</w:t>
      </w:r>
      <w:r>
        <w:rPr>
          <w:rFonts w:ascii="Times New Roman" w:eastAsia="宋体" w:hAnsi="Times New Roman"/>
          <w:color w:val="000000"/>
          <w:sz w:val="20"/>
          <w:szCs w:val="20"/>
        </w:rPr>
        <w:t>n a customer marketplace composed of more numerous participants.</w:t>
      </w:r>
    </w:p>
    <w:p w14:paraId="7B6718D4" w14:textId="77777777" w:rsidR="0040300B" w:rsidRDefault="00BB2D44">
      <w:pPr>
        <w:spacing w:before="120" w:after="60"/>
        <w:jc w:val="both"/>
      </w:pPr>
      <w:r>
        <w:rPr>
          <w:rFonts w:ascii="Times New Roman" w:eastAsia="宋体" w:hAnsi="Times New Roman"/>
          <w:b/>
          <w:bCs/>
          <w:i/>
          <w:iCs/>
          <w:color w:val="000000"/>
          <w:sz w:val="20"/>
          <w:szCs w:val="20"/>
        </w:rPr>
        <w:t>Product quality problems could lead to reduced revenue, gross margins, and net income.</w:t>
      </w:r>
      <w:r>
        <w:rPr>
          <w:rFonts w:ascii="Times New Roman" w:eastAsia="宋体" w:hAnsi="Times New Roman"/>
          <w:b/>
          <w:bCs/>
          <w:color w:val="000000"/>
          <w:sz w:val="20"/>
          <w:szCs w:val="20"/>
        </w:rPr>
        <w:t xml:space="preserve"> </w:t>
      </w:r>
    </w:p>
    <w:p w14:paraId="7B6718D5" w14:textId="77777777" w:rsidR="0040300B" w:rsidRDefault="00BB2D44">
      <w:pPr>
        <w:spacing w:before="120"/>
        <w:jc w:val="both"/>
      </w:pPr>
      <w:r>
        <w:rPr>
          <w:rFonts w:ascii="Times New Roman" w:eastAsia="宋体" w:hAnsi="Times New Roman"/>
          <w:color w:val="000000"/>
          <w:sz w:val="20"/>
          <w:szCs w:val="20"/>
        </w:rPr>
        <w:t>We produce highly complex products that incorporate leading-edge technology, including both hardware and software. Software typically contains bugs that can unexpectedly interfere with expected operations. There can be no assurance that our pre-shipment te</w:t>
      </w:r>
      <w:r>
        <w:rPr>
          <w:rFonts w:ascii="Times New Roman" w:eastAsia="宋体" w:hAnsi="Times New Roman"/>
          <w:color w:val="000000"/>
          <w:sz w:val="20"/>
          <w:szCs w:val="20"/>
        </w:rPr>
        <w:t>sting programs will be adequate to detect all defects, either ones in individual products or ones that could affect numerous shipments, which might interfere with customer satisfaction, reduce sales opportunities, or affect gross margins. From time to time</w:t>
      </w:r>
      <w:r>
        <w:rPr>
          <w:rFonts w:ascii="Times New Roman" w:eastAsia="宋体" w:hAnsi="Times New Roman"/>
          <w:color w:val="000000"/>
          <w:sz w:val="20"/>
          <w:szCs w:val="20"/>
        </w:rPr>
        <w:t>, we have had to replace certain components and provide remediation in response to the discovery of defects or bugs in products that we had shipped. There can be no assurance that such remediation, depending on the product involved, would not have a materi</w:t>
      </w:r>
      <w:r>
        <w:rPr>
          <w:rFonts w:ascii="Times New Roman" w:eastAsia="宋体" w:hAnsi="Times New Roman"/>
          <w:color w:val="000000"/>
          <w:sz w:val="20"/>
          <w:szCs w:val="20"/>
        </w:rPr>
        <w:t>al impact. An inability to cure a product defect could result in the failure of a product line, temporary or permanent withdrawal from a product or market, damage to our reputation, inventory costs, or product reengineering expenses, any of which could hav</w:t>
      </w:r>
      <w:r>
        <w:rPr>
          <w:rFonts w:ascii="Times New Roman" w:eastAsia="宋体" w:hAnsi="Times New Roman"/>
          <w:color w:val="000000"/>
          <w:sz w:val="20"/>
          <w:szCs w:val="20"/>
        </w:rPr>
        <w:t xml:space="preserve">e a material impact on our revenue, margins, and net income. </w:t>
      </w:r>
    </w:p>
    <w:p w14:paraId="7B6718D6" w14:textId="77777777" w:rsidR="0040300B" w:rsidRDefault="00BB2D44">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 country or region could harm our operating results and financial condition.</w:t>
      </w:r>
    </w:p>
    <w:p w14:paraId="7B6718D7" w14:textId="77777777" w:rsidR="0040300B" w:rsidRDefault="00BB2D44">
      <w:pPr>
        <w:spacing w:before="120"/>
        <w:jc w:val="both"/>
      </w:pPr>
      <w:r>
        <w:rPr>
          <w:rFonts w:ascii="Times New Roman" w:eastAsia="宋体" w:hAnsi="Times New Roman"/>
          <w:color w:val="000000"/>
          <w:sz w:val="20"/>
          <w:szCs w:val="20"/>
        </w:rPr>
        <w:t>We conduct si</w:t>
      </w:r>
      <w:r>
        <w:rPr>
          <w:rFonts w:ascii="Times New Roman" w:eastAsia="宋体" w:hAnsi="Times New Roman"/>
          <w:color w:val="000000"/>
          <w:sz w:val="20"/>
          <w:szCs w:val="20"/>
        </w:rPr>
        <w:t>gnificant sales and customer support operations in countries around the world. As such, our growth depends in part on our increasing sales into emerging countries. We also depend on non-U.S. operations of our contract manufacturers, component suppliers and</w:t>
      </w:r>
      <w:r>
        <w:rPr>
          <w:rFonts w:ascii="Times New Roman" w:eastAsia="宋体" w:hAnsi="Times New Roman"/>
          <w:color w:val="000000"/>
          <w:sz w:val="20"/>
          <w:szCs w:val="20"/>
        </w:rPr>
        <w:t xml:space="preserve"> distribution partners. Our business in emerging countries in the aggregate experienced a decline in orders in the first half of fiscal 2021 and in certain prior periods. We continue to assess the sustainability of any improvements in our business in these</w:t>
      </w:r>
      <w:r>
        <w:rPr>
          <w:rFonts w:ascii="Times New Roman" w:eastAsia="宋体" w:hAnsi="Times New Roman"/>
          <w:color w:val="000000"/>
          <w:sz w:val="20"/>
          <w:szCs w:val="20"/>
        </w:rPr>
        <w:t xml:space="preserve"> countries and there can be no assurance that our investments in these countries will be successful. Our future results could be materially adversely affected by a variety of political, economic or other factors relating to our operations inside and outsid</w:t>
      </w:r>
      <w:r>
        <w:rPr>
          <w:rFonts w:ascii="Times New Roman" w:eastAsia="宋体" w:hAnsi="Times New Roman"/>
          <w:color w:val="000000"/>
          <w:sz w:val="20"/>
          <w:szCs w:val="20"/>
        </w:rPr>
        <w:t xml:space="preserve">e the United States, any or all of which could have a material adverse effect on our operating results and financial condition, including the following: impacts from global central bank monetary policy; issues related to the political relationship between </w:t>
      </w:r>
      <w:r>
        <w:rPr>
          <w:rFonts w:ascii="Times New Roman" w:eastAsia="宋体" w:hAnsi="Times New Roman"/>
          <w:color w:val="000000"/>
          <w:sz w:val="20"/>
          <w:szCs w:val="20"/>
        </w:rPr>
        <w:t>the United States and other countries that can affect regulatory matters, affect the willingness of customers in those countries to purchase products from companies headquartered in the United States or affect our ability to procure components if a governm</w:t>
      </w:r>
      <w:r>
        <w:rPr>
          <w:rFonts w:ascii="Times New Roman" w:eastAsia="宋体" w:hAnsi="Times New Roman"/>
          <w:color w:val="000000"/>
          <w:sz w:val="20"/>
          <w:szCs w:val="20"/>
        </w:rPr>
        <w:t>ent body were to deny us access to those components; government-related disruptions or shutdowns; the challenging and inconsistent global macroeconomic environment; foreign currency exchange rates; political or social unrest; economic instability or weakne</w:t>
      </w:r>
      <w:r>
        <w:rPr>
          <w:rFonts w:ascii="Times New Roman" w:eastAsia="宋体" w:hAnsi="Times New Roman"/>
          <w:color w:val="000000"/>
          <w:sz w:val="20"/>
          <w:szCs w:val="20"/>
        </w:rPr>
        <w:t xml:space="preserve">ss or natural disasters in a specific country or region, including economic challenges in China and global economic ramifications of Chinese economic difficulties; instability as a result of Brexit; environmental protection regulations (including new laws </w:t>
      </w:r>
      <w:r>
        <w:rPr>
          <w:rFonts w:ascii="Times New Roman" w:eastAsia="宋体" w:hAnsi="Times New Roman"/>
          <w:color w:val="000000"/>
          <w:sz w:val="20"/>
          <w:szCs w:val="20"/>
        </w:rPr>
        <w:t>and regulations related to climate change), trade protection measures such as tariffs, and other legal and regulatory requirements, some of which may affect our ability to import our products to, export our products from, or sell our products in various co</w:t>
      </w:r>
      <w:r>
        <w:rPr>
          <w:rFonts w:ascii="Times New Roman" w:eastAsia="宋体" w:hAnsi="Times New Roman"/>
          <w:color w:val="000000"/>
          <w:sz w:val="20"/>
          <w:szCs w:val="20"/>
        </w:rPr>
        <w:t>untries or affect our ability to procure components; political considerations that affect service provider and government spending patterns; health or similar issues, including pandemics or epidemics such as the COVID-19 pandemic which could continue to af</w:t>
      </w:r>
      <w:r>
        <w:rPr>
          <w:rFonts w:ascii="Times New Roman" w:eastAsia="宋体" w:hAnsi="Times New Roman"/>
          <w:color w:val="000000"/>
          <w:sz w:val="20"/>
          <w:szCs w:val="20"/>
        </w:rPr>
        <w:t xml:space="preserve">fect customer purchasing decisions; difficulties in staffing and managing international operations; and adverse tax consequences, including imposition of withholding or other taxes on our global operations. </w:t>
      </w:r>
      <w:r>
        <w:rPr>
          <w:rFonts w:ascii="Times New Roman" w:eastAsia="宋体" w:hAnsi="Times New Roman"/>
          <w:color w:val="000000"/>
          <w:sz w:val="8"/>
          <w:szCs w:val="8"/>
        </w:rPr>
        <w:t> </w:t>
      </w:r>
    </w:p>
    <w:p w14:paraId="7B6718D8" w14:textId="77777777" w:rsidR="0040300B" w:rsidRDefault="00BB2D44">
      <w:pPr>
        <w:spacing w:before="120"/>
        <w:jc w:val="both"/>
      </w:pPr>
      <w:r>
        <w:rPr>
          <w:rFonts w:ascii="Times New Roman" w:eastAsia="宋体" w:hAnsi="Times New Roman"/>
          <w:b/>
          <w:bCs/>
          <w:i/>
          <w:iCs/>
          <w:color w:val="000000"/>
          <w:sz w:val="20"/>
          <w:szCs w:val="20"/>
        </w:rPr>
        <w:t>We are exposed to the credit risk of some of ou</w:t>
      </w:r>
      <w:r>
        <w:rPr>
          <w:rFonts w:ascii="Times New Roman" w:eastAsia="宋体" w:hAnsi="Times New Roman"/>
          <w:b/>
          <w:bCs/>
          <w:i/>
          <w:iCs/>
          <w:color w:val="000000"/>
          <w:sz w:val="20"/>
          <w:szCs w:val="20"/>
        </w:rPr>
        <w:t>r customers and to credit exposures in weakened markets, which could result in material losses.</w:t>
      </w:r>
      <w:r>
        <w:rPr>
          <w:rFonts w:ascii="Times New Roman" w:eastAsia="宋体" w:hAnsi="Times New Roman"/>
          <w:b/>
          <w:bCs/>
          <w:color w:val="000000"/>
          <w:sz w:val="20"/>
          <w:szCs w:val="20"/>
        </w:rPr>
        <w:t xml:space="preserve"> </w:t>
      </w:r>
    </w:p>
    <w:p w14:paraId="7B6718D9" w14:textId="77777777" w:rsidR="0040300B" w:rsidRDefault="00BB2D44">
      <w:pPr>
        <w:spacing w:before="120"/>
        <w:jc w:val="both"/>
      </w:pPr>
      <w:r>
        <w:rPr>
          <w:rFonts w:ascii="Times New Roman" w:eastAsia="宋体" w:hAnsi="Times New Roman"/>
          <w:color w:val="000000"/>
          <w:sz w:val="20"/>
          <w:szCs w:val="20"/>
        </w:rPr>
        <w:t>Most of our sales are on an open credit basis, with typical payment terms of 30 days in the United States and, because of local customs or conditions, longer i</w:t>
      </w:r>
      <w:r>
        <w:rPr>
          <w:rFonts w:ascii="Times New Roman" w:eastAsia="宋体" w:hAnsi="Times New Roman"/>
          <w:color w:val="000000"/>
          <w:sz w:val="20"/>
          <w:szCs w:val="20"/>
        </w:rPr>
        <w:t xml:space="preserve">n some markets outside the United States. Beyond our open credit arrangements, we have also experienced demands for customer financing and facilitation of leasing arrangements. Our loan financing arrangements may </w:t>
      </w:r>
    </w:p>
    <w:p w14:paraId="7B6718DA" w14:textId="77777777" w:rsidR="0040300B" w:rsidRDefault="00BB2D44">
      <w:pPr>
        <w:jc w:val="center"/>
      </w:pPr>
      <w:r>
        <w:rPr>
          <w:rFonts w:ascii="Times New Roman" w:eastAsia="宋体" w:hAnsi="Times New Roman"/>
          <w:color w:val="000000"/>
          <w:sz w:val="20"/>
          <w:szCs w:val="20"/>
        </w:rPr>
        <w:t>78</w:t>
      </w:r>
    </w:p>
    <w:p w14:paraId="7B6718DB" w14:textId="77777777" w:rsidR="0040300B" w:rsidRDefault="00BB2D44">
      <w:r>
        <w:pict w14:anchorId="7B671C5E">
          <v:rect id="_x0000_i1102" style="width:415.3pt;height:1.5pt" o:hralign="center" o:hrstd="t" o:hr="t" fillcolor="#a0a0a0" stroked="f"/>
        </w:pict>
      </w:r>
    </w:p>
    <w:p w14:paraId="7B6718DC" w14:textId="77777777" w:rsidR="0040300B" w:rsidRDefault="00BB2D44">
      <w:hyperlink r:id="rId124" w:anchor="i52d5b40dbad7426a9806a2fd5167029f_7" w:history="1">
        <w:r>
          <w:rPr>
            <w:rStyle w:val="a5"/>
            <w:rFonts w:ascii="Times New Roman" w:eastAsia="宋体" w:hAnsi="Times New Roman"/>
            <w:sz w:val="18"/>
            <w:szCs w:val="18"/>
          </w:rPr>
          <w:t>Table of Contents</w:t>
        </w:r>
      </w:hyperlink>
    </w:p>
    <w:p w14:paraId="7B6718DD" w14:textId="77777777" w:rsidR="0040300B" w:rsidRDefault="00BB2D44">
      <w:pPr>
        <w:spacing w:before="120"/>
        <w:jc w:val="both"/>
      </w:pPr>
      <w:r>
        <w:rPr>
          <w:rFonts w:ascii="Times New Roman" w:eastAsia="宋体" w:hAnsi="Times New Roman"/>
          <w:color w:val="000000"/>
          <w:sz w:val="20"/>
          <w:szCs w:val="20"/>
        </w:rPr>
        <w:t>include not only financing the acquisition of our products and services but also providing additional funds for other costs as</w:t>
      </w:r>
      <w:r>
        <w:rPr>
          <w:rFonts w:ascii="Times New Roman" w:eastAsia="宋体" w:hAnsi="Times New Roman"/>
          <w:color w:val="000000"/>
          <w:sz w:val="20"/>
          <w:szCs w:val="20"/>
        </w:rPr>
        <w:t>sociated with network installation and integration of our products and services. Our exposure to the credit risks relating to our financing activities may increase if our customers are adversely affected by a global economic downturn or periods of economic</w:t>
      </w:r>
      <w:r>
        <w:rPr>
          <w:rFonts w:ascii="Times New Roman" w:eastAsia="宋体" w:hAnsi="Times New Roman"/>
          <w:color w:val="000000"/>
          <w:sz w:val="20"/>
          <w:szCs w:val="20"/>
        </w:rPr>
        <w:t xml:space="preserve"> uncertainty. There can be no assurance that programs we have in place to monitor and mitigate credit risks will be effective. In the past, there have been significant bankruptcies among customers both on open credit and with loan or lease financing arrang</w:t>
      </w:r>
      <w:r>
        <w:rPr>
          <w:rFonts w:ascii="Times New Roman" w:eastAsia="宋体" w:hAnsi="Times New Roman"/>
          <w:color w:val="000000"/>
          <w:sz w:val="20"/>
          <w:szCs w:val="20"/>
        </w:rPr>
        <w:t>ements, particularly among Internet businesses and service providers, causing us to incur economic or financial losses. There can be no assurance that additional losses will not be incurred. Although these losses have not been material to date, future loss</w:t>
      </w:r>
      <w:r>
        <w:rPr>
          <w:rFonts w:ascii="Times New Roman" w:eastAsia="宋体" w:hAnsi="Times New Roman"/>
          <w:color w:val="000000"/>
          <w:sz w:val="20"/>
          <w:szCs w:val="20"/>
        </w:rPr>
        <w:t>es, if incurred, could harm our business and have a material adverse effect on our operating results and financial condition. Additionally, to the degree that turmoil in the credit markets makes it more difficult for some customers to obtain financing, tho</w:t>
      </w:r>
      <w:r>
        <w:rPr>
          <w:rFonts w:ascii="Times New Roman" w:eastAsia="宋体" w:hAnsi="Times New Roman"/>
          <w:color w:val="000000"/>
          <w:sz w:val="20"/>
          <w:szCs w:val="20"/>
        </w:rPr>
        <w:t xml:space="preserve">se customers’ ability to pay could be adversely impacted, which in turn could have a material adverse impact on our business, operating results, and financial condition. </w:t>
      </w:r>
    </w:p>
    <w:p w14:paraId="7B6718DE" w14:textId="77777777" w:rsidR="0040300B" w:rsidRDefault="00BB2D44">
      <w:pPr>
        <w:spacing w:before="120"/>
        <w:jc w:val="both"/>
      </w:pPr>
      <w:r>
        <w:rPr>
          <w:rFonts w:ascii="Times New Roman" w:eastAsia="宋体" w:hAnsi="Times New Roman"/>
          <w:b/>
          <w:bCs/>
          <w:i/>
          <w:iCs/>
          <w:color w:val="000000"/>
          <w:sz w:val="20"/>
          <w:szCs w:val="20"/>
        </w:rPr>
        <w:t xml:space="preserve">We are exposed to fluctuations in the market values of our portfolio investments and </w:t>
      </w:r>
      <w:r>
        <w:rPr>
          <w:rFonts w:ascii="Times New Roman" w:eastAsia="宋体" w:hAnsi="Times New Roman"/>
          <w:b/>
          <w:bCs/>
          <w:i/>
          <w:iCs/>
          <w:color w:val="000000"/>
          <w:sz w:val="20"/>
          <w:szCs w:val="20"/>
        </w:rPr>
        <w:t>in interest rates; impairment of our investments could harm our earnings.</w:t>
      </w:r>
    </w:p>
    <w:p w14:paraId="7B6718DF" w14:textId="77777777" w:rsidR="0040300B" w:rsidRDefault="00BB2D44">
      <w:pPr>
        <w:spacing w:before="120"/>
        <w:jc w:val="both"/>
      </w:pPr>
      <w:r>
        <w:rPr>
          <w:rFonts w:ascii="Times New Roman" w:eastAsia="宋体" w:hAnsi="Times New Roman"/>
          <w:color w:val="000000"/>
          <w:sz w:val="20"/>
          <w:szCs w:val="20"/>
        </w:rPr>
        <w:t>We maintain an investment portfolio of various holdings, types, and maturities. Our portfolio includes available-for-sale debt investments and equity investments, the values of which</w:t>
      </w:r>
      <w:r>
        <w:rPr>
          <w:rFonts w:ascii="Times New Roman" w:eastAsia="宋体" w:hAnsi="Times New Roman"/>
          <w:color w:val="000000"/>
          <w:sz w:val="20"/>
          <w:szCs w:val="20"/>
        </w:rPr>
        <w:t xml:space="preserve"> are subject to market price volatility. If such investments suffer market price declines, as we experienced with some of our investments in the past, we may recognize in earnings the decline in the fair value of our investments below their cost basis. Our</w:t>
      </w:r>
      <w:r>
        <w:rPr>
          <w:rFonts w:ascii="Times New Roman" w:eastAsia="宋体" w:hAnsi="Times New Roman"/>
          <w:color w:val="000000"/>
          <w:sz w:val="20"/>
          <w:szCs w:val="20"/>
        </w:rPr>
        <w:t xml:space="preserve"> non-marketable equity and other investments are subject to risk of loss of investment capital. These investments are inherently risky because the markets for the technologies or products they have under development are typically in the early stages and ma</w:t>
      </w:r>
      <w:r>
        <w:rPr>
          <w:rFonts w:ascii="Times New Roman" w:eastAsia="宋体" w:hAnsi="Times New Roman"/>
          <w:color w:val="000000"/>
          <w:sz w:val="20"/>
          <w:szCs w:val="20"/>
        </w:rPr>
        <w:t>y never materialize. We could lose our entire investment in these companies. For information regarding the market risks associated with the fair value of portfolio investments and interest rates, refer to the section titled “Quantitative and Qualitative Di</w:t>
      </w:r>
      <w:r>
        <w:rPr>
          <w:rFonts w:ascii="Times New Roman" w:eastAsia="宋体" w:hAnsi="Times New Roman"/>
          <w:color w:val="000000"/>
          <w:sz w:val="20"/>
          <w:szCs w:val="20"/>
        </w:rPr>
        <w:t xml:space="preserve">sclosures About Market Risk.” </w:t>
      </w:r>
    </w:p>
    <w:p w14:paraId="7B6718E0" w14:textId="77777777" w:rsidR="0040300B" w:rsidRDefault="00BB2D44">
      <w:pPr>
        <w:spacing w:before="120"/>
        <w:jc w:val="both"/>
      </w:pPr>
      <w:r>
        <w:rPr>
          <w:rFonts w:ascii="Times New Roman" w:eastAsia="宋体" w:hAnsi="Times New Roman"/>
          <w:b/>
          <w:bCs/>
          <w:i/>
          <w:iCs/>
          <w:color w:val="000000"/>
          <w:sz w:val="20"/>
          <w:szCs w:val="20"/>
        </w:rPr>
        <w:t>We are exposed to fluctuations in currency exchange rates that could negatively impact our financial results and cash flows.</w:t>
      </w:r>
    </w:p>
    <w:p w14:paraId="7B6718E1" w14:textId="77777777" w:rsidR="0040300B" w:rsidRDefault="00BB2D44">
      <w:pPr>
        <w:spacing w:before="120"/>
        <w:jc w:val="both"/>
      </w:pPr>
      <w:r>
        <w:rPr>
          <w:rFonts w:ascii="Times New Roman" w:eastAsia="宋体" w:hAnsi="Times New Roman"/>
          <w:color w:val="000000"/>
          <w:sz w:val="20"/>
          <w:szCs w:val="20"/>
        </w:rPr>
        <w:t>Because a significant portion of our business is conducted outside the United States, we face exposu</w:t>
      </w:r>
      <w:r>
        <w:rPr>
          <w:rFonts w:ascii="Times New Roman" w:eastAsia="宋体" w:hAnsi="Times New Roman"/>
          <w:color w:val="000000"/>
          <w:sz w:val="20"/>
          <w:szCs w:val="20"/>
        </w:rPr>
        <w:t>re to adverse movements in foreign currency exchange rates, including emerging market currencies which can have extreme currency volatility. An increase in the value of the dollar could increase the real cost to our customers of our products in those marke</w:t>
      </w:r>
      <w:r>
        <w:rPr>
          <w:rFonts w:ascii="Times New Roman" w:eastAsia="宋体" w:hAnsi="Times New Roman"/>
          <w:color w:val="000000"/>
          <w:sz w:val="20"/>
          <w:szCs w:val="20"/>
        </w:rPr>
        <w:t>ts outside the United States where we sell in dollars and a weakened dollar could increase the cost of local operating expenses and procurement of raw materials to the extent that we must purchase components in foreign currencies. These exposures may chang</w:t>
      </w:r>
      <w:r>
        <w:rPr>
          <w:rFonts w:ascii="Times New Roman" w:eastAsia="宋体" w:hAnsi="Times New Roman"/>
          <w:color w:val="000000"/>
          <w:sz w:val="20"/>
          <w:szCs w:val="20"/>
        </w:rPr>
        <w:t xml:space="preserve">e over time as business practices evolve, and they could have a material adverse impact on our financial results and cash flows. </w:t>
      </w:r>
    </w:p>
    <w:p w14:paraId="7B6718E2" w14:textId="77777777" w:rsidR="0040300B" w:rsidRDefault="00BB2D44">
      <w:pPr>
        <w:spacing w:before="120"/>
      </w:pPr>
      <w:r>
        <w:rPr>
          <w:rFonts w:ascii="Times New Roman" w:eastAsia="宋体" w:hAnsi="Times New Roman"/>
          <w:b/>
          <w:bCs/>
          <w:i/>
          <w:iCs/>
          <w:color w:val="000000"/>
          <w:sz w:val="20"/>
          <w:szCs w:val="20"/>
        </w:rPr>
        <w:t>Failure to retain and recruit key personnel would harm our ability to meet key objectives.</w:t>
      </w:r>
      <w:r>
        <w:rPr>
          <w:rFonts w:ascii="Times New Roman" w:eastAsia="宋体" w:hAnsi="Times New Roman"/>
          <w:b/>
          <w:bCs/>
          <w:color w:val="000000"/>
          <w:sz w:val="20"/>
          <w:szCs w:val="20"/>
        </w:rPr>
        <w:t xml:space="preserve"> </w:t>
      </w:r>
    </w:p>
    <w:p w14:paraId="7B6718E3" w14:textId="77777777" w:rsidR="0040300B" w:rsidRDefault="00BB2D44">
      <w:pPr>
        <w:spacing w:before="120"/>
        <w:jc w:val="both"/>
      </w:pPr>
      <w:r>
        <w:rPr>
          <w:rFonts w:ascii="Times New Roman" w:eastAsia="宋体" w:hAnsi="Times New Roman"/>
          <w:color w:val="000000"/>
          <w:sz w:val="20"/>
          <w:szCs w:val="20"/>
        </w:rPr>
        <w:t xml:space="preserve">Our success has always </w:t>
      </w:r>
      <w:r>
        <w:rPr>
          <w:rFonts w:ascii="Times New Roman" w:eastAsia="宋体" w:hAnsi="Times New Roman"/>
          <w:color w:val="000000"/>
          <w:sz w:val="20"/>
          <w:szCs w:val="20"/>
        </w:rPr>
        <w:t>depended in large part on our ability to attract and retain highly skilled technical, managerial, sales, and marketing personnel. Competition for these personnel is intense, especially in the Silicon Valley area of Northern California. Stock incentive plan</w:t>
      </w:r>
      <w:r>
        <w:rPr>
          <w:rFonts w:ascii="Times New Roman" w:eastAsia="宋体" w:hAnsi="Times New Roman"/>
          <w:color w:val="000000"/>
          <w:sz w:val="20"/>
          <w:szCs w:val="20"/>
        </w:rPr>
        <w:t>s are designed to reward employees for their long-term contributions and provide incentives for them to remain with us. Volatility or lack of positive performance in our stock price or equity incentive awards, or changes to our overall compensation program</w:t>
      </w:r>
      <w:r>
        <w:rPr>
          <w:rFonts w:ascii="Times New Roman" w:eastAsia="宋体" w:hAnsi="Times New Roman"/>
          <w:color w:val="000000"/>
          <w:sz w:val="20"/>
          <w:szCs w:val="20"/>
        </w:rPr>
        <w:t>, including our stock incentive program, resulting from the management of share dilution and share-based compensation expense or otherwise, may also adversely affect our ability to retain key employees. As a result of one or more of these factors, we may i</w:t>
      </w:r>
      <w:r>
        <w:rPr>
          <w:rFonts w:ascii="Times New Roman" w:eastAsia="宋体" w:hAnsi="Times New Roman"/>
          <w:color w:val="000000"/>
          <w:sz w:val="20"/>
          <w:szCs w:val="20"/>
        </w:rPr>
        <w:t>ncrease our hiring in geographic areas outside the United States, which could subject us to additional geopolitical and exchange rate risk. The loss of services of any of our key personnel; the inability to retain and attract qualified personnel in the fut</w:t>
      </w:r>
      <w:r>
        <w:rPr>
          <w:rFonts w:ascii="Times New Roman" w:eastAsia="宋体" w:hAnsi="Times New Roman"/>
          <w:color w:val="000000"/>
          <w:sz w:val="20"/>
          <w:szCs w:val="20"/>
        </w:rPr>
        <w:t>ure; or delays in hiring required personnel, particularly engineering and sales personnel, could make it difficult to meet key objectives, such as timely and effective product introductions. In addition, companies in our industry whose employees accept pos</w:t>
      </w:r>
      <w:r>
        <w:rPr>
          <w:rFonts w:ascii="Times New Roman" w:eastAsia="宋体" w:hAnsi="Times New Roman"/>
          <w:color w:val="000000"/>
          <w:sz w:val="20"/>
          <w:szCs w:val="20"/>
        </w:rPr>
        <w:t>itions with competitors frequently claim that competitors have engaged in improper hiring practices. We have received these claims in the past and may receive additional claims to this effect in the future.</w:t>
      </w:r>
    </w:p>
    <w:p w14:paraId="7B6718E4" w14:textId="77777777" w:rsidR="0040300B" w:rsidRDefault="00BB2D44">
      <w:pPr>
        <w:spacing w:before="120"/>
        <w:jc w:val="both"/>
      </w:pPr>
      <w:r>
        <w:rPr>
          <w:rFonts w:ascii="Times New Roman" w:eastAsia="宋体" w:hAnsi="Times New Roman"/>
          <w:b/>
          <w:bCs/>
          <w:i/>
          <w:iCs/>
          <w:color w:val="000000"/>
          <w:sz w:val="20"/>
          <w:szCs w:val="20"/>
        </w:rPr>
        <w:t xml:space="preserve">Adverse resolution of litigation or governmental </w:t>
      </w:r>
      <w:r>
        <w:rPr>
          <w:rFonts w:ascii="Times New Roman" w:eastAsia="宋体" w:hAnsi="Times New Roman"/>
          <w:b/>
          <w:bCs/>
          <w:i/>
          <w:iCs/>
          <w:color w:val="000000"/>
          <w:sz w:val="20"/>
          <w:szCs w:val="20"/>
        </w:rPr>
        <w:t>investigations may harm our operating results or financial condition.</w:t>
      </w:r>
    </w:p>
    <w:p w14:paraId="7B6718E5" w14:textId="77777777" w:rsidR="0040300B" w:rsidRDefault="00BB2D44">
      <w:pPr>
        <w:spacing w:before="120"/>
        <w:jc w:val="both"/>
      </w:pPr>
      <w:r>
        <w:rPr>
          <w:rFonts w:ascii="Times New Roman" w:eastAsia="宋体" w:hAnsi="Times New Roman"/>
          <w:color w:val="000000"/>
          <w:sz w:val="20"/>
          <w:szCs w:val="20"/>
        </w:rPr>
        <w:t>We are a party to lawsuits in the normal course of our business. Litigation can be expensive, lengthy, and disruptive to normal business operations. Moreover, the results of complex lega</w:t>
      </w:r>
      <w:r>
        <w:rPr>
          <w:rFonts w:ascii="Times New Roman" w:eastAsia="宋体" w:hAnsi="Times New Roman"/>
          <w:color w:val="000000"/>
          <w:sz w:val="20"/>
          <w:szCs w:val="20"/>
        </w:rPr>
        <w:t>l proceedings are difficult to predict. An unfavorable resolution of lawsuits or governmental investigations could have a material adverse effect on our business, operating results, or financial condition. For additional information regarding certain of th</w:t>
      </w:r>
      <w:r>
        <w:rPr>
          <w:rFonts w:ascii="Times New Roman" w:eastAsia="宋体" w:hAnsi="Times New Roman"/>
          <w:color w:val="000000"/>
          <w:sz w:val="20"/>
          <w:szCs w:val="20"/>
        </w:rPr>
        <w:t>e matters in which we are involved, see Note 14 to the Consolidated Financial Statements, subsection (f) “Legal Proceedings.”</w:t>
      </w:r>
    </w:p>
    <w:p w14:paraId="7B6718E6" w14:textId="77777777" w:rsidR="0040300B" w:rsidRDefault="00BB2D44">
      <w:pPr>
        <w:spacing w:before="120"/>
        <w:jc w:val="both"/>
      </w:pPr>
      <w:r>
        <w:rPr>
          <w:rFonts w:ascii="Times New Roman" w:eastAsia="宋体" w:hAnsi="Times New Roman"/>
          <w:b/>
          <w:bCs/>
          <w:i/>
          <w:iCs/>
          <w:color w:val="000000"/>
          <w:sz w:val="20"/>
          <w:szCs w:val="20"/>
        </w:rPr>
        <w:t>Our operating results may be adversely affected and damage to our reputation may occur due to production and sale of counterfeit v</w:t>
      </w:r>
      <w:r>
        <w:rPr>
          <w:rFonts w:ascii="Times New Roman" w:eastAsia="宋体" w:hAnsi="Times New Roman"/>
          <w:b/>
          <w:bCs/>
          <w:i/>
          <w:iCs/>
          <w:color w:val="000000"/>
          <w:sz w:val="20"/>
          <w:szCs w:val="20"/>
        </w:rPr>
        <w:t>ersions of our products.</w:t>
      </w:r>
    </w:p>
    <w:p w14:paraId="7B6718E7" w14:textId="77777777" w:rsidR="0040300B" w:rsidRDefault="00BB2D44">
      <w:pPr>
        <w:spacing w:before="120"/>
        <w:jc w:val="both"/>
      </w:pPr>
      <w:r>
        <w:rPr>
          <w:rFonts w:ascii="Times New Roman" w:eastAsia="宋体" w:hAnsi="Times New Roman"/>
          <w:color w:val="000000"/>
          <w:sz w:val="20"/>
          <w:szCs w:val="20"/>
        </w:rPr>
        <w:t>As is the case with leading products around the world, our products are subject to efforts by third parties to produce counterfeit versions of our products. While we work diligently with law enforcement authorities in various count</w:t>
      </w:r>
      <w:r>
        <w:rPr>
          <w:rFonts w:ascii="Times New Roman" w:eastAsia="宋体" w:hAnsi="Times New Roman"/>
          <w:color w:val="000000"/>
          <w:sz w:val="20"/>
          <w:szCs w:val="20"/>
        </w:rPr>
        <w:t>ries to block the manufacture of counterfeit goods and to interdict their sale, and to detect counterfeit products in customer networks, and have succeeded in prosecuting counterfeiters and their distributors, resulting in fines, imprisonment and restituti</w:t>
      </w:r>
      <w:r>
        <w:rPr>
          <w:rFonts w:ascii="Times New Roman" w:eastAsia="宋体" w:hAnsi="Times New Roman"/>
          <w:color w:val="000000"/>
          <w:sz w:val="20"/>
          <w:szCs w:val="20"/>
        </w:rPr>
        <w:t xml:space="preserve">on to us, there can be </w:t>
      </w:r>
    </w:p>
    <w:p w14:paraId="7B6718E8" w14:textId="77777777" w:rsidR="0040300B" w:rsidRDefault="00BB2D44">
      <w:pPr>
        <w:jc w:val="center"/>
      </w:pPr>
      <w:r>
        <w:rPr>
          <w:rFonts w:ascii="Times New Roman" w:eastAsia="宋体" w:hAnsi="Times New Roman"/>
          <w:color w:val="000000"/>
          <w:sz w:val="20"/>
          <w:szCs w:val="20"/>
        </w:rPr>
        <w:t>79</w:t>
      </w:r>
    </w:p>
    <w:p w14:paraId="7B6718E9" w14:textId="77777777" w:rsidR="0040300B" w:rsidRDefault="00BB2D44">
      <w:r>
        <w:pict w14:anchorId="7B671C5F">
          <v:rect id="_x0000_i1103" style="width:415.3pt;height:1.5pt" o:hralign="center" o:hrstd="t" o:hr="t" fillcolor="#a0a0a0" stroked="f"/>
        </w:pict>
      </w:r>
    </w:p>
    <w:p w14:paraId="7B6718EA" w14:textId="77777777" w:rsidR="0040300B" w:rsidRDefault="00BB2D44">
      <w:hyperlink r:id="rId125" w:anchor="i52d5b40dbad7426a9806a2fd5167029f_7" w:history="1">
        <w:r>
          <w:rPr>
            <w:rStyle w:val="a5"/>
            <w:rFonts w:ascii="Times New Roman" w:eastAsia="宋体" w:hAnsi="Times New Roman"/>
            <w:sz w:val="18"/>
            <w:szCs w:val="18"/>
          </w:rPr>
          <w:t>Table of Contents</w:t>
        </w:r>
      </w:hyperlink>
    </w:p>
    <w:p w14:paraId="7B6718EB" w14:textId="77777777" w:rsidR="0040300B" w:rsidRDefault="00BB2D44">
      <w:pPr>
        <w:spacing w:before="120"/>
        <w:jc w:val="both"/>
      </w:pPr>
      <w:r>
        <w:rPr>
          <w:rFonts w:ascii="Times New Roman" w:eastAsia="宋体" w:hAnsi="Times New Roman"/>
          <w:color w:val="000000"/>
          <w:sz w:val="20"/>
          <w:szCs w:val="20"/>
        </w:rPr>
        <w:t>no guarantee that such efforts will succeed. While counterfe</w:t>
      </w:r>
      <w:r>
        <w:rPr>
          <w:rFonts w:ascii="Times New Roman" w:eastAsia="宋体" w:hAnsi="Times New Roman"/>
          <w:color w:val="000000"/>
          <w:sz w:val="20"/>
          <w:szCs w:val="20"/>
        </w:rPr>
        <w:t>iters often aim their sales at customers who might not have otherwise purchased our products due to lack of verifiability of origin and service, such counterfeit sales, to the extent they replace otherwise legitimate sales, could adversely affect our opera</w:t>
      </w:r>
      <w:r>
        <w:rPr>
          <w:rFonts w:ascii="Times New Roman" w:eastAsia="宋体" w:hAnsi="Times New Roman"/>
          <w:color w:val="000000"/>
          <w:sz w:val="20"/>
          <w:szCs w:val="20"/>
        </w:rPr>
        <w:t>ting results.</w:t>
      </w:r>
    </w:p>
    <w:p w14:paraId="7B6718EC" w14:textId="77777777" w:rsidR="0040300B" w:rsidRDefault="00BB2D44">
      <w:pPr>
        <w:spacing w:before="120"/>
        <w:jc w:val="both"/>
      </w:pPr>
      <w:r>
        <w:rPr>
          <w:rFonts w:ascii="Times New Roman" w:eastAsia="宋体" w:hAnsi="Times New Roman"/>
          <w:b/>
          <w:bCs/>
          <w:i/>
          <w:iCs/>
          <w:color w:val="000000"/>
          <w:sz w:val="20"/>
          <w:szCs w:val="20"/>
        </w:rPr>
        <w:t>Changes in our provision for income taxes or adverse outcomes resulting from examination of our income tax returns could adversely affect our results.</w:t>
      </w:r>
    </w:p>
    <w:p w14:paraId="7B6718ED" w14:textId="77777777" w:rsidR="0040300B" w:rsidRDefault="00BB2D44">
      <w:pPr>
        <w:spacing w:before="120"/>
        <w:jc w:val="both"/>
      </w:pPr>
      <w:r>
        <w:rPr>
          <w:rFonts w:ascii="Times New Roman" w:eastAsia="宋体" w:hAnsi="Times New Roman"/>
          <w:color w:val="000000"/>
          <w:sz w:val="20"/>
          <w:szCs w:val="20"/>
        </w:rPr>
        <w:t xml:space="preserve">Our provision for income taxes is subject to volatility and could be adversely affected by </w:t>
      </w:r>
      <w:r>
        <w:rPr>
          <w:rFonts w:ascii="Times New Roman" w:eastAsia="宋体" w:hAnsi="Times New Roman"/>
          <w:color w:val="000000"/>
          <w:sz w:val="20"/>
          <w:szCs w:val="20"/>
        </w:rPr>
        <w:t>earnings being lower than anticipated in countries that have lower tax rates and higher than anticipated in countries that have higher tax rates; by changes in the valuation of our deferred tax assets and liabilities; by changes to foreign-derived intangib</w:t>
      </w:r>
      <w:r>
        <w:rPr>
          <w:rFonts w:ascii="Times New Roman" w:eastAsia="宋体" w:hAnsi="Times New Roman"/>
          <w:color w:val="000000"/>
          <w:sz w:val="20"/>
          <w:szCs w:val="20"/>
        </w:rPr>
        <w:t xml:space="preserve">le income, global intangible low-tax income and base erosion and anti-abuse tax laws, regulations, or interpretations thereof; by expiration of or lapses in tax incentives; by transfer pricing adjustments, including the effect of acquisitions on our legal </w:t>
      </w:r>
      <w:r>
        <w:rPr>
          <w:rFonts w:ascii="Times New Roman" w:eastAsia="宋体" w:hAnsi="Times New Roman"/>
          <w:color w:val="000000"/>
          <w:sz w:val="20"/>
          <w:szCs w:val="20"/>
        </w:rPr>
        <w:t>structure; by tax effects of nondeductible compensation; by tax costs related to intercompany realignments; by changes in accounting principles; or by changes in tax laws and regulations, treaties, or interpretations thereof, including changes to the taxat</w:t>
      </w:r>
      <w:r>
        <w:rPr>
          <w:rFonts w:ascii="Times New Roman" w:eastAsia="宋体" w:hAnsi="Times New Roman"/>
          <w:color w:val="000000"/>
          <w:sz w:val="20"/>
          <w:szCs w:val="20"/>
        </w:rPr>
        <w:t>ion of earnings of our foreign subsidiaries, the deductibility of expenses attributable to foreign income, and the foreign tax credit rules. Significant judgment is required to determine the recognition and measurement attribute prescribed in the accountin</w:t>
      </w:r>
      <w:r>
        <w:rPr>
          <w:rFonts w:ascii="Times New Roman" w:eastAsia="宋体" w:hAnsi="Times New Roman"/>
          <w:color w:val="000000"/>
          <w:sz w:val="20"/>
          <w:szCs w:val="20"/>
        </w:rPr>
        <w:t>g guidance for uncertainty in income taxes. The Organisation for Economic Co-operation and Development (OECD), an international association comprised of 37 countries, including the United States, has made changes to numerous long-standing tax principles. T</w:t>
      </w:r>
      <w:r>
        <w:rPr>
          <w:rFonts w:ascii="Times New Roman" w:eastAsia="宋体" w:hAnsi="Times New Roman"/>
          <w:color w:val="000000"/>
          <w:sz w:val="20"/>
          <w:szCs w:val="20"/>
        </w:rPr>
        <w:t xml:space="preserve">here can be no assurance that these changes, once adopted by countries, will not have an adverse impact on our provision for income taxes. Further, as a result of certain of our ongoing employment and capital investment actions and commitments, our income </w:t>
      </w:r>
      <w:r>
        <w:rPr>
          <w:rFonts w:ascii="Times New Roman" w:eastAsia="宋体" w:hAnsi="Times New Roman"/>
          <w:color w:val="000000"/>
          <w:sz w:val="20"/>
          <w:szCs w:val="20"/>
        </w:rPr>
        <w:t xml:space="preserve">in certain countries was subject to reduced tax rates. Our failure to meet these commitments could adversely impact our provision for income taxes. In addition, we are subject to the continuous examination of our income tax returns by the Internal Revenue </w:t>
      </w:r>
      <w:r>
        <w:rPr>
          <w:rFonts w:ascii="Times New Roman" w:eastAsia="宋体" w:hAnsi="Times New Roman"/>
          <w:color w:val="000000"/>
          <w:sz w:val="20"/>
          <w:szCs w:val="20"/>
        </w:rPr>
        <w:t>Service and other tax authorities. We regularly assess the likelihood of adverse outcomes resulting from these examinations to determine the adequacy of our provision for income taxes. There can be no assurance that the outcomes from these continuous exami</w:t>
      </w:r>
      <w:r>
        <w:rPr>
          <w:rFonts w:ascii="Times New Roman" w:eastAsia="宋体" w:hAnsi="Times New Roman"/>
          <w:color w:val="000000"/>
          <w:sz w:val="20"/>
          <w:szCs w:val="20"/>
        </w:rPr>
        <w:t>nations will not have an adverse effect on our operating results and financial condition.</w:t>
      </w:r>
    </w:p>
    <w:p w14:paraId="7B6718EE" w14:textId="77777777" w:rsidR="0040300B" w:rsidRDefault="00BB2D44">
      <w:pPr>
        <w:spacing w:before="120"/>
        <w:jc w:val="both"/>
      </w:pPr>
      <w:r>
        <w:rPr>
          <w:rFonts w:ascii="Times New Roman" w:eastAsia="宋体" w:hAnsi="Times New Roman"/>
          <w:b/>
          <w:bCs/>
          <w:i/>
          <w:iCs/>
          <w:color w:val="000000"/>
          <w:sz w:val="20"/>
          <w:szCs w:val="20"/>
        </w:rPr>
        <w:t>Our business and operations are especially subject to the risks of earthquakes, floods, and other natural catastrophic events (including as a result of global climate</w:t>
      </w:r>
      <w:r>
        <w:rPr>
          <w:rFonts w:ascii="Times New Roman" w:eastAsia="宋体" w:hAnsi="Times New Roman"/>
          <w:b/>
          <w:bCs/>
          <w:i/>
          <w:iCs/>
          <w:color w:val="000000"/>
          <w:sz w:val="20"/>
          <w:szCs w:val="20"/>
        </w:rPr>
        <w:t xml:space="preserve"> change).</w:t>
      </w:r>
    </w:p>
    <w:p w14:paraId="7B6718EF" w14:textId="77777777" w:rsidR="0040300B" w:rsidRDefault="00BB2D44">
      <w:pPr>
        <w:spacing w:before="120"/>
        <w:jc w:val="both"/>
      </w:pPr>
      <w:r>
        <w:rPr>
          <w:rFonts w:ascii="Times New Roman" w:eastAsia="宋体" w:hAnsi="Times New Roman"/>
          <w:color w:val="000000"/>
          <w:sz w:val="20"/>
          <w:szCs w:val="20"/>
        </w:rPr>
        <w:t>Our corporate headquarters, including certain of our research and development operations are located in the Silicon Valley area of Northern California, a region known for seismic activity. Additionally, a certain number of our facilities are loca</w:t>
      </w:r>
      <w:r>
        <w:rPr>
          <w:rFonts w:ascii="Times New Roman" w:eastAsia="宋体" w:hAnsi="Times New Roman"/>
          <w:color w:val="000000"/>
          <w:sz w:val="20"/>
          <w:szCs w:val="20"/>
        </w:rPr>
        <w:t>ted near rivers that have experienced flooding in the past. Also certain of our suppliers and logistics centers are located in regions that have been or may be affected by earthquake, tsunami and flooding activity which in the past has disrupted, and in th</w:t>
      </w:r>
      <w:r>
        <w:rPr>
          <w:rFonts w:ascii="Times New Roman" w:eastAsia="宋体" w:hAnsi="Times New Roman"/>
          <w:color w:val="000000"/>
          <w:sz w:val="20"/>
          <w:szCs w:val="20"/>
        </w:rPr>
        <w:t>e future could disrupt, the flow of components and delivery of products. In addition, global climate change may result in significant natural disasters occurring more frequently or with greater intensity, such as drought, wildfires, storms, sea-level rise,</w:t>
      </w:r>
      <w:r>
        <w:rPr>
          <w:rFonts w:ascii="Times New Roman" w:eastAsia="宋体" w:hAnsi="Times New Roman"/>
          <w:color w:val="000000"/>
          <w:sz w:val="20"/>
          <w:szCs w:val="20"/>
        </w:rPr>
        <w:t xml:space="preserve"> and flooding. A significant natural disaster, such as an earthquake, a hurricane, volcano, flood or a wildfire, could have a material adverse impact on our business, operating results, and financial condition.</w:t>
      </w:r>
    </w:p>
    <w:p w14:paraId="7B6718F0" w14:textId="77777777" w:rsidR="0040300B" w:rsidRDefault="00BB2D44">
      <w:pPr>
        <w:spacing w:before="120"/>
        <w:jc w:val="both"/>
      </w:pPr>
      <w:r>
        <w:rPr>
          <w:rFonts w:ascii="Times New Roman" w:eastAsia="宋体" w:hAnsi="Times New Roman"/>
          <w:b/>
          <w:bCs/>
          <w:i/>
          <w:iCs/>
          <w:color w:val="000000"/>
          <w:sz w:val="20"/>
          <w:szCs w:val="20"/>
        </w:rPr>
        <w:t xml:space="preserve">Terrorism and other events may harm our </w:t>
      </w:r>
      <w:r>
        <w:rPr>
          <w:rFonts w:ascii="Times New Roman" w:eastAsia="宋体" w:hAnsi="Times New Roman"/>
          <w:b/>
          <w:bCs/>
          <w:i/>
          <w:iCs/>
          <w:color w:val="000000"/>
          <w:sz w:val="20"/>
          <w:szCs w:val="20"/>
        </w:rPr>
        <w:t>business, operating results and financial condition.</w:t>
      </w:r>
    </w:p>
    <w:p w14:paraId="7B6718F1" w14:textId="77777777" w:rsidR="0040300B" w:rsidRDefault="00BB2D44">
      <w:pPr>
        <w:spacing w:before="120"/>
        <w:jc w:val="both"/>
      </w:pPr>
      <w:r>
        <w:rPr>
          <w:rFonts w:ascii="Times New Roman" w:eastAsia="宋体" w:hAnsi="Times New Roman"/>
          <w:color w:val="000000"/>
          <w:sz w:val="20"/>
          <w:szCs w:val="20"/>
        </w:rPr>
        <w:t>The continued threat of terrorism and heightened security and military action in response to this threat, or any future acts of terrorism, may cause further disruptions to the economies of the United Sta</w:t>
      </w:r>
      <w:r>
        <w:rPr>
          <w:rFonts w:ascii="Times New Roman" w:eastAsia="宋体" w:hAnsi="Times New Roman"/>
          <w:color w:val="000000"/>
          <w:sz w:val="20"/>
          <w:szCs w:val="20"/>
        </w:rPr>
        <w:t>tes and other countries and create further uncertainties or otherwise materially harm our business, operating results, and financial condition. Likewise, events such as loss of infrastructure and utilities services such as energy, transportation, or teleco</w:t>
      </w:r>
      <w:r>
        <w:rPr>
          <w:rFonts w:ascii="Times New Roman" w:eastAsia="宋体" w:hAnsi="Times New Roman"/>
          <w:color w:val="000000"/>
          <w:sz w:val="20"/>
          <w:szCs w:val="20"/>
        </w:rPr>
        <w:t>mmunications could have similar negative impacts. To the extent that such disruptions or uncertainties result in delays or cancellations of customer orders or the manufacture or shipment of our products, our business, operating results, and financial condi</w:t>
      </w:r>
      <w:r>
        <w:rPr>
          <w:rFonts w:ascii="Times New Roman" w:eastAsia="宋体" w:hAnsi="Times New Roman"/>
          <w:color w:val="000000"/>
          <w:sz w:val="20"/>
          <w:szCs w:val="20"/>
        </w:rPr>
        <w:t>tion could be materially and adversely affected.</w:t>
      </w:r>
    </w:p>
    <w:p w14:paraId="7B6718F2" w14:textId="77777777" w:rsidR="0040300B" w:rsidRDefault="00BB2D44">
      <w:pPr>
        <w:spacing w:before="120"/>
        <w:jc w:val="both"/>
      </w:pPr>
      <w:r>
        <w:rPr>
          <w:rFonts w:ascii="Times New Roman" w:eastAsia="宋体" w:hAnsi="Times New Roman"/>
          <w:b/>
          <w:bCs/>
          <w:i/>
          <w:iCs/>
          <w:color w:val="000000"/>
          <w:sz w:val="20"/>
          <w:szCs w:val="20"/>
        </w:rPr>
        <w:t>There can be no assurance that our operating results and financial condition will not be adversely affected by our incurrence of debt.</w:t>
      </w:r>
    </w:p>
    <w:p w14:paraId="7B6718F3" w14:textId="77777777" w:rsidR="0040300B" w:rsidRDefault="00BB2D44">
      <w:pPr>
        <w:spacing w:before="120"/>
        <w:jc w:val="both"/>
      </w:pPr>
      <w:r>
        <w:rPr>
          <w:rFonts w:ascii="Times New Roman" w:eastAsia="宋体" w:hAnsi="Times New Roman"/>
          <w:color w:val="000000"/>
          <w:sz w:val="20"/>
          <w:szCs w:val="20"/>
        </w:rPr>
        <w:t>As of the end of the third quarter of fiscal 2021, we have senior unsecu</w:t>
      </w:r>
      <w:r>
        <w:rPr>
          <w:rFonts w:ascii="Times New Roman" w:eastAsia="宋体" w:hAnsi="Times New Roman"/>
          <w:color w:val="000000"/>
          <w:sz w:val="20"/>
          <w:szCs w:val="20"/>
        </w:rPr>
        <w:t xml:space="preserve">red notes outstanding in an aggregate principal amount of $11.5 billion that mature at specific dates from calendar year 2021 through 2040. We have also established a commercial paper program under which we may issue short-term, unsecured commercial paper </w:t>
      </w:r>
      <w:r>
        <w:rPr>
          <w:rFonts w:ascii="Times New Roman" w:eastAsia="宋体" w:hAnsi="Times New Roman"/>
          <w:color w:val="000000"/>
          <w:sz w:val="20"/>
          <w:szCs w:val="20"/>
        </w:rPr>
        <w:t xml:space="preserve">notes on a private placement basis up to a maximum aggregate amount outstanding at any time of $10.0 billion, and we had no commercial paper notes outstanding under this program as of May 1, 2021. There can be no assurance that our incurrence of this debt </w:t>
      </w:r>
      <w:r>
        <w:rPr>
          <w:rFonts w:ascii="Times New Roman" w:eastAsia="宋体" w:hAnsi="Times New Roman"/>
          <w:color w:val="000000"/>
          <w:sz w:val="20"/>
          <w:szCs w:val="20"/>
        </w:rPr>
        <w:t>or any future debt will be a better means of providing liquidity to us than would our use of our existing cash resources. Further, we cannot be assured that our maintenance of this indebtedness or incurrence of future indebtedness will not adversely affect</w:t>
      </w:r>
      <w:r>
        <w:rPr>
          <w:rFonts w:ascii="Times New Roman" w:eastAsia="宋体" w:hAnsi="Times New Roman"/>
          <w:color w:val="000000"/>
          <w:sz w:val="20"/>
          <w:szCs w:val="20"/>
        </w:rPr>
        <w:t xml:space="preserve"> our operating results or financial condition. In addition, changes by any rating agency to our credit rating can negatively impact the value and liquidity of both our debt and equity securities, as well as the terms upon which we may borrow under our comm</w:t>
      </w:r>
      <w:r>
        <w:rPr>
          <w:rFonts w:ascii="Times New Roman" w:eastAsia="宋体" w:hAnsi="Times New Roman"/>
          <w:color w:val="000000"/>
          <w:sz w:val="20"/>
          <w:szCs w:val="20"/>
        </w:rPr>
        <w:t>ercial paper program or future debt issuances.</w:t>
      </w:r>
    </w:p>
    <w:p w14:paraId="7B6718F4" w14:textId="77777777" w:rsidR="0040300B" w:rsidRDefault="00BB2D44">
      <w:pPr>
        <w:jc w:val="center"/>
      </w:pPr>
      <w:r>
        <w:rPr>
          <w:rFonts w:ascii="Times New Roman" w:eastAsia="宋体" w:hAnsi="Times New Roman"/>
          <w:color w:val="000000"/>
          <w:sz w:val="20"/>
          <w:szCs w:val="20"/>
        </w:rPr>
        <w:t>80</w:t>
      </w:r>
    </w:p>
    <w:p w14:paraId="7B6718F5" w14:textId="77777777" w:rsidR="0040300B" w:rsidRDefault="00BB2D44">
      <w:r>
        <w:pict w14:anchorId="7B671C60">
          <v:rect id="_x0000_i1104" style="width:415.3pt;height:1.5pt" o:hralign="center" o:hrstd="t" o:hr="t" fillcolor="#a0a0a0" stroked="f"/>
        </w:pict>
      </w:r>
    </w:p>
    <w:p w14:paraId="7B6718F6" w14:textId="77777777" w:rsidR="0040300B" w:rsidRDefault="00BB2D44">
      <w:hyperlink r:id="rId126" w:anchor="i52d5b40dbad7426a9806a2fd5167029f_7" w:history="1">
        <w:r>
          <w:rPr>
            <w:rStyle w:val="a5"/>
            <w:rFonts w:ascii="Times New Roman" w:eastAsia="宋体" w:hAnsi="Times New Roman"/>
            <w:sz w:val="18"/>
            <w:szCs w:val="18"/>
          </w:rPr>
          <w:t>Table of Contents</w:t>
        </w:r>
      </w:hyperlink>
    </w:p>
    <w:p w14:paraId="7B6718F7" w14:textId="77777777" w:rsidR="0040300B" w:rsidRDefault="0040300B">
      <w:pPr>
        <w:spacing w:before="120"/>
      </w:pPr>
    </w:p>
    <w:p w14:paraId="7B6718F8" w14:textId="77777777" w:rsidR="0040300B" w:rsidRDefault="00BB2D44">
      <w:r>
        <w:rPr>
          <w:rFonts w:ascii="Times New Roman" w:eastAsia="宋体" w:hAnsi="Times New Roman"/>
          <w:b/>
          <w:bCs/>
          <w:color w:val="000000"/>
          <w:sz w:val="20"/>
          <w:szCs w:val="20"/>
          <w:u w:val="single"/>
        </w:rPr>
        <w:t xml:space="preserve">Risks Related to </w:t>
      </w:r>
      <w:r>
        <w:rPr>
          <w:rFonts w:ascii="Times New Roman" w:eastAsia="宋体" w:hAnsi="Times New Roman"/>
          <w:b/>
          <w:bCs/>
          <w:color w:val="000000"/>
          <w:sz w:val="20"/>
          <w:szCs w:val="20"/>
          <w:u w:val="single"/>
        </w:rPr>
        <w:t>Intellectual Property</w:t>
      </w:r>
    </w:p>
    <w:p w14:paraId="7B6718F9" w14:textId="77777777" w:rsidR="0040300B" w:rsidRDefault="00BB2D44">
      <w:pPr>
        <w:spacing w:before="120"/>
        <w:jc w:val="both"/>
      </w:pPr>
      <w:r>
        <w:rPr>
          <w:rFonts w:ascii="Times New Roman" w:eastAsia="宋体" w:hAnsi="Times New Roman"/>
          <w:b/>
          <w:bCs/>
          <w:i/>
          <w:iCs/>
          <w:color w:val="000000"/>
          <w:sz w:val="20"/>
          <w:szCs w:val="20"/>
        </w:rPr>
        <w:t>Our proprietary rights may prove difficult to enforce.</w:t>
      </w:r>
    </w:p>
    <w:p w14:paraId="7B6718FA" w14:textId="77777777" w:rsidR="0040300B" w:rsidRDefault="00BB2D44">
      <w:pPr>
        <w:spacing w:before="120"/>
        <w:jc w:val="both"/>
      </w:pPr>
      <w:r>
        <w:rPr>
          <w:rFonts w:ascii="Times New Roman" w:eastAsia="宋体" w:hAnsi="Times New Roman"/>
          <w:color w:val="000000"/>
          <w:sz w:val="20"/>
          <w:szCs w:val="20"/>
        </w:rPr>
        <w:t>We generally rely on patents, copyrights, trademarks, and trade secret laws to establish and maintain proprietary rights in our technology and products. Although we have been issu</w:t>
      </w:r>
      <w:r>
        <w:rPr>
          <w:rFonts w:ascii="Times New Roman" w:eastAsia="宋体" w:hAnsi="Times New Roman"/>
          <w:color w:val="000000"/>
          <w:sz w:val="20"/>
          <w:szCs w:val="20"/>
        </w:rPr>
        <w:t>ed numerous patents and other patent applications are currently pending, there can be no assurance that any of these patents or other proprietary rights will not be challenged, invalidated, or circumvented or that our rights will, in fact, provide competit</w:t>
      </w:r>
      <w:r>
        <w:rPr>
          <w:rFonts w:ascii="Times New Roman" w:eastAsia="宋体" w:hAnsi="Times New Roman"/>
          <w:color w:val="000000"/>
          <w:sz w:val="20"/>
          <w:szCs w:val="20"/>
        </w:rPr>
        <w:t>ive advantages to us. Furthermore, many key aspects of networking technology are governed by industrywide standards, which are usable by all market entrants. In addition, there can be no assurance that patents will be issued from pending applications or th</w:t>
      </w:r>
      <w:r>
        <w:rPr>
          <w:rFonts w:ascii="Times New Roman" w:eastAsia="宋体" w:hAnsi="Times New Roman"/>
          <w:color w:val="000000"/>
          <w:sz w:val="20"/>
          <w:szCs w:val="20"/>
        </w:rPr>
        <w:t>at claims allowed on any patents will be sufficiently broad to protect our technology. In addition, the laws of some foreign countries may not protect our proprietary rights to the same extent as do the laws of the United States. The outcome of any actions</w:t>
      </w:r>
      <w:r>
        <w:rPr>
          <w:rFonts w:ascii="Times New Roman" w:eastAsia="宋体" w:hAnsi="Times New Roman"/>
          <w:color w:val="000000"/>
          <w:sz w:val="20"/>
          <w:szCs w:val="20"/>
        </w:rPr>
        <w:t xml:space="preserve"> taken in these foreign countries may be different than if such actions were determined under the laws of the United States. Although we are not dependent on any individual patents or group of patents for particular segments of the business for which we co</w:t>
      </w:r>
      <w:r>
        <w:rPr>
          <w:rFonts w:ascii="Times New Roman" w:eastAsia="宋体" w:hAnsi="Times New Roman"/>
          <w:color w:val="000000"/>
          <w:sz w:val="20"/>
          <w:szCs w:val="20"/>
        </w:rPr>
        <w:t>mpete, if we are unable to protect our proprietary rights to the totality of the features (including aspects of products protected other than by patent rights) in a market, we may find ourselves at a competitive disadvantage to others who need not incur th</w:t>
      </w:r>
      <w:r>
        <w:rPr>
          <w:rFonts w:ascii="Times New Roman" w:eastAsia="宋体" w:hAnsi="Times New Roman"/>
          <w:color w:val="000000"/>
          <w:sz w:val="20"/>
          <w:szCs w:val="20"/>
        </w:rPr>
        <w:t xml:space="preserve">e substantial expense, time, and effort required to create innovative products that have enabled us to be successful. </w:t>
      </w:r>
    </w:p>
    <w:p w14:paraId="7B6718FB" w14:textId="77777777" w:rsidR="0040300B" w:rsidRDefault="00BB2D44">
      <w:pPr>
        <w:spacing w:before="120"/>
      </w:pPr>
      <w:r>
        <w:rPr>
          <w:rFonts w:ascii="Times New Roman" w:eastAsia="宋体" w:hAnsi="Times New Roman"/>
          <w:b/>
          <w:bCs/>
          <w:i/>
          <w:iCs/>
          <w:color w:val="000000"/>
          <w:sz w:val="20"/>
          <w:szCs w:val="20"/>
        </w:rPr>
        <w:t>We may be found to infringe on intellectual property rights of others.</w:t>
      </w:r>
      <w:r>
        <w:rPr>
          <w:rFonts w:ascii="Times New Roman" w:eastAsia="宋体" w:hAnsi="Times New Roman"/>
          <w:b/>
          <w:bCs/>
          <w:color w:val="000000"/>
          <w:sz w:val="20"/>
          <w:szCs w:val="20"/>
        </w:rPr>
        <w:t xml:space="preserve"> </w:t>
      </w:r>
    </w:p>
    <w:p w14:paraId="7B6718FC" w14:textId="77777777" w:rsidR="0040300B" w:rsidRDefault="00BB2D44">
      <w:pPr>
        <w:spacing w:before="120"/>
        <w:jc w:val="both"/>
      </w:pPr>
      <w:r>
        <w:rPr>
          <w:rFonts w:ascii="Times New Roman" w:eastAsia="宋体" w:hAnsi="Times New Roman"/>
          <w:color w:val="000000"/>
          <w:sz w:val="20"/>
          <w:szCs w:val="20"/>
        </w:rPr>
        <w:t>Third parties, including customers, have in the past and may in t</w:t>
      </w:r>
      <w:r>
        <w:rPr>
          <w:rFonts w:ascii="Times New Roman" w:eastAsia="宋体" w:hAnsi="Times New Roman"/>
          <w:color w:val="000000"/>
          <w:sz w:val="20"/>
          <w:szCs w:val="20"/>
        </w:rPr>
        <w:t>he future assert claims or initiate litigation related to exclusive patent, copyright, trademark, and other intellectual property rights to technologies and related standards that are relevant to us. These assertions have increased over time as a result of</w:t>
      </w:r>
      <w:r>
        <w:rPr>
          <w:rFonts w:ascii="Times New Roman" w:eastAsia="宋体" w:hAnsi="Times New Roman"/>
          <w:color w:val="000000"/>
          <w:sz w:val="20"/>
          <w:szCs w:val="20"/>
        </w:rPr>
        <w:t xml:space="preserve"> our growth and the general increase in the pace of patent claims assertions, particularly in the United States. Because of the existence of a large number of patents in the networking field, the secrecy of some pending patents, and the rapid rate of issua</w:t>
      </w:r>
      <w:r>
        <w:rPr>
          <w:rFonts w:ascii="Times New Roman" w:eastAsia="宋体" w:hAnsi="Times New Roman"/>
          <w:color w:val="000000"/>
          <w:sz w:val="20"/>
          <w:szCs w:val="20"/>
        </w:rPr>
        <w:t xml:space="preserve">nce of new patents, it is not economically practical or even possible to determine in advance whether a product or any of its components infringes or will infringe on the patent rights of others. The asserted claims and/or initiated litigation can include </w:t>
      </w:r>
      <w:r>
        <w:rPr>
          <w:rFonts w:ascii="Times New Roman" w:eastAsia="宋体" w:hAnsi="Times New Roman"/>
          <w:color w:val="000000"/>
          <w:sz w:val="20"/>
          <w:szCs w:val="20"/>
        </w:rPr>
        <w:t>claims against us or our manufacturers, suppliers, or customers, alleging infringement of their proprietary rights with respect to our existing or future products or components of those products. Regardless of the merit of these claims, they can be time-co</w:t>
      </w:r>
      <w:r>
        <w:rPr>
          <w:rFonts w:ascii="Times New Roman" w:eastAsia="宋体" w:hAnsi="Times New Roman"/>
          <w:color w:val="000000"/>
          <w:sz w:val="20"/>
          <w:szCs w:val="20"/>
        </w:rPr>
        <w:t>nsuming, result in costly litigation and diversion of technical and management personnel, or require us to develop a non-infringing technology or enter into license agreements. Where claims are made by customers, resistance even to unmeritorious claims cou</w:t>
      </w:r>
      <w:r>
        <w:rPr>
          <w:rFonts w:ascii="Times New Roman" w:eastAsia="宋体" w:hAnsi="Times New Roman"/>
          <w:color w:val="000000"/>
          <w:sz w:val="20"/>
          <w:szCs w:val="20"/>
        </w:rPr>
        <w:t>ld damage customer relationships. There can be no assurance that licenses will be available on acceptable terms and conditions, if at all, or that our indemnification by our suppliers will be adequate to cover our costs if a claim were brought directly aga</w:t>
      </w:r>
      <w:r>
        <w:rPr>
          <w:rFonts w:ascii="Times New Roman" w:eastAsia="宋体" w:hAnsi="Times New Roman"/>
          <w:color w:val="000000"/>
          <w:sz w:val="20"/>
          <w:szCs w:val="20"/>
        </w:rPr>
        <w:t>inst us or our customers. Furthermore, because of the potential for high court awards that are not necessarily predictable, it is not unusual to find even arguably unmeritorious claims settled for significant amounts. If any infringement or other intellect</w:t>
      </w:r>
      <w:r>
        <w:rPr>
          <w:rFonts w:ascii="Times New Roman" w:eastAsia="宋体" w:hAnsi="Times New Roman"/>
          <w:color w:val="000000"/>
          <w:sz w:val="20"/>
          <w:szCs w:val="20"/>
        </w:rPr>
        <w:t>ual property claim made against us by any third party is successful, if we are required to indemnify a customer with respect to a claim against the customer, or if we fail to develop non-infringing technology or license the proprietary rights on commercial</w:t>
      </w:r>
      <w:r>
        <w:rPr>
          <w:rFonts w:ascii="Times New Roman" w:eastAsia="宋体" w:hAnsi="Times New Roman"/>
          <w:color w:val="000000"/>
          <w:sz w:val="20"/>
          <w:szCs w:val="20"/>
        </w:rPr>
        <w:t>ly reasonable terms and conditions, our business, operating results, and financial condition could be materially and adversely affected. For additional information regarding our indemnification obligations, see Note 14(e) to the Consolidated Financial Stat</w:t>
      </w:r>
      <w:r>
        <w:rPr>
          <w:rFonts w:ascii="Times New Roman" w:eastAsia="宋体" w:hAnsi="Times New Roman"/>
          <w:color w:val="000000"/>
          <w:sz w:val="20"/>
          <w:szCs w:val="20"/>
        </w:rPr>
        <w:t>ements contained in this report. Our exposure to risks associated with the use of intellectual property may be increased as a result of acquisitions, as we have a lower level of visibility into the development process with respect to such technology or the</w:t>
      </w:r>
      <w:r>
        <w:rPr>
          <w:rFonts w:ascii="Times New Roman" w:eastAsia="宋体" w:hAnsi="Times New Roman"/>
          <w:color w:val="000000"/>
          <w:sz w:val="20"/>
          <w:szCs w:val="20"/>
        </w:rPr>
        <w:t xml:space="preserve"> care taken to safeguard against infringement risks. Further, in the past, third parties have made infringement and similar claims after we have acquired technology that had not been asserted prior to our acquisition. </w:t>
      </w:r>
    </w:p>
    <w:p w14:paraId="7B6718FD" w14:textId="77777777" w:rsidR="0040300B" w:rsidRDefault="00BB2D44">
      <w:pPr>
        <w:spacing w:before="120"/>
        <w:jc w:val="both"/>
      </w:pPr>
      <w:r>
        <w:rPr>
          <w:rFonts w:ascii="Times New Roman" w:eastAsia="宋体" w:hAnsi="Times New Roman"/>
          <w:b/>
          <w:bCs/>
          <w:i/>
          <w:iCs/>
          <w:color w:val="000000"/>
          <w:sz w:val="20"/>
          <w:szCs w:val="20"/>
        </w:rPr>
        <w:t>We rely on the availability of third-</w:t>
      </w:r>
      <w:r>
        <w:rPr>
          <w:rFonts w:ascii="Times New Roman" w:eastAsia="宋体" w:hAnsi="Times New Roman"/>
          <w:b/>
          <w:bCs/>
          <w:i/>
          <w:iCs/>
          <w:color w:val="000000"/>
          <w:sz w:val="20"/>
          <w:szCs w:val="20"/>
        </w:rPr>
        <w:t>party licenses.</w:t>
      </w:r>
      <w:r>
        <w:rPr>
          <w:rFonts w:ascii="Times New Roman" w:eastAsia="宋体" w:hAnsi="Times New Roman"/>
          <w:b/>
          <w:bCs/>
          <w:color w:val="000000"/>
          <w:sz w:val="20"/>
          <w:szCs w:val="20"/>
        </w:rPr>
        <w:t xml:space="preserve"> </w:t>
      </w:r>
    </w:p>
    <w:p w14:paraId="7B6718FE" w14:textId="77777777" w:rsidR="0040300B" w:rsidRDefault="00BB2D44">
      <w:pPr>
        <w:spacing w:before="120"/>
        <w:jc w:val="both"/>
      </w:pPr>
      <w:r>
        <w:rPr>
          <w:rFonts w:ascii="Times New Roman" w:eastAsia="宋体" w:hAnsi="Times New Roman"/>
          <w:color w:val="000000"/>
          <w:sz w:val="20"/>
          <w:szCs w:val="20"/>
        </w:rPr>
        <w:t>Many of our products are designed to include software or other intellectual property licensed from third parties. It may be necessary in the future to seek or renew licenses relating to various aspects of these products. There can be no as</w:t>
      </w:r>
      <w:r>
        <w:rPr>
          <w:rFonts w:ascii="Times New Roman" w:eastAsia="宋体" w:hAnsi="Times New Roman"/>
          <w:color w:val="000000"/>
          <w:sz w:val="20"/>
          <w:szCs w:val="20"/>
        </w:rPr>
        <w:t>surance that the necessary licenses would be available on acceptable terms, if at all. The inability to obtain certain licenses or other rights or to obtain such licenses or rights on favorable terms, or the need to engage in litigation regarding these mat</w:t>
      </w:r>
      <w:r>
        <w:rPr>
          <w:rFonts w:ascii="Times New Roman" w:eastAsia="宋体" w:hAnsi="Times New Roman"/>
          <w:color w:val="000000"/>
          <w:sz w:val="20"/>
          <w:szCs w:val="20"/>
        </w:rPr>
        <w:t>ters, could have a material adverse effect on our business, operating results, and financial condition. Moreover, the inclusion in our products of software or other intellectual property licensed from third parties on a nonexclusive basis could limit our a</w:t>
      </w:r>
      <w:r>
        <w:rPr>
          <w:rFonts w:ascii="Times New Roman" w:eastAsia="宋体" w:hAnsi="Times New Roman"/>
          <w:color w:val="000000"/>
          <w:sz w:val="20"/>
          <w:szCs w:val="20"/>
        </w:rPr>
        <w:t>bility to protect our proprietary rights in our products.</w:t>
      </w:r>
    </w:p>
    <w:p w14:paraId="7B6718FF" w14:textId="77777777" w:rsidR="0040300B" w:rsidRDefault="0040300B">
      <w:pPr>
        <w:spacing w:before="120"/>
      </w:pPr>
    </w:p>
    <w:p w14:paraId="7B671900" w14:textId="77777777" w:rsidR="0040300B" w:rsidRDefault="00BB2D44">
      <w:pPr>
        <w:jc w:val="center"/>
      </w:pPr>
      <w:r>
        <w:rPr>
          <w:rFonts w:ascii="Times New Roman" w:eastAsia="宋体" w:hAnsi="Times New Roman"/>
          <w:color w:val="000000"/>
          <w:sz w:val="20"/>
          <w:szCs w:val="20"/>
        </w:rPr>
        <w:t>81</w:t>
      </w:r>
    </w:p>
    <w:p w14:paraId="7B671901" w14:textId="77777777" w:rsidR="0040300B" w:rsidRDefault="00BB2D44">
      <w:r>
        <w:pict w14:anchorId="7B671C61">
          <v:rect id="_x0000_i1105" style="width:415.3pt;height:1.5pt" o:hralign="center" o:hrstd="t" o:hr="t" fillcolor="#a0a0a0" stroked="f"/>
        </w:pict>
      </w:r>
    </w:p>
    <w:p w14:paraId="7B671902" w14:textId="77777777" w:rsidR="0040300B" w:rsidRDefault="00BB2D44">
      <w:hyperlink r:id="rId127" w:anchor="i52d5b40dbad7426a9806a2fd5167029f_7" w:history="1">
        <w:r>
          <w:rPr>
            <w:rStyle w:val="a5"/>
            <w:rFonts w:ascii="Times New Roman" w:eastAsia="宋体" w:hAnsi="Times New Roman"/>
            <w:sz w:val="18"/>
            <w:szCs w:val="18"/>
          </w:rPr>
          <w:t>Table of Contents</w:t>
        </w:r>
      </w:hyperlink>
    </w:p>
    <w:p w14:paraId="7B671903" w14:textId="77777777" w:rsidR="0040300B" w:rsidRDefault="00BB2D44">
      <w:pPr>
        <w:spacing w:before="120"/>
      </w:pPr>
      <w:r>
        <w:rPr>
          <w:rFonts w:ascii="Times New Roman" w:eastAsia="宋体" w:hAnsi="Times New Roman"/>
          <w:b/>
          <w:bCs/>
          <w:color w:val="000000"/>
          <w:sz w:val="20"/>
          <w:szCs w:val="20"/>
          <w:u w:val="single"/>
        </w:rPr>
        <w:t>Risks Related to Cybersec</w:t>
      </w:r>
      <w:r>
        <w:rPr>
          <w:rFonts w:ascii="Times New Roman" w:eastAsia="宋体" w:hAnsi="Times New Roman"/>
          <w:b/>
          <w:bCs/>
          <w:color w:val="000000"/>
          <w:sz w:val="20"/>
          <w:szCs w:val="20"/>
          <w:u w:val="single"/>
        </w:rPr>
        <w:t>urity and Regulations</w:t>
      </w:r>
    </w:p>
    <w:p w14:paraId="7B671904" w14:textId="77777777" w:rsidR="0040300B" w:rsidRDefault="00BB2D44">
      <w:pPr>
        <w:spacing w:before="120"/>
        <w:jc w:val="both"/>
      </w:pPr>
      <w:r>
        <w:rPr>
          <w:rFonts w:ascii="Times New Roman" w:eastAsia="宋体" w:hAnsi="Times New Roman"/>
          <w:b/>
          <w:bCs/>
          <w:i/>
          <w:iCs/>
          <w:color w:val="000000"/>
          <w:sz w:val="20"/>
          <w:szCs w:val="20"/>
        </w:rPr>
        <w:t>Cyber-attacks, data breaches or malware may disrupt our operations, harm our operating results and financial condition, and damage our reputation; and cyber-attacks or data breaches on our customers’ networks, or in cloud-based servic</w:t>
      </w:r>
      <w:r>
        <w:rPr>
          <w:rFonts w:ascii="Times New Roman" w:eastAsia="宋体" w:hAnsi="Times New Roman"/>
          <w:b/>
          <w:bCs/>
          <w:i/>
          <w:iCs/>
          <w:color w:val="000000"/>
          <w:sz w:val="20"/>
          <w:szCs w:val="20"/>
        </w:rPr>
        <w:t>es provided by or enabled by us, could result in claims of liability against us, damage our reputation or otherwise harm our business.</w:t>
      </w:r>
    </w:p>
    <w:p w14:paraId="7B671905" w14:textId="77777777" w:rsidR="0040300B" w:rsidRDefault="00BB2D44">
      <w:pPr>
        <w:spacing w:before="120"/>
        <w:jc w:val="both"/>
      </w:pPr>
      <w:r>
        <w:rPr>
          <w:rFonts w:ascii="Times New Roman" w:eastAsia="宋体" w:hAnsi="Times New Roman"/>
          <w:color w:val="000000"/>
          <w:sz w:val="20"/>
          <w:szCs w:val="20"/>
        </w:rPr>
        <w:t>Despite our implementation of security measures, the products and services we sell to customers, and our servers, data ce</w:t>
      </w:r>
      <w:r>
        <w:rPr>
          <w:rFonts w:ascii="Times New Roman" w:eastAsia="宋体" w:hAnsi="Times New Roman"/>
          <w:color w:val="000000"/>
          <w:sz w:val="20"/>
          <w:szCs w:val="20"/>
        </w:rPr>
        <w:t>nters and the cloud-based solutions on which our data, and data of our customers, suppliers and business partners are stored, are vulnerable to cyber-attacks, data breaches, malware, and similar disruptions from unauthorized access or tampering by maliciou</w:t>
      </w:r>
      <w:r>
        <w:rPr>
          <w:rFonts w:ascii="Times New Roman" w:eastAsia="宋体" w:hAnsi="Times New Roman"/>
          <w:color w:val="000000"/>
          <w:sz w:val="20"/>
          <w:szCs w:val="20"/>
        </w:rPr>
        <w:t>s actors or inadvertent error. Any such event could compromise our products, services, and networks or those of our customers, and the information stored on our systems or those of our customers could be improperly accessed, processed, disclosed, lost or s</w:t>
      </w:r>
      <w:r>
        <w:rPr>
          <w:rFonts w:ascii="Times New Roman" w:eastAsia="宋体" w:hAnsi="Times New Roman"/>
          <w:color w:val="000000"/>
          <w:sz w:val="20"/>
          <w:szCs w:val="20"/>
        </w:rPr>
        <w:t>tolen, which could subject us to liability to our customers, suppliers, business partners and others, give rise to legal/regulatory action, and could have a material adverse effect on our business, operating results, and financial condition and may cause d</w:t>
      </w:r>
      <w:r>
        <w:rPr>
          <w:rFonts w:ascii="Times New Roman" w:eastAsia="宋体" w:hAnsi="Times New Roman"/>
          <w:color w:val="000000"/>
          <w:sz w:val="20"/>
          <w:szCs w:val="20"/>
        </w:rPr>
        <w:t>amage to our reputation. Efforts to limit the ability of malicious actors to disrupt the operations of the Internet or undermine our own security efforts may be costly to implement and meet with resistance, and may not be successful. Breaches of security i</w:t>
      </w:r>
      <w:r>
        <w:rPr>
          <w:rFonts w:ascii="Times New Roman" w:eastAsia="宋体" w:hAnsi="Times New Roman"/>
          <w:color w:val="000000"/>
          <w:sz w:val="20"/>
          <w:szCs w:val="20"/>
        </w:rPr>
        <w:t>n our customers’ networks, or in cloud-based services provided by or enabled by us, regardless of whether the breach is attributable to a vulnerability in our products or services, could result in claims of liability against us, damage our reputation or ot</w:t>
      </w:r>
      <w:r>
        <w:rPr>
          <w:rFonts w:ascii="Times New Roman" w:eastAsia="宋体" w:hAnsi="Times New Roman"/>
          <w:color w:val="000000"/>
          <w:sz w:val="20"/>
          <w:szCs w:val="20"/>
        </w:rPr>
        <w:t xml:space="preserve">herwise harm our business. </w:t>
      </w:r>
    </w:p>
    <w:p w14:paraId="7B671906" w14:textId="77777777" w:rsidR="0040300B" w:rsidRDefault="00BB2D44">
      <w:pPr>
        <w:spacing w:before="120"/>
        <w:jc w:val="both"/>
      </w:pPr>
      <w:r>
        <w:rPr>
          <w:rFonts w:ascii="Times New Roman" w:eastAsia="宋体" w:hAnsi="Times New Roman"/>
          <w:b/>
          <w:bCs/>
          <w:i/>
          <w:iCs/>
          <w:color w:val="000000"/>
          <w:sz w:val="20"/>
          <w:szCs w:val="20"/>
        </w:rPr>
        <w:t xml:space="preserve">Vulnerabilities and critical security defects, prioritization decisions regarding remedying vulnerabilities or security defects, failure of third party providers to remedy vulnerabilities or security defects, or </w:t>
      </w:r>
      <w:r>
        <w:rPr>
          <w:rFonts w:ascii="Times New Roman" w:eastAsia="宋体" w:hAnsi="Times New Roman"/>
          <w:b/>
          <w:bCs/>
          <w:i/>
          <w:iCs/>
          <w:color w:val="000000"/>
          <w:sz w:val="20"/>
          <w:szCs w:val="20"/>
        </w:rPr>
        <w:t>customers not deploying security releases or deciding not to upgrade products, services or solutions could result in claims of liability against us, damage our reputation or otherwise harm our business.</w:t>
      </w:r>
    </w:p>
    <w:p w14:paraId="7B671907" w14:textId="77777777" w:rsidR="0040300B" w:rsidRDefault="00BB2D44">
      <w:pPr>
        <w:spacing w:before="120"/>
        <w:jc w:val="both"/>
      </w:pPr>
      <w:r>
        <w:rPr>
          <w:rFonts w:ascii="Times New Roman" w:eastAsia="宋体" w:hAnsi="Times New Roman"/>
          <w:color w:val="000000"/>
          <w:sz w:val="20"/>
          <w:szCs w:val="20"/>
        </w:rPr>
        <w:t>The products and services we sell to customers, and o</w:t>
      </w:r>
      <w:r>
        <w:rPr>
          <w:rFonts w:ascii="Times New Roman" w:eastAsia="宋体" w:hAnsi="Times New Roman"/>
          <w:color w:val="000000"/>
          <w:sz w:val="20"/>
          <w:szCs w:val="20"/>
        </w:rPr>
        <w:t xml:space="preserve">ur cloud-based solutions, inevitably contain vulnerabilities or critical security defects which have not been remedied and cannot be disclosed without compromising security. We may also make prioritization decisions in determining which vulnerabilities or </w:t>
      </w:r>
      <w:r>
        <w:rPr>
          <w:rFonts w:ascii="Times New Roman" w:eastAsia="宋体" w:hAnsi="Times New Roman"/>
          <w:color w:val="000000"/>
          <w:sz w:val="20"/>
          <w:szCs w:val="20"/>
        </w:rPr>
        <w:t>security defects to fix, and the timing of these fixes, which could result in an exploit which compromises security. Customers also need to test security releases before they can be deployed which can delay implementation. In addition, we rely on third-par</w:t>
      </w:r>
      <w:r>
        <w:rPr>
          <w:rFonts w:ascii="Times New Roman" w:eastAsia="宋体" w:hAnsi="Times New Roman"/>
          <w:color w:val="000000"/>
          <w:sz w:val="20"/>
          <w:szCs w:val="20"/>
        </w:rPr>
        <w:t>ty providers of software and cloud-based service and we cannot control the rate at which they remedy vulnerabilities. Customers may also not deploy a security release, or decide not to upgrade to the latest versions of our products, services or cloud-based</w:t>
      </w:r>
      <w:r>
        <w:rPr>
          <w:rFonts w:ascii="Times New Roman" w:eastAsia="宋体" w:hAnsi="Times New Roman"/>
          <w:color w:val="000000"/>
          <w:sz w:val="20"/>
          <w:szCs w:val="20"/>
        </w:rPr>
        <w:t xml:space="preserve"> solutions containing the release, leaving them vulnerable. Vulnerabilities and critical security defects, prioritization errors in remedying vulnerabilities or security defects, failure of third-party providers to remedy vulnerabilities or security defect</w:t>
      </w:r>
      <w:r>
        <w:rPr>
          <w:rFonts w:ascii="Times New Roman" w:eastAsia="宋体" w:hAnsi="Times New Roman"/>
          <w:color w:val="000000"/>
          <w:sz w:val="20"/>
          <w:szCs w:val="20"/>
        </w:rPr>
        <w:t>s, or customers not deploying security releases or deciding not to upgrade products, services or solutions could result in claims of liability against us, damage our reputation or otherwise harm our business.</w:t>
      </w:r>
    </w:p>
    <w:p w14:paraId="7B671908" w14:textId="77777777" w:rsidR="0040300B" w:rsidRDefault="00BB2D44">
      <w:pPr>
        <w:spacing w:before="120"/>
        <w:jc w:val="both"/>
      </w:pPr>
      <w:r>
        <w:rPr>
          <w:rFonts w:ascii="Times New Roman" w:eastAsia="宋体" w:hAnsi="Times New Roman"/>
          <w:b/>
          <w:bCs/>
          <w:i/>
          <w:iCs/>
          <w:color w:val="000000"/>
          <w:sz w:val="20"/>
          <w:szCs w:val="20"/>
        </w:rPr>
        <w:t>Our business, operating results and financial c</w:t>
      </w:r>
      <w:r>
        <w:rPr>
          <w:rFonts w:ascii="Times New Roman" w:eastAsia="宋体" w:hAnsi="Times New Roman"/>
          <w:b/>
          <w:bCs/>
          <w:i/>
          <w:iCs/>
          <w:color w:val="000000"/>
          <w:sz w:val="20"/>
          <w:szCs w:val="20"/>
        </w:rPr>
        <w:t>ondition could be materially harmed by regulatory uncertainty applicable to our products and services.</w:t>
      </w:r>
    </w:p>
    <w:p w14:paraId="7B671909" w14:textId="77777777" w:rsidR="0040300B" w:rsidRDefault="00BB2D44">
      <w:pPr>
        <w:spacing w:before="120"/>
        <w:jc w:val="both"/>
      </w:pPr>
      <w:r>
        <w:rPr>
          <w:rFonts w:ascii="Times New Roman" w:eastAsia="宋体" w:hAnsi="Times New Roman"/>
          <w:color w:val="000000"/>
          <w:sz w:val="20"/>
          <w:szCs w:val="20"/>
        </w:rPr>
        <w:t>Changes in regulatory requirements applicable to the industries in which we operate, in the United States and in other countries, could materially affect</w:t>
      </w:r>
      <w:r>
        <w:rPr>
          <w:rFonts w:ascii="Times New Roman" w:eastAsia="宋体" w:hAnsi="Times New Roman"/>
          <w:color w:val="000000"/>
          <w:sz w:val="20"/>
          <w:szCs w:val="20"/>
        </w:rPr>
        <w:t xml:space="preserve"> the sales of our products and services. In particular, changes in telecommunications regulations could impact our service provider customers’ purchase of our products and offers, and they could also impact sales of our own regulated offers. In addition, e</w:t>
      </w:r>
      <w:r>
        <w:rPr>
          <w:rFonts w:ascii="Times New Roman" w:eastAsia="宋体" w:hAnsi="Times New Roman"/>
          <w:color w:val="000000"/>
          <w:sz w:val="20"/>
          <w:szCs w:val="20"/>
        </w:rPr>
        <w:t>volving legal requirements restricting or controlling the collection, processing, or cross-border transmission of data, including regulation of cloud-based services, could materially affect our customers’ ability to use, and our ability to sell, our produc</w:t>
      </w:r>
      <w:r>
        <w:rPr>
          <w:rFonts w:ascii="Times New Roman" w:eastAsia="宋体" w:hAnsi="Times New Roman"/>
          <w:color w:val="000000"/>
          <w:sz w:val="20"/>
          <w:szCs w:val="20"/>
        </w:rPr>
        <w:t>ts and offers. Additional areas of uncertainty that could impact sales of our products and offers include laws and regulations related to encryption technology, environmental sustainability (including climate change), export control, product certification,</w:t>
      </w:r>
      <w:r>
        <w:rPr>
          <w:rFonts w:ascii="Times New Roman" w:eastAsia="宋体" w:hAnsi="Times New Roman"/>
          <w:color w:val="000000"/>
          <w:sz w:val="20"/>
          <w:szCs w:val="20"/>
        </w:rPr>
        <w:t xml:space="preserve"> and national security controls applicable to our supply chain. For example, new laws and regulations in response to climate change could result in increased energy efficiency for our products and increased compliance and energy costs. Changes in regulator</w:t>
      </w:r>
      <w:r>
        <w:rPr>
          <w:rFonts w:ascii="Times New Roman" w:eastAsia="宋体" w:hAnsi="Times New Roman"/>
          <w:color w:val="000000"/>
          <w:sz w:val="20"/>
          <w:szCs w:val="20"/>
        </w:rPr>
        <w:t>y requirements in any of these areas could have a material adverse effect on our business, operating results, and financial condition.</w:t>
      </w:r>
    </w:p>
    <w:p w14:paraId="7B67190A" w14:textId="77777777" w:rsidR="0040300B" w:rsidRDefault="00BB2D44">
      <w:pPr>
        <w:spacing w:before="120"/>
        <w:jc w:val="both"/>
      </w:pPr>
      <w:r>
        <w:rPr>
          <w:rFonts w:ascii="Times New Roman" w:eastAsia="宋体" w:hAnsi="Times New Roman"/>
          <w:b/>
          <w:bCs/>
          <w:color w:val="000000"/>
          <w:sz w:val="20"/>
          <w:szCs w:val="20"/>
          <w:u w:val="single"/>
        </w:rPr>
        <w:t>Risks Related to Ownership of Our Stock</w:t>
      </w:r>
    </w:p>
    <w:p w14:paraId="7B67190B" w14:textId="77777777" w:rsidR="0040300B" w:rsidRDefault="00BB2D44">
      <w:pPr>
        <w:spacing w:before="120"/>
        <w:jc w:val="both"/>
      </w:pPr>
      <w:r>
        <w:rPr>
          <w:rFonts w:ascii="Times New Roman" w:eastAsia="宋体" w:hAnsi="Times New Roman"/>
          <w:b/>
          <w:bCs/>
          <w:i/>
          <w:iCs/>
          <w:color w:val="000000"/>
          <w:sz w:val="20"/>
          <w:szCs w:val="20"/>
        </w:rPr>
        <w:t>Our stock price may be volatile.</w:t>
      </w:r>
    </w:p>
    <w:p w14:paraId="7B67190C" w14:textId="77777777" w:rsidR="0040300B" w:rsidRDefault="00BB2D44">
      <w:pPr>
        <w:spacing w:before="120"/>
        <w:jc w:val="both"/>
      </w:pPr>
      <w:r>
        <w:rPr>
          <w:rFonts w:ascii="Times New Roman" w:eastAsia="宋体" w:hAnsi="Times New Roman"/>
          <w:color w:val="000000"/>
          <w:sz w:val="20"/>
          <w:szCs w:val="20"/>
        </w:rPr>
        <w:t xml:space="preserve">Historically, our common stock has experienced substantial price volatility, particularly as a result of variations between our actual financial results and the published expectations of analysts and as a result of announcements by our competitors and us. </w:t>
      </w:r>
      <w:r>
        <w:rPr>
          <w:rFonts w:ascii="Times New Roman" w:eastAsia="宋体" w:hAnsi="Times New Roman"/>
          <w:color w:val="000000"/>
          <w:sz w:val="20"/>
          <w:szCs w:val="20"/>
        </w:rPr>
        <w:t>Furthermore, speculation in the press or investment community about our strategic position, financial condition, results of operations, business, security of our products, or significant transactions can cause changes in our stock price. In addition, the s</w:t>
      </w:r>
      <w:r>
        <w:rPr>
          <w:rFonts w:ascii="Times New Roman" w:eastAsia="宋体" w:hAnsi="Times New Roman"/>
          <w:color w:val="000000"/>
          <w:sz w:val="20"/>
          <w:szCs w:val="20"/>
        </w:rPr>
        <w:t xml:space="preserve">tock market has experienced extreme price and volume fluctuations that have affected the market price of many technology companies, in particular, and that have often been unrelated to the operating performance of these companies. These factors, as </w:t>
      </w:r>
    </w:p>
    <w:p w14:paraId="7B67190D" w14:textId="77777777" w:rsidR="0040300B" w:rsidRDefault="00BB2D44">
      <w:pPr>
        <w:jc w:val="center"/>
      </w:pPr>
      <w:r>
        <w:rPr>
          <w:rFonts w:ascii="Times New Roman" w:eastAsia="宋体" w:hAnsi="Times New Roman"/>
          <w:color w:val="000000"/>
          <w:sz w:val="20"/>
          <w:szCs w:val="20"/>
        </w:rPr>
        <w:t>82</w:t>
      </w:r>
    </w:p>
    <w:p w14:paraId="7B67190E" w14:textId="77777777" w:rsidR="0040300B" w:rsidRDefault="00BB2D44">
      <w:r>
        <w:pict w14:anchorId="7B671C62">
          <v:rect id="_x0000_i1106" style="width:415.3pt;height:1.5pt" o:hralign="center" o:hrstd="t" o:hr="t" fillcolor="#a0a0a0" stroked="f"/>
        </w:pict>
      </w:r>
    </w:p>
    <w:p w14:paraId="7B67190F" w14:textId="77777777" w:rsidR="0040300B" w:rsidRDefault="00BB2D44">
      <w:hyperlink r:id="rId128" w:anchor="i52d5b40dbad7426a9806a2fd5167029f_7" w:history="1">
        <w:r>
          <w:rPr>
            <w:rStyle w:val="a5"/>
            <w:rFonts w:ascii="Times New Roman" w:eastAsia="宋体" w:hAnsi="Times New Roman"/>
            <w:sz w:val="18"/>
            <w:szCs w:val="18"/>
          </w:rPr>
          <w:t>Table of Contents</w:t>
        </w:r>
      </w:hyperlink>
    </w:p>
    <w:p w14:paraId="7B671910" w14:textId="77777777" w:rsidR="0040300B" w:rsidRDefault="00BB2D44">
      <w:pPr>
        <w:spacing w:before="120"/>
        <w:jc w:val="both"/>
      </w:pPr>
      <w:r>
        <w:rPr>
          <w:rFonts w:ascii="Times New Roman" w:eastAsia="宋体" w:hAnsi="Times New Roman"/>
          <w:color w:val="000000"/>
          <w:sz w:val="20"/>
          <w:szCs w:val="20"/>
        </w:rPr>
        <w:t>well as general economic and political conditions and the announcement of proposed and com</w:t>
      </w:r>
      <w:r>
        <w:rPr>
          <w:rFonts w:ascii="Times New Roman" w:eastAsia="宋体" w:hAnsi="Times New Roman"/>
          <w:color w:val="000000"/>
          <w:sz w:val="20"/>
          <w:szCs w:val="20"/>
        </w:rPr>
        <w:t>pleted acquisitions or other significant transactions, or any difficulties associated with such transactions, by us or our current or potential competitors, may materially adversely affect the market price of our common stock in the future. Additionally, v</w:t>
      </w:r>
      <w:r>
        <w:rPr>
          <w:rFonts w:ascii="Times New Roman" w:eastAsia="宋体" w:hAnsi="Times New Roman"/>
          <w:color w:val="000000"/>
          <w:sz w:val="20"/>
          <w:szCs w:val="20"/>
        </w:rPr>
        <w:t>olatility, lack of positive performance in our stock price or changes to our overall compensation program, including our stock incentive program, may adversely affect our ability to retain key employees, virtually all of whom are compensated, in part, base</w:t>
      </w:r>
      <w:r>
        <w:rPr>
          <w:rFonts w:ascii="Times New Roman" w:eastAsia="宋体" w:hAnsi="Times New Roman"/>
          <w:color w:val="000000"/>
          <w:sz w:val="20"/>
          <w:szCs w:val="20"/>
        </w:rPr>
        <w:t xml:space="preserve">d on the performance of our stock price. </w:t>
      </w:r>
    </w:p>
    <w:p w14:paraId="7B671911" w14:textId="77777777" w:rsidR="0040300B" w:rsidRDefault="00BB2D44">
      <w:pPr>
        <w:jc w:val="center"/>
      </w:pPr>
      <w:r>
        <w:rPr>
          <w:rFonts w:ascii="Times New Roman" w:eastAsia="宋体" w:hAnsi="Times New Roman"/>
          <w:color w:val="000000"/>
          <w:sz w:val="20"/>
          <w:szCs w:val="20"/>
        </w:rPr>
        <w:t>83</w:t>
      </w:r>
    </w:p>
    <w:p w14:paraId="7B671912" w14:textId="77777777" w:rsidR="0040300B" w:rsidRDefault="00BB2D44">
      <w:r>
        <w:pict w14:anchorId="7B671C63">
          <v:rect id="_x0000_i1107" style="width:415.3pt;height:1.5pt" o:hralign="center" o:hrstd="t" o:hr="t" fillcolor="#a0a0a0" stroked="f"/>
        </w:pict>
      </w:r>
    </w:p>
    <w:p w14:paraId="7B671913" w14:textId="77777777" w:rsidR="0040300B" w:rsidRDefault="00BB2D44">
      <w:hyperlink r:id="rId129" w:anchor="i52d5b40dbad7426a9806a2fd5167029f_7" w:history="1">
        <w:r>
          <w:rPr>
            <w:rStyle w:val="a5"/>
            <w:rFonts w:ascii="Times New Roman" w:eastAsia="宋体" w:hAnsi="Times New Roman"/>
            <w:sz w:val="18"/>
            <w:szCs w:val="18"/>
          </w:rPr>
          <w:t>Table of Contents</w:t>
        </w:r>
      </w:hyperlink>
    </w:p>
    <w:tbl>
      <w:tblPr>
        <w:tblW w:w="4883" w:type="pct"/>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40300B" w14:paraId="7B67191A" w14:textId="77777777">
        <w:tc>
          <w:tcPr>
            <w:tcW w:w="50" w:type="pct"/>
            <w:shd w:val="clear" w:color="auto" w:fill="auto"/>
          </w:tcPr>
          <w:p w14:paraId="7B671914" w14:textId="77777777" w:rsidR="0040300B" w:rsidRDefault="0040300B">
            <w:pPr>
              <w:rPr>
                <w:rFonts w:ascii="宋体"/>
              </w:rPr>
            </w:pPr>
          </w:p>
        </w:tc>
        <w:tc>
          <w:tcPr>
            <w:tcW w:w="341" w:type="pct"/>
            <w:shd w:val="clear" w:color="auto" w:fill="auto"/>
          </w:tcPr>
          <w:p w14:paraId="7B671915" w14:textId="77777777" w:rsidR="0040300B" w:rsidRDefault="0040300B">
            <w:pPr>
              <w:rPr>
                <w:rFonts w:ascii="宋体"/>
              </w:rPr>
            </w:pPr>
          </w:p>
        </w:tc>
        <w:tc>
          <w:tcPr>
            <w:tcW w:w="5" w:type="pct"/>
            <w:shd w:val="clear" w:color="auto" w:fill="auto"/>
          </w:tcPr>
          <w:p w14:paraId="7B671916" w14:textId="77777777" w:rsidR="0040300B" w:rsidRDefault="0040300B">
            <w:pPr>
              <w:rPr>
                <w:rFonts w:ascii="宋体"/>
              </w:rPr>
            </w:pPr>
          </w:p>
        </w:tc>
        <w:tc>
          <w:tcPr>
            <w:tcW w:w="50" w:type="pct"/>
            <w:shd w:val="clear" w:color="auto" w:fill="auto"/>
          </w:tcPr>
          <w:p w14:paraId="7B671917" w14:textId="77777777" w:rsidR="0040300B" w:rsidRDefault="0040300B">
            <w:pPr>
              <w:rPr>
                <w:rFonts w:ascii="宋体"/>
              </w:rPr>
            </w:pPr>
          </w:p>
        </w:tc>
        <w:tc>
          <w:tcPr>
            <w:tcW w:w="4548" w:type="pct"/>
            <w:shd w:val="clear" w:color="auto" w:fill="auto"/>
          </w:tcPr>
          <w:p w14:paraId="7B671918" w14:textId="77777777" w:rsidR="0040300B" w:rsidRDefault="0040300B">
            <w:pPr>
              <w:rPr>
                <w:rFonts w:ascii="宋体"/>
              </w:rPr>
            </w:pPr>
          </w:p>
        </w:tc>
        <w:tc>
          <w:tcPr>
            <w:tcW w:w="5" w:type="pct"/>
            <w:shd w:val="clear" w:color="auto" w:fill="auto"/>
          </w:tcPr>
          <w:p w14:paraId="7B671919" w14:textId="77777777" w:rsidR="0040300B" w:rsidRDefault="0040300B">
            <w:pPr>
              <w:rPr>
                <w:rFonts w:ascii="宋体"/>
              </w:rPr>
            </w:pPr>
          </w:p>
        </w:tc>
      </w:tr>
      <w:tr w:rsidR="0040300B" w14:paraId="7B67191D" w14:textId="77777777">
        <w:tc>
          <w:tcPr>
            <w:tcW w:w="0" w:type="auto"/>
            <w:gridSpan w:val="3"/>
            <w:shd w:val="clear" w:color="auto" w:fill="auto"/>
            <w:tcMar>
              <w:top w:w="40" w:type="dxa"/>
              <w:left w:w="20" w:type="dxa"/>
              <w:bottom w:w="40" w:type="dxa"/>
              <w:right w:w="20" w:type="dxa"/>
            </w:tcMar>
          </w:tcPr>
          <w:p w14:paraId="7B67191B" w14:textId="77777777" w:rsidR="0040300B" w:rsidRDefault="00BB2D44">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7B67191C" w14:textId="77777777" w:rsidR="0040300B" w:rsidRDefault="00BB2D44">
            <w:pPr>
              <w:textAlignment w:val="top"/>
            </w:pPr>
            <w:r>
              <w:rPr>
                <w:rFonts w:ascii="Times New Roman" w:eastAsia="宋体" w:hAnsi="Times New Roman"/>
                <w:b/>
                <w:bCs/>
                <w:color w:val="000000"/>
                <w:sz w:val="20"/>
                <w:szCs w:val="20"/>
              </w:rPr>
              <w:t xml:space="preserve">Unregistered Sales of </w:t>
            </w:r>
            <w:r>
              <w:rPr>
                <w:rFonts w:ascii="Times New Roman" w:eastAsia="宋体" w:hAnsi="Times New Roman"/>
                <w:b/>
                <w:bCs/>
                <w:color w:val="000000"/>
                <w:sz w:val="20"/>
                <w:szCs w:val="20"/>
              </w:rPr>
              <w:t>Equity Securities and Use of Proceeds</w:t>
            </w:r>
          </w:p>
        </w:tc>
      </w:tr>
    </w:tbl>
    <w:p w14:paraId="7B67191E" w14:textId="77777777" w:rsidR="0040300B" w:rsidRDefault="00BB2D44">
      <w:pPr>
        <w:spacing w:before="120"/>
        <w:ind w:hanging="450"/>
        <w:jc w:val="both"/>
      </w:pPr>
      <w:r>
        <w:rPr>
          <w:rFonts w:ascii="Times New Roman" w:eastAsia="宋体" w:hAnsi="Times New Roman"/>
          <w:color w:val="000000"/>
          <w:sz w:val="20"/>
          <w:szCs w:val="20"/>
        </w:rPr>
        <w:t>(a)None.</w:t>
      </w:r>
    </w:p>
    <w:p w14:paraId="7B67191F" w14:textId="77777777" w:rsidR="0040300B" w:rsidRDefault="00BB2D44">
      <w:pPr>
        <w:spacing w:before="120"/>
        <w:ind w:hanging="450"/>
        <w:jc w:val="both"/>
      </w:pPr>
      <w:r>
        <w:rPr>
          <w:rFonts w:ascii="Times New Roman" w:eastAsia="宋体" w:hAnsi="Times New Roman"/>
          <w:color w:val="000000"/>
          <w:sz w:val="20"/>
          <w:szCs w:val="20"/>
        </w:rPr>
        <w:t>(b)None.</w:t>
      </w:r>
    </w:p>
    <w:p w14:paraId="7B671920" w14:textId="77777777" w:rsidR="0040300B" w:rsidRDefault="00BB2D44">
      <w:pPr>
        <w:spacing w:before="120"/>
        <w:ind w:hanging="450"/>
        <w:jc w:val="both"/>
      </w:pPr>
      <w:r>
        <w:rPr>
          <w:rFonts w:ascii="Times New Roman" w:eastAsia="宋体" w:hAnsi="Times New Roman"/>
          <w:color w:val="000000"/>
          <w:sz w:val="20"/>
          <w:szCs w:val="20"/>
        </w:rPr>
        <w:t>(c)Issuer Purchases of Equity Securities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2495"/>
        <w:gridCol w:w="36"/>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40300B" w14:paraId="7B671939" w14:textId="77777777">
        <w:tc>
          <w:tcPr>
            <w:tcW w:w="50" w:type="pct"/>
            <w:shd w:val="clear" w:color="auto" w:fill="auto"/>
          </w:tcPr>
          <w:p w14:paraId="7B671921" w14:textId="77777777" w:rsidR="0040300B" w:rsidRDefault="0040300B">
            <w:pPr>
              <w:rPr>
                <w:rFonts w:ascii="宋体"/>
              </w:rPr>
            </w:pPr>
          </w:p>
        </w:tc>
        <w:tc>
          <w:tcPr>
            <w:tcW w:w="1939" w:type="pct"/>
            <w:shd w:val="clear" w:color="auto" w:fill="auto"/>
          </w:tcPr>
          <w:p w14:paraId="7B671922" w14:textId="77777777" w:rsidR="0040300B" w:rsidRDefault="0040300B">
            <w:pPr>
              <w:rPr>
                <w:rFonts w:ascii="宋体"/>
              </w:rPr>
            </w:pPr>
          </w:p>
        </w:tc>
        <w:tc>
          <w:tcPr>
            <w:tcW w:w="5" w:type="pct"/>
            <w:shd w:val="clear" w:color="auto" w:fill="auto"/>
          </w:tcPr>
          <w:p w14:paraId="7B671923" w14:textId="77777777" w:rsidR="0040300B" w:rsidRDefault="0040300B">
            <w:pPr>
              <w:rPr>
                <w:rFonts w:ascii="宋体"/>
              </w:rPr>
            </w:pPr>
          </w:p>
        </w:tc>
        <w:tc>
          <w:tcPr>
            <w:tcW w:w="50" w:type="pct"/>
            <w:shd w:val="clear" w:color="auto" w:fill="auto"/>
          </w:tcPr>
          <w:p w14:paraId="7B671924" w14:textId="77777777" w:rsidR="0040300B" w:rsidRDefault="0040300B">
            <w:pPr>
              <w:rPr>
                <w:rFonts w:ascii="宋体"/>
              </w:rPr>
            </w:pPr>
          </w:p>
        </w:tc>
        <w:tc>
          <w:tcPr>
            <w:tcW w:w="406" w:type="pct"/>
            <w:shd w:val="clear" w:color="auto" w:fill="auto"/>
          </w:tcPr>
          <w:p w14:paraId="7B671925" w14:textId="77777777" w:rsidR="0040300B" w:rsidRDefault="0040300B">
            <w:pPr>
              <w:rPr>
                <w:rFonts w:ascii="宋体"/>
              </w:rPr>
            </w:pPr>
          </w:p>
        </w:tc>
        <w:tc>
          <w:tcPr>
            <w:tcW w:w="5" w:type="pct"/>
            <w:shd w:val="clear" w:color="auto" w:fill="auto"/>
          </w:tcPr>
          <w:p w14:paraId="7B671926" w14:textId="77777777" w:rsidR="0040300B" w:rsidRDefault="0040300B">
            <w:pPr>
              <w:rPr>
                <w:rFonts w:ascii="宋体"/>
              </w:rPr>
            </w:pPr>
          </w:p>
        </w:tc>
        <w:tc>
          <w:tcPr>
            <w:tcW w:w="5" w:type="pct"/>
            <w:shd w:val="clear" w:color="auto" w:fill="auto"/>
          </w:tcPr>
          <w:p w14:paraId="7B671927" w14:textId="77777777" w:rsidR="0040300B" w:rsidRDefault="0040300B">
            <w:pPr>
              <w:rPr>
                <w:rFonts w:ascii="宋体"/>
              </w:rPr>
            </w:pPr>
          </w:p>
        </w:tc>
        <w:tc>
          <w:tcPr>
            <w:tcW w:w="26" w:type="pct"/>
            <w:shd w:val="clear" w:color="auto" w:fill="auto"/>
          </w:tcPr>
          <w:p w14:paraId="7B671928" w14:textId="77777777" w:rsidR="0040300B" w:rsidRDefault="0040300B">
            <w:pPr>
              <w:rPr>
                <w:rFonts w:ascii="宋体"/>
              </w:rPr>
            </w:pPr>
          </w:p>
        </w:tc>
        <w:tc>
          <w:tcPr>
            <w:tcW w:w="5" w:type="pct"/>
            <w:shd w:val="clear" w:color="auto" w:fill="auto"/>
          </w:tcPr>
          <w:p w14:paraId="7B671929" w14:textId="77777777" w:rsidR="0040300B" w:rsidRDefault="0040300B">
            <w:pPr>
              <w:rPr>
                <w:rFonts w:ascii="宋体"/>
              </w:rPr>
            </w:pPr>
          </w:p>
        </w:tc>
        <w:tc>
          <w:tcPr>
            <w:tcW w:w="50" w:type="pct"/>
            <w:shd w:val="clear" w:color="auto" w:fill="auto"/>
          </w:tcPr>
          <w:p w14:paraId="7B67192A" w14:textId="77777777" w:rsidR="0040300B" w:rsidRDefault="0040300B">
            <w:pPr>
              <w:rPr>
                <w:rFonts w:ascii="宋体"/>
              </w:rPr>
            </w:pPr>
          </w:p>
        </w:tc>
        <w:tc>
          <w:tcPr>
            <w:tcW w:w="656" w:type="pct"/>
            <w:shd w:val="clear" w:color="auto" w:fill="auto"/>
          </w:tcPr>
          <w:p w14:paraId="7B67192B" w14:textId="77777777" w:rsidR="0040300B" w:rsidRDefault="0040300B">
            <w:pPr>
              <w:rPr>
                <w:rFonts w:ascii="宋体"/>
              </w:rPr>
            </w:pPr>
          </w:p>
        </w:tc>
        <w:tc>
          <w:tcPr>
            <w:tcW w:w="5" w:type="pct"/>
            <w:shd w:val="clear" w:color="auto" w:fill="auto"/>
          </w:tcPr>
          <w:p w14:paraId="7B67192C" w14:textId="77777777" w:rsidR="0040300B" w:rsidRDefault="0040300B">
            <w:pPr>
              <w:rPr>
                <w:rFonts w:ascii="宋体"/>
              </w:rPr>
            </w:pPr>
          </w:p>
        </w:tc>
        <w:tc>
          <w:tcPr>
            <w:tcW w:w="5" w:type="pct"/>
            <w:shd w:val="clear" w:color="auto" w:fill="auto"/>
          </w:tcPr>
          <w:p w14:paraId="7B67192D" w14:textId="77777777" w:rsidR="0040300B" w:rsidRDefault="0040300B">
            <w:pPr>
              <w:rPr>
                <w:rFonts w:ascii="宋体"/>
              </w:rPr>
            </w:pPr>
          </w:p>
        </w:tc>
        <w:tc>
          <w:tcPr>
            <w:tcW w:w="26" w:type="pct"/>
            <w:shd w:val="clear" w:color="auto" w:fill="auto"/>
          </w:tcPr>
          <w:p w14:paraId="7B67192E" w14:textId="77777777" w:rsidR="0040300B" w:rsidRDefault="0040300B">
            <w:pPr>
              <w:rPr>
                <w:rFonts w:ascii="宋体"/>
              </w:rPr>
            </w:pPr>
          </w:p>
        </w:tc>
        <w:tc>
          <w:tcPr>
            <w:tcW w:w="5" w:type="pct"/>
            <w:shd w:val="clear" w:color="auto" w:fill="auto"/>
          </w:tcPr>
          <w:p w14:paraId="7B67192F" w14:textId="77777777" w:rsidR="0040300B" w:rsidRDefault="0040300B">
            <w:pPr>
              <w:rPr>
                <w:rFonts w:ascii="宋体"/>
              </w:rPr>
            </w:pPr>
          </w:p>
        </w:tc>
        <w:tc>
          <w:tcPr>
            <w:tcW w:w="50" w:type="pct"/>
            <w:shd w:val="clear" w:color="auto" w:fill="auto"/>
          </w:tcPr>
          <w:p w14:paraId="7B671930" w14:textId="77777777" w:rsidR="0040300B" w:rsidRDefault="0040300B">
            <w:pPr>
              <w:rPr>
                <w:rFonts w:ascii="宋体"/>
              </w:rPr>
            </w:pPr>
          </w:p>
        </w:tc>
        <w:tc>
          <w:tcPr>
            <w:tcW w:w="854" w:type="pct"/>
            <w:shd w:val="clear" w:color="auto" w:fill="auto"/>
          </w:tcPr>
          <w:p w14:paraId="7B671931" w14:textId="77777777" w:rsidR="0040300B" w:rsidRDefault="0040300B">
            <w:pPr>
              <w:rPr>
                <w:rFonts w:ascii="宋体"/>
              </w:rPr>
            </w:pPr>
          </w:p>
        </w:tc>
        <w:tc>
          <w:tcPr>
            <w:tcW w:w="5" w:type="pct"/>
            <w:shd w:val="clear" w:color="auto" w:fill="auto"/>
          </w:tcPr>
          <w:p w14:paraId="7B671932" w14:textId="77777777" w:rsidR="0040300B" w:rsidRDefault="0040300B">
            <w:pPr>
              <w:rPr>
                <w:rFonts w:ascii="宋体"/>
              </w:rPr>
            </w:pPr>
          </w:p>
        </w:tc>
        <w:tc>
          <w:tcPr>
            <w:tcW w:w="5" w:type="pct"/>
            <w:shd w:val="clear" w:color="auto" w:fill="auto"/>
          </w:tcPr>
          <w:p w14:paraId="7B671933" w14:textId="77777777" w:rsidR="0040300B" w:rsidRDefault="0040300B">
            <w:pPr>
              <w:rPr>
                <w:rFonts w:ascii="宋体"/>
              </w:rPr>
            </w:pPr>
          </w:p>
        </w:tc>
        <w:tc>
          <w:tcPr>
            <w:tcW w:w="26" w:type="pct"/>
            <w:shd w:val="clear" w:color="auto" w:fill="auto"/>
          </w:tcPr>
          <w:p w14:paraId="7B671934" w14:textId="77777777" w:rsidR="0040300B" w:rsidRDefault="0040300B">
            <w:pPr>
              <w:rPr>
                <w:rFonts w:ascii="宋体"/>
              </w:rPr>
            </w:pPr>
          </w:p>
        </w:tc>
        <w:tc>
          <w:tcPr>
            <w:tcW w:w="5" w:type="pct"/>
            <w:shd w:val="clear" w:color="auto" w:fill="auto"/>
          </w:tcPr>
          <w:p w14:paraId="7B671935" w14:textId="77777777" w:rsidR="0040300B" w:rsidRDefault="0040300B">
            <w:pPr>
              <w:rPr>
                <w:rFonts w:ascii="宋体"/>
              </w:rPr>
            </w:pPr>
          </w:p>
        </w:tc>
        <w:tc>
          <w:tcPr>
            <w:tcW w:w="50" w:type="pct"/>
            <w:shd w:val="clear" w:color="auto" w:fill="auto"/>
          </w:tcPr>
          <w:p w14:paraId="7B671936" w14:textId="77777777" w:rsidR="0040300B" w:rsidRDefault="0040300B">
            <w:pPr>
              <w:rPr>
                <w:rFonts w:ascii="宋体"/>
              </w:rPr>
            </w:pPr>
          </w:p>
        </w:tc>
        <w:tc>
          <w:tcPr>
            <w:tcW w:w="758" w:type="pct"/>
            <w:shd w:val="clear" w:color="auto" w:fill="auto"/>
          </w:tcPr>
          <w:p w14:paraId="7B671937" w14:textId="77777777" w:rsidR="0040300B" w:rsidRDefault="0040300B">
            <w:pPr>
              <w:rPr>
                <w:rFonts w:ascii="宋体"/>
              </w:rPr>
            </w:pPr>
          </w:p>
        </w:tc>
        <w:tc>
          <w:tcPr>
            <w:tcW w:w="5" w:type="pct"/>
            <w:shd w:val="clear" w:color="auto" w:fill="auto"/>
          </w:tcPr>
          <w:p w14:paraId="7B671938" w14:textId="77777777" w:rsidR="0040300B" w:rsidRDefault="0040300B">
            <w:pPr>
              <w:rPr>
                <w:rFonts w:ascii="宋体"/>
              </w:rPr>
            </w:pPr>
          </w:p>
        </w:tc>
      </w:tr>
      <w:tr w:rsidR="0040300B" w14:paraId="7B671945" w14:textId="77777777">
        <w:tc>
          <w:tcPr>
            <w:tcW w:w="0" w:type="auto"/>
            <w:gridSpan w:val="3"/>
            <w:shd w:val="clear" w:color="auto" w:fill="auto"/>
            <w:tcMar>
              <w:top w:w="40" w:type="dxa"/>
              <w:left w:w="20" w:type="dxa"/>
              <w:bottom w:w="40" w:type="dxa"/>
              <w:right w:w="20" w:type="dxa"/>
            </w:tcMar>
            <w:vAlign w:val="bottom"/>
          </w:tcPr>
          <w:p w14:paraId="7B67193A" w14:textId="77777777" w:rsidR="0040300B" w:rsidRDefault="00BB2D44">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7B67193B" w14:textId="77777777" w:rsidR="0040300B" w:rsidRDefault="00BB2D44">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tcPr>
          <w:p w14:paraId="7B67193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93D" w14:textId="77777777" w:rsidR="0040300B" w:rsidRDefault="00BB2D44">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tcPr>
          <w:p w14:paraId="7B67193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93F" w14:textId="77777777" w:rsidR="0040300B" w:rsidRDefault="00BB2D44">
            <w:pPr>
              <w:jc w:val="center"/>
              <w:textAlignment w:val="bottom"/>
            </w:pPr>
            <w:r>
              <w:rPr>
                <w:rFonts w:ascii="Times New Roman" w:eastAsia="宋体" w:hAnsi="Times New Roman"/>
                <w:b/>
                <w:bCs/>
                <w:color w:val="000000"/>
                <w:sz w:val="16"/>
                <w:szCs w:val="16"/>
              </w:rPr>
              <w:t>Total Number of Shares</w:t>
            </w:r>
          </w:p>
          <w:p w14:paraId="7B671940" w14:textId="77777777" w:rsidR="0040300B" w:rsidRDefault="00BB2D44">
            <w:pPr>
              <w:jc w:val="center"/>
              <w:textAlignment w:val="bottom"/>
            </w:pPr>
            <w:r>
              <w:rPr>
                <w:rFonts w:ascii="Times New Roman" w:eastAsia="宋体" w:hAnsi="Times New Roman"/>
                <w:b/>
                <w:bCs/>
                <w:color w:val="000000"/>
                <w:sz w:val="16"/>
                <w:szCs w:val="16"/>
              </w:rPr>
              <w:t>Purchased as Part of</w:t>
            </w:r>
          </w:p>
          <w:p w14:paraId="7B671941" w14:textId="77777777" w:rsidR="0040300B" w:rsidRDefault="00BB2D44">
            <w:pPr>
              <w:jc w:val="center"/>
              <w:textAlignment w:val="bottom"/>
            </w:pPr>
            <w:r>
              <w:rPr>
                <w:rFonts w:ascii="Times New Roman" w:eastAsia="宋体" w:hAnsi="Times New Roman"/>
                <w:b/>
                <w:bCs/>
                <w:color w:val="000000"/>
                <w:sz w:val="16"/>
                <w:szCs w:val="16"/>
              </w:rPr>
              <w:t>Publicly Announced</w:t>
            </w:r>
          </w:p>
          <w:p w14:paraId="7B671942" w14:textId="77777777" w:rsidR="0040300B" w:rsidRDefault="00BB2D44">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tcPr>
          <w:p w14:paraId="7B67194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944" w14:textId="77777777" w:rsidR="0040300B" w:rsidRDefault="00BB2D44">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That May Yet Be Purchased</w:t>
            </w:r>
            <w:r>
              <w:rPr>
                <w:rFonts w:ascii="Times New Roman" w:eastAsia="宋体" w:hAnsi="Times New Roman"/>
                <w:b/>
                <w:bCs/>
                <w:color w:val="000000"/>
                <w:sz w:val="16"/>
                <w:szCs w:val="16"/>
              </w:rPr>
              <w:br/>
            </w:r>
            <w:r>
              <w:rPr>
                <w:rFonts w:ascii="Times New Roman" w:eastAsia="宋体" w:hAnsi="Times New Roman"/>
                <w:b/>
                <w:bCs/>
                <w:color w:val="000000"/>
                <w:sz w:val="16"/>
                <w:szCs w:val="16"/>
              </w:rPr>
              <w:t>Under the Plans or Programs</w:t>
            </w:r>
          </w:p>
        </w:tc>
      </w:tr>
      <w:tr w:rsidR="0040300B" w14:paraId="7B671954" w14:textId="77777777">
        <w:tc>
          <w:tcPr>
            <w:tcW w:w="0" w:type="auto"/>
            <w:gridSpan w:val="3"/>
            <w:shd w:val="clear" w:color="auto" w:fill="CCEEFF"/>
            <w:tcMar>
              <w:top w:w="40" w:type="dxa"/>
              <w:left w:w="20" w:type="dxa"/>
              <w:bottom w:w="40" w:type="dxa"/>
              <w:right w:w="20" w:type="dxa"/>
            </w:tcMar>
          </w:tcPr>
          <w:p w14:paraId="7B671946" w14:textId="77777777" w:rsidR="0040300B" w:rsidRDefault="00BB2D44">
            <w:pPr>
              <w:textAlignment w:val="top"/>
            </w:pPr>
            <w:r>
              <w:rPr>
                <w:rFonts w:ascii="Times New Roman" w:eastAsia="宋体" w:hAnsi="Times New Roman"/>
                <w:color w:val="000000"/>
                <w:sz w:val="20"/>
                <w:szCs w:val="20"/>
              </w:rPr>
              <w:t>January 24, 2021 to February 27,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947" w14:textId="77777777" w:rsidR="0040300B" w:rsidRDefault="00BB2D44">
            <w:pPr>
              <w:jc w:val="right"/>
              <w:textAlignment w:val="bottom"/>
            </w:pPr>
            <w:r>
              <w:rPr>
                <w:rFonts w:ascii="Times New Roman" w:eastAsia="宋体" w:hAnsi="Times New Roman"/>
                <w:color w:val="000000"/>
                <w:sz w:val="20"/>
                <w:szCs w:val="20"/>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948"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49"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94A"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94B" w14:textId="77777777" w:rsidR="0040300B" w:rsidRDefault="00BB2D44">
            <w:pPr>
              <w:jc w:val="right"/>
              <w:textAlignment w:val="bottom"/>
            </w:pPr>
            <w:r>
              <w:rPr>
                <w:rFonts w:ascii="Times New Roman" w:eastAsia="宋体" w:hAnsi="Times New Roman"/>
                <w:color w:val="000000"/>
                <w:sz w:val="20"/>
                <w:szCs w:val="20"/>
              </w:rPr>
              <w:t>46.22 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94C"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4D" w14:textId="77777777" w:rsidR="0040300B" w:rsidRDefault="0040300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B67194E" w14:textId="77777777" w:rsidR="0040300B" w:rsidRDefault="00BB2D44">
            <w:pPr>
              <w:jc w:val="right"/>
              <w:textAlignment w:val="bottom"/>
            </w:pPr>
            <w:r>
              <w:rPr>
                <w:rFonts w:ascii="Times New Roman" w:eastAsia="宋体" w:hAnsi="Times New Roman"/>
                <w:color w:val="000000"/>
                <w:sz w:val="20"/>
                <w:szCs w:val="20"/>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94F"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50" w14:textId="77777777" w:rsidR="0040300B" w:rsidRDefault="0040300B">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B671951" w14:textId="77777777" w:rsidR="0040300B" w:rsidRDefault="00BB2D4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B671952" w14:textId="77777777" w:rsidR="0040300B" w:rsidRDefault="00BB2D44">
            <w:pPr>
              <w:jc w:val="right"/>
              <w:textAlignment w:val="bottom"/>
            </w:pPr>
            <w:r>
              <w:rPr>
                <w:rFonts w:ascii="Times New Roman" w:eastAsia="宋体" w:hAnsi="Times New Roman"/>
                <w:color w:val="000000"/>
                <w:sz w:val="20"/>
                <w:szCs w:val="20"/>
              </w:rPr>
              <w:t>9,060 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B671953" w14:textId="77777777" w:rsidR="0040300B" w:rsidRDefault="0040300B">
            <w:pPr>
              <w:jc w:val="right"/>
              <w:rPr>
                <w:rFonts w:ascii="宋体"/>
              </w:rPr>
            </w:pPr>
          </w:p>
        </w:tc>
      </w:tr>
      <w:tr w:rsidR="0040300B" w14:paraId="7B671963" w14:textId="77777777">
        <w:tc>
          <w:tcPr>
            <w:tcW w:w="0" w:type="auto"/>
            <w:gridSpan w:val="3"/>
            <w:shd w:val="clear" w:color="auto" w:fill="FFFFFF"/>
            <w:tcMar>
              <w:top w:w="40" w:type="dxa"/>
              <w:left w:w="20" w:type="dxa"/>
              <w:bottom w:w="40" w:type="dxa"/>
              <w:right w:w="20" w:type="dxa"/>
            </w:tcMar>
          </w:tcPr>
          <w:p w14:paraId="7B671955" w14:textId="77777777" w:rsidR="0040300B" w:rsidRDefault="00BB2D44">
            <w:pPr>
              <w:textAlignment w:val="top"/>
            </w:pPr>
            <w:r>
              <w:rPr>
                <w:rFonts w:ascii="Times New Roman" w:eastAsia="宋体" w:hAnsi="Times New Roman"/>
                <w:color w:val="000000"/>
                <w:sz w:val="20"/>
                <w:szCs w:val="20"/>
              </w:rPr>
              <w:t>February 28, 2021 to March 27, 2021</w:t>
            </w:r>
          </w:p>
        </w:tc>
        <w:tc>
          <w:tcPr>
            <w:tcW w:w="0" w:type="auto"/>
            <w:gridSpan w:val="2"/>
            <w:shd w:val="clear" w:color="auto" w:fill="FFFFFF"/>
            <w:tcMar>
              <w:top w:w="40" w:type="dxa"/>
              <w:left w:w="20" w:type="dxa"/>
              <w:bottom w:w="40" w:type="dxa"/>
              <w:right w:w="0" w:type="dxa"/>
            </w:tcMar>
            <w:vAlign w:val="bottom"/>
          </w:tcPr>
          <w:p w14:paraId="7B671956"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71957"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58"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959"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95A" w14:textId="77777777" w:rsidR="0040300B" w:rsidRDefault="00BB2D44">
            <w:pPr>
              <w:jc w:val="right"/>
              <w:textAlignment w:val="bottom"/>
            </w:pPr>
            <w:r>
              <w:rPr>
                <w:rFonts w:ascii="Times New Roman" w:eastAsia="宋体" w:hAnsi="Times New Roman"/>
                <w:color w:val="000000"/>
                <w:sz w:val="20"/>
                <w:szCs w:val="20"/>
              </w:rPr>
              <w:t>48.37 </w:t>
            </w:r>
          </w:p>
        </w:tc>
        <w:tc>
          <w:tcPr>
            <w:tcW w:w="0" w:type="auto"/>
            <w:shd w:val="clear" w:color="auto" w:fill="FFFFFF"/>
            <w:tcMar>
              <w:top w:w="40" w:type="dxa"/>
              <w:left w:w="0" w:type="dxa"/>
              <w:bottom w:w="40" w:type="dxa"/>
              <w:right w:w="20" w:type="dxa"/>
            </w:tcMar>
            <w:vAlign w:val="bottom"/>
          </w:tcPr>
          <w:p w14:paraId="7B67195B"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5C" w14:textId="77777777" w:rsidR="0040300B" w:rsidRDefault="0040300B">
            <w:pPr>
              <w:rPr>
                <w:rFonts w:ascii="宋体"/>
              </w:rPr>
            </w:pPr>
          </w:p>
        </w:tc>
        <w:tc>
          <w:tcPr>
            <w:tcW w:w="0" w:type="auto"/>
            <w:gridSpan w:val="2"/>
            <w:shd w:val="clear" w:color="auto" w:fill="FFFFFF"/>
            <w:tcMar>
              <w:top w:w="40" w:type="dxa"/>
              <w:left w:w="20" w:type="dxa"/>
              <w:bottom w:w="40" w:type="dxa"/>
              <w:right w:w="0" w:type="dxa"/>
            </w:tcMar>
            <w:vAlign w:val="bottom"/>
          </w:tcPr>
          <w:p w14:paraId="7B67195D"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B67195E"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5F"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960"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961" w14:textId="77777777" w:rsidR="0040300B" w:rsidRDefault="00BB2D44">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7B671962" w14:textId="77777777" w:rsidR="0040300B" w:rsidRDefault="0040300B">
            <w:pPr>
              <w:jc w:val="right"/>
              <w:rPr>
                <w:rFonts w:ascii="宋体"/>
              </w:rPr>
            </w:pPr>
          </w:p>
        </w:tc>
      </w:tr>
      <w:tr w:rsidR="0040300B" w14:paraId="7B671972" w14:textId="77777777">
        <w:tc>
          <w:tcPr>
            <w:tcW w:w="0" w:type="auto"/>
            <w:gridSpan w:val="3"/>
            <w:shd w:val="clear" w:color="auto" w:fill="CCEEFF"/>
            <w:tcMar>
              <w:top w:w="40" w:type="dxa"/>
              <w:left w:w="20" w:type="dxa"/>
              <w:bottom w:w="40" w:type="dxa"/>
              <w:right w:w="20" w:type="dxa"/>
            </w:tcMar>
          </w:tcPr>
          <w:p w14:paraId="7B671964" w14:textId="77777777" w:rsidR="0040300B" w:rsidRDefault="00BB2D44">
            <w:pPr>
              <w:textAlignment w:val="top"/>
            </w:pPr>
            <w:r>
              <w:rPr>
                <w:rFonts w:ascii="Times New Roman" w:eastAsia="宋体" w:hAnsi="Times New Roman"/>
                <w:color w:val="000000"/>
                <w:sz w:val="20"/>
                <w:szCs w:val="20"/>
              </w:rPr>
              <w:t>March 28, 2021 to May 1, 2021</w:t>
            </w:r>
          </w:p>
        </w:tc>
        <w:tc>
          <w:tcPr>
            <w:tcW w:w="0" w:type="auto"/>
            <w:gridSpan w:val="2"/>
            <w:shd w:val="clear" w:color="auto" w:fill="CCEEFF"/>
            <w:tcMar>
              <w:top w:w="40" w:type="dxa"/>
              <w:left w:w="20" w:type="dxa"/>
              <w:bottom w:w="40" w:type="dxa"/>
              <w:right w:w="0" w:type="dxa"/>
            </w:tcMar>
            <w:vAlign w:val="bottom"/>
          </w:tcPr>
          <w:p w14:paraId="7B671965"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71966"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67"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968"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969" w14:textId="77777777" w:rsidR="0040300B" w:rsidRDefault="00BB2D44">
            <w:pPr>
              <w:jc w:val="right"/>
              <w:textAlignment w:val="bottom"/>
            </w:pPr>
            <w:r>
              <w:rPr>
                <w:rFonts w:ascii="Times New Roman" w:eastAsia="宋体" w:hAnsi="Times New Roman"/>
                <w:color w:val="000000"/>
                <w:sz w:val="20"/>
                <w:szCs w:val="20"/>
              </w:rPr>
              <w:t>51.81 </w:t>
            </w:r>
          </w:p>
        </w:tc>
        <w:tc>
          <w:tcPr>
            <w:tcW w:w="0" w:type="auto"/>
            <w:shd w:val="clear" w:color="auto" w:fill="CCEEFF"/>
            <w:tcMar>
              <w:top w:w="40" w:type="dxa"/>
              <w:left w:w="0" w:type="dxa"/>
              <w:bottom w:w="40" w:type="dxa"/>
              <w:right w:w="20" w:type="dxa"/>
            </w:tcMar>
            <w:vAlign w:val="bottom"/>
          </w:tcPr>
          <w:p w14:paraId="7B67196A"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6B" w14:textId="77777777" w:rsidR="0040300B" w:rsidRDefault="0040300B">
            <w:pPr>
              <w:rPr>
                <w:rFonts w:ascii="宋体"/>
              </w:rPr>
            </w:pPr>
          </w:p>
        </w:tc>
        <w:tc>
          <w:tcPr>
            <w:tcW w:w="0" w:type="auto"/>
            <w:gridSpan w:val="2"/>
            <w:shd w:val="clear" w:color="auto" w:fill="CCEEFF"/>
            <w:tcMar>
              <w:top w:w="40" w:type="dxa"/>
              <w:left w:w="20" w:type="dxa"/>
              <w:bottom w:w="40" w:type="dxa"/>
              <w:right w:w="0" w:type="dxa"/>
            </w:tcMar>
            <w:vAlign w:val="bottom"/>
          </w:tcPr>
          <w:p w14:paraId="7B67196C" w14:textId="77777777" w:rsidR="0040300B" w:rsidRDefault="00BB2D4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B67196D" w14:textId="77777777" w:rsidR="0040300B" w:rsidRDefault="0040300B">
            <w:pPr>
              <w:jc w:val="right"/>
              <w:rPr>
                <w:rFonts w:ascii="宋体"/>
              </w:rPr>
            </w:pPr>
          </w:p>
        </w:tc>
        <w:tc>
          <w:tcPr>
            <w:tcW w:w="0" w:type="auto"/>
            <w:gridSpan w:val="3"/>
            <w:shd w:val="clear" w:color="auto" w:fill="CCEEFF"/>
            <w:tcMar>
              <w:top w:w="0" w:type="dxa"/>
              <w:left w:w="20" w:type="dxa"/>
              <w:bottom w:w="0" w:type="dxa"/>
              <w:right w:w="20" w:type="dxa"/>
            </w:tcMar>
          </w:tcPr>
          <w:p w14:paraId="7B67196E" w14:textId="77777777" w:rsidR="0040300B" w:rsidRDefault="0040300B">
            <w:pPr>
              <w:rPr>
                <w:rFonts w:ascii="宋体"/>
              </w:rPr>
            </w:pPr>
          </w:p>
        </w:tc>
        <w:tc>
          <w:tcPr>
            <w:tcW w:w="0" w:type="auto"/>
            <w:shd w:val="clear" w:color="auto" w:fill="CCEEFF"/>
            <w:tcMar>
              <w:top w:w="40" w:type="dxa"/>
              <w:left w:w="20" w:type="dxa"/>
              <w:bottom w:w="40" w:type="dxa"/>
              <w:right w:w="0" w:type="dxa"/>
            </w:tcMar>
            <w:vAlign w:val="bottom"/>
          </w:tcPr>
          <w:p w14:paraId="7B67196F"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B671970" w14:textId="77777777" w:rsidR="0040300B" w:rsidRDefault="00BB2D44">
            <w:pPr>
              <w:jc w:val="right"/>
              <w:textAlignment w:val="bottom"/>
            </w:pPr>
            <w:r>
              <w:rPr>
                <w:rFonts w:ascii="Times New Roman" w:eastAsia="宋体" w:hAnsi="Times New Roman"/>
                <w:color w:val="000000"/>
                <w:sz w:val="20"/>
                <w:szCs w:val="20"/>
              </w:rPr>
              <w:t>8,730 </w:t>
            </w:r>
          </w:p>
        </w:tc>
        <w:tc>
          <w:tcPr>
            <w:tcW w:w="0" w:type="auto"/>
            <w:shd w:val="clear" w:color="auto" w:fill="CCEEFF"/>
            <w:tcMar>
              <w:top w:w="40" w:type="dxa"/>
              <w:left w:w="0" w:type="dxa"/>
              <w:bottom w:w="40" w:type="dxa"/>
              <w:right w:w="20" w:type="dxa"/>
            </w:tcMar>
            <w:vAlign w:val="bottom"/>
          </w:tcPr>
          <w:p w14:paraId="7B671971" w14:textId="77777777" w:rsidR="0040300B" w:rsidRDefault="0040300B">
            <w:pPr>
              <w:jc w:val="right"/>
              <w:rPr>
                <w:rFonts w:ascii="宋体"/>
              </w:rPr>
            </w:pPr>
          </w:p>
        </w:tc>
      </w:tr>
      <w:tr w:rsidR="0040300B" w14:paraId="7B67197F" w14:textId="77777777">
        <w:tc>
          <w:tcPr>
            <w:tcW w:w="0" w:type="auto"/>
            <w:gridSpan w:val="3"/>
            <w:shd w:val="clear" w:color="auto" w:fill="FFFFFF"/>
            <w:tcMar>
              <w:top w:w="40" w:type="dxa"/>
              <w:left w:w="20" w:type="dxa"/>
              <w:bottom w:w="40" w:type="dxa"/>
              <w:right w:w="20" w:type="dxa"/>
            </w:tcMar>
          </w:tcPr>
          <w:p w14:paraId="7B671973" w14:textId="77777777" w:rsidR="0040300B" w:rsidRDefault="00BB2D44">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71974"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71975"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76" w14:textId="77777777" w:rsidR="0040300B" w:rsidRDefault="0040300B">
            <w:pPr>
              <w:rPr>
                <w:rFonts w:ascii="宋体"/>
              </w:rPr>
            </w:pPr>
          </w:p>
        </w:tc>
        <w:tc>
          <w:tcPr>
            <w:tcW w:w="0" w:type="auto"/>
            <w:shd w:val="clear" w:color="auto" w:fill="FFFFFF"/>
            <w:tcMar>
              <w:top w:w="40" w:type="dxa"/>
              <w:left w:w="20" w:type="dxa"/>
              <w:bottom w:w="40" w:type="dxa"/>
              <w:right w:w="0" w:type="dxa"/>
            </w:tcMar>
            <w:vAlign w:val="bottom"/>
          </w:tcPr>
          <w:p w14:paraId="7B671977" w14:textId="77777777" w:rsidR="0040300B" w:rsidRDefault="00BB2D4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B671978" w14:textId="77777777" w:rsidR="0040300B" w:rsidRDefault="00BB2D44">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7B671979"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7A" w14:textId="77777777" w:rsidR="0040300B" w:rsidRDefault="0040300B">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B67197B" w14:textId="77777777" w:rsidR="0040300B" w:rsidRDefault="00BB2D4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B67197C" w14:textId="77777777" w:rsidR="0040300B" w:rsidRDefault="0040300B">
            <w:pPr>
              <w:jc w:val="right"/>
              <w:rPr>
                <w:rFonts w:ascii="宋体"/>
              </w:rPr>
            </w:pPr>
          </w:p>
        </w:tc>
        <w:tc>
          <w:tcPr>
            <w:tcW w:w="0" w:type="auto"/>
            <w:gridSpan w:val="3"/>
            <w:shd w:val="clear" w:color="auto" w:fill="FFFFFF"/>
            <w:tcMar>
              <w:top w:w="0" w:type="dxa"/>
              <w:left w:w="20" w:type="dxa"/>
              <w:bottom w:w="0" w:type="dxa"/>
              <w:right w:w="20" w:type="dxa"/>
            </w:tcMar>
          </w:tcPr>
          <w:p w14:paraId="7B67197D"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97E" w14:textId="77777777" w:rsidR="0040300B" w:rsidRDefault="0040300B">
            <w:pPr>
              <w:rPr>
                <w:rFonts w:ascii="宋体"/>
              </w:rPr>
            </w:pPr>
          </w:p>
        </w:tc>
      </w:tr>
    </w:tbl>
    <w:p w14:paraId="7B671980" w14:textId="77777777" w:rsidR="0040300B" w:rsidRDefault="00BB2D44">
      <w:pPr>
        <w:spacing w:before="120"/>
        <w:jc w:val="both"/>
      </w:pPr>
      <w:r>
        <w:rPr>
          <w:rFonts w:ascii="Times New Roman" w:eastAsia="宋体" w:hAnsi="Times New Roman"/>
          <w:color w:val="000000"/>
          <w:sz w:val="20"/>
          <w:szCs w:val="20"/>
        </w:rPr>
        <w:t>On September 13, 2001, we announced that our Board of Directors had authorized a stock repurchase program. The remaining authorized amount for stock repurchases under this program is approximately $8.7 billion with no termination dat</w:t>
      </w:r>
      <w:r>
        <w:rPr>
          <w:rFonts w:ascii="Times New Roman" w:eastAsia="宋体" w:hAnsi="Times New Roman"/>
          <w:color w:val="000000"/>
          <w:sz w:val="20"/>
          <w:szCs w:val="20"/>
        </w:rPr>
        <w:t>e.</w:t>
      </w:r>
    </w:p>
    <w:p w14:paraId="7B671981" w14:textId="77777777" w:rsidR="0040300B" w:rsidRDefault="00BB2D44">
      <w:pPr>
        <w:spacing w:before="120"/>
        <w:jc w:val="both"/>
      </w:pPr>
      <w:r>
        <w:rPr>
          <w:rFonts w:ascii="Times New Roman" w:eastAsia="宋体" w:hAnsi="Times New Roman"/>
          <w:color w:val="000000"/>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w:t>
      </w:r>
      <w:r>
        <w:rPr>
          <w:rFonts w:ascii="Times New Roman" w:eastAsia="宋体" w:hAnsi="Times New Roman"/>
          <w:color w:val="000000"/>
          <w:sz w:val="20"/>
          <w:szCs w:val="20"/>
        </w:rPr>
        <w:t>dered common stock repurchases under our stock repurchase program and therefore are not included in the preceding table, they are treated as common stock repurchases in our financial statements as they reduce the number of shares that would have been issue</w:t>
      </w:r>
      <w:r>
        <w:rPr>
          <w:rFonts w:ascii="Times New Roman" w:eastAsia="宋体" w:hAnsi="Times New Roman"/>
          <w:color w:val="000000"/>
          <w:sz w:val="20"/>
          <w:szCs w:val="20"/>
        </w:rPr>
        <w:t>d upon vesting.</w:t>
      </w:r>
    </w:p>
    <w:p w14:paraId="7B671982" w14:textId="77777777" w:rsidR="0040300B" w:rsidRDefault="0040300B">
      <w:pPr>
        <w:spacing w:before="120"/>
        <w:jc w:val="both"/>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40300B" w14:paraId="7B671989" w14:textId="77777777">
        <w:tc>
          <w:tcPr>
            <w:tcW w:w="20" w:type="dxa"/>
            <w:shd w:val="clear" w:color="auto" w:fill="auto"/>
          </w:tcPr>
          <w:p w14:paraId="7B671983" w14:textId="77777777" w:rsidR="0040300B" w:rsidRDefault="0040300B">
            <w:pPr>
              <w:rPr>
                <w:rFonts w:ascii="宋体"/>
              </w:rPr>
            </w:pPr>
          </w:p>
        </w:tc>
        <w:tc>
          <w:tcPr>
            <w:tcW w:w="1175" w:type="dxa"/>
            <w:shd w:val="clear" w:color="auto" w:fill="auto"/>
          </w:tcPr>
          <w:p w14:paraId="7B671984" w14:textId="77777777" w:rsidR="0040300B" w:rsidRDefault="0040300B">
            <w:pPr>
              <w:rPr>
                <w:rFonts w:ascii="宋体"/>
              </w:rPr>
            </w:pPr>
          </w:p>
        </w:tc>
        <w:tc>
          <w:tcPr>
            <w:tcW w:w="20" w:type="dxa"/>
            <w:shd w:val="clear" w:color="auto" w:fill="auto"/>
          </w:tcPr>
          <w:p w14:paraId="7B671985" w14:textId="77777777" w:rsidR="0040300B" w:rsidRDefault="0040300B">
            <w:pPr>
              <w:rPr>
                <w:rFonts w:ascii="宋体"/>
              </w:rPr>
            </w:pPr>
          </w:p>
        </w:tc>
        <w:tc>
          <w:tcPr>
            <w:tcW w:w="20" w:type="dxa"/>
            <w:shd w:val="clear" w:color="auto" w:fill="auto"/>
          </w:tcPr>
          <w:p w14:paraId="7B671986" w14:textId="77777777" w:rsidR="0040300B" w:rsidRDefault="0040300B">
            <w:pPr>
              <w:rPr>
                <w:rFonts w:ascii="宋体"/>
              </w:rPr>
            </w:pPr>
          </w:p>
        </w:tc>
        <w:tc>
          <w:tcPr>
            <w:tcW w:w="7760" w:type="dxa"/>
            <w:shd w:val="clear" w:color="auto" w:fill="auto"/>
          </w:tcPr>
          <w:p w14:paraId="7B671987" w14:textId="77777777" w:rsidR="0040300B" w:rsidRDefault="0040300B">
            <w:pPr>
              <w:rPr>
                <w:rFonts w:ascii="宋体"/>
              </w:rPr>
            </w:pPr>
          </w:p>
        </w:tc>
        <w:tc>
          <w:tcPr>
            <w:tcW w:w="20" w:type="dxa"/>
            <w:shd w:val="clear" w:color="auto" w:fill="auto"/>
          </w:tcPr>
          <w:p w14:paraId="7B671988" w14:textId="77777777" w:rsidR="0040300B" w:rsidRDefault="0040300B">
            <w:pPr>
              <w:rPr>
                <w:rFonts w:ascii="宋体"/>
              </w:rPr>
            </w:pPr>
          </w:p>
        </w:tc>
      </w:tr>
      <w:tr w:rsidR="0040300B" w14:paraId="7B67198C" w14:textId="77777777">
        <w:trPr>
          <w:trHeight w:val="280"/>
        </w:trPr>
        <w:tc>
          <w:tcPr>
            <w:tcW w:w="0" w:type="auto"/>
            <w:gridSpan w:val="3"/>
            <w:shd w:val="clear" w:color="auto" w:fill="auto"/>
            <w:tcMar>
              <w:top w:w="40" w:type="dxa"/>
              <w:left w:w="20" w:type="dxa"/>
              <w:bottom w:w="40" w:type="dxa"/>
              <w:right w:w="20" w:type="dxa"/>
            </w:tcMar>
          </w:tcPr>
          <w:p w14:paraId="7B67198A" w14:textId="77777777" w:rsidR="0040300B" w:rsidRDefault="00BB2D44">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7B67198B" w14:textId="77777777" w:rsidR="0040300B" w:rsidRDefault="00BB2D44">
            <w:pPr>
              <w:textAlignment w:val="top"/>
            </w:pPr>
            <w:r>
              <w:rPr>
                <w:rFonts w:ascii="Times New Roman" w:eastAsia="宋体" w:hAnsi="Times New Roman"/>
                <w:b/>
                <w:bCs/>
                <w:color w:val="000000"/>
                <w:sz w:val="20"/>
                <w:szCs w:val="20"/>
              </w:rPr>
              <w:t>Defaults Upon Senior Securities</w:t>
            </w:r>
          </w:p>
        </w:tc>
      </w:tr>
    </w:tbl>
    <w:p w14:paraId="7B67198D" w14:textId="77777777" w:rsidR="0040300B" w:rsidRDefault="00BB2D44">
      <w:pPr>
        <w:spacing w:before="60"/>
      </w:pPr>
      <w:r>
        <w:rPr>
          <w:rFonts w:ascii="Times New Roman" w:eastAsia="宋体" w:hAnsi="Times New Roman"/>
          <w:color w:val="000000"/>
          <w:sz w:val="20"/>
          <w:szCs w:val="20"/>
        </w:rPr>
        <w:t>None.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40300B" w14:paraId="7B671994" w14:textId="77777777">
        <w:tc>
          <w:tcPr>
            <w:tcW w:w="20" w:type="dxa"/>
            <w:shd w:val="clear" w:color="auto" w:fill="auto"/>
          </w:tcPr>
          <w:p w14:paraId="7B67198E" w14:textId="77777777" w:rsidR="0040300B" w:rsidRDefault="0040300B">
            <w:pPr>
              <w:rPr>
                <w:rFonts w:ascii="宋体"/>
              </w:rPr>
            </w:pPr>
          </w:p>
        </w:tc>
        <w:tc>
          <w:tcPr>
            <w:tcW w:w="1175" w:type="dxa"/>
            <w:shd w:val="clear" w:color="auto" w:fill="auto"/>
          </w:tcPr>
          <w:p w14:paraId="7B67198F" w14:textId="77777777" w:rsidR="0040300B" w:rsidRDefault="0040300B">
            <w:pPr>
              <w:rPr>
                <w:rFonts w:ascii="宋体"/>
              </w:rPr>
            </w:pPr>
          </w:p>
        </w:tc>
        <w:tc>
          <w:tcPr>
            <w:tcW w:w="20" w:type="dxa"/>
            <w:shd w:val="clear" w:color="auto" w:fill="auto"/>
          </w:tcPr>
          <w:p w14:paraId="7B671990" w14:textId="77777777" w:rsidR="0040300B" w:rsidRDefault="0040300B">
            <w:pPr>
              <w:rPr>
                <w:rFonts w:ascii="宋体"/>
              </w:rPr>
            </w:pPr>
          </w:p>
        </w:tc>
        <w:tc>
          <w:tcPr>
            <w:tcW w:w="20" w:type="dxa"/>
            <w:shd w:val="clear" w:color="auto" w:fill="auto"/>
          </w:tcPr>
          <w:p w14:paraId="7B671991" w14:textId="77777777" w:rsidR="0040300B" w:rsidRDefault="0040300B">
            <w:pPr>
              <w:rPr>
                <w:rFonts w:ascii="宋体"/>
              </w:rPr>
            </w:pPr>
          </w:p>
        </w:tc>
        <w:tc>
          <w:tcPr>
            <w:tcW w:w="7760" w:type="dxa"/>
            <w:shd w:val="clear" w:color="auto" w:fill="auto"/>
          </w:tcPr>
          <w:p w14:paraId="7B671992" w14:textId="77777777" w:rsidR="0040300B" w:rsidRDefault="0040300B">
            <w:pPr>
              <w:rPr>
                <w:rFonts w:ascii="宋体"/>
              </w:rPr>
            </w:pPr>
          </w:p>
        </w:tc>
        <w:tc>
          <w:tcPr>
            <w:tcW w:w="20" w:type="dxa"/>
            <w:shd w:val="clear" w:color="auto" w:fill="auto"/>
          </w:tcPr>
          <w:p w14:paraId="7B671993" w14:textId="77777777" w:rsidR="0040300B" w:rsidRDefault="0040300B">
            <w:pPr>
              <w:rPr>
                <w:rFonts w:ascii="宋体"/>
              </w:rPr>
            </w:pPr>
          </w:p>
        </w:tc>
      </w:tr>
      <w:tr w:rsidR="0040300B" w14:paraId="7B671997" w14:textId="77777777">
        <w:trPr>
          <w:trHeight w:val="240"/>
        </w:trPr>
        <w:tc>
          <w:tcPr>
            <w:tcW w:w="0" w:type="auto"/>
            <w:gridSpan w:val="3"/>
            <w:shd w:val="clear" w:color="auto" w:fill="auto"/>
            <w:tcMar>
              <w:top w:w="40" w:type="dxa"/>
              <w:left w:w="20" w:type="dxa"/>
              <w:bottom w:w="40" w:type="dxa"/>
              <w:right w:w="20" w:type="dxa"/>
            </w:tcMar>
          </w:tcPr>
          <w:p w14:paraId="7B671995" w14:textId="77777777" w:rsidR="0040300B" w:rsidRDefault="00BB2D44">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7B671996" w14:textId="77777777" w:rsidR="0040300B" w:rsidRDefault="00BB2D44">
            <w:pPr>
              <w:textAlignment w:val="top"/>
            </w:pPr>
            <w:r>
              <w:rPr>
                <w:rFonts w:ascii="Times New Roman" w:eastAsia="宋体" w:hAnsi="Times New Roman"/>
                <w:b/>
                <w:bCs/>
                <w:color w:val="000000"/>
                <w:sz w:val="20"/>
                <w:szCs w:val="20"/>
              </w:rPr>
              <w:t>Mine Safety Disclosures</w:t>
            </w:r>
          </w:p>
        </w:tc>
      </w:tr>
    </w:tbl>
    <w:p w14:paraId="7B671998" w14:textId="77777777" w:rsidR="0040300B" w:rsidRDefault="00BB2D44">
      <w:pPr>
        <w:spacing w:before="60"/>
      </w:pPr>
      <w:r>
        <w:rPr>
          <w:rFonts w:ascii="Times New Roman" w:eastAsia="宋体" w:hAnsi="Times New Roman"/>
          <w:color w:val="000000"/>
          <w:sz w:val="20"/>
          <w:szCs w:val="20"/>
        </w:rPr>
        <w:t>Not applicable.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40300B" w14:paraId="7B67199F" w14:textId="77777777">
        <w:tc>
          <w:tcPr>
            <w:tcW w:w="20" w:type="dxa"/>
            <w:shd w:val="clear" w:color="auto" w:fill="auto"/>
          </w:tcPr>
          <w:p w14:paraId="7B671999" w14:textId="77777777" w:rsidR="0040300B" w:rsidRDefault="0040300B">
            <w:pPr>
              <w:rPr>
                <w:rFonts w:ascii="宋体"/>
              </w:rPr>
            </w:pPr>
          </w:p>
        </w:tc>
        <w:tc>
          <w:tcPr>
            <w:tcW w:w="1175" w:type="dxa"/>
            <w:shd w:val="clear" w:color="auto" w:fill="auto"/>
          </w:tcPr>
          <w:p w14:paraId="7B67199A" w14:textId="77777777" w:rsidR="0040300B" w:rsidRDefault="0040300B">
            <w:pPr>
              <w:rPr>
                <w:rFonts w:ascii="宋体"/>
              </w:rPr>
            </w:pPr>
          </w:p>
        </w:tc>
        <w:tc>
          <w:tcPr>
            <w:tcW w:w="20" w:type="dxa"/>
            <w:shd w:val="clear" w:color="auto" w:fill="auto"/>
          </w:tcPr>
          <w:p w14:paraId="7B67199B" w14:textId="77777777" w:rsidR="0040300B" w:rsidRDefault="0040300B">
            <w:pPr>
              <w:rPr>
                <w:rFonts w:ascii="宋体"/>
              </w:rPr>
            </w:pPr>
          </w:p>
        </w:tc>
        <w:tc>
          <w:tcPr>
            <w:tcW w:w="20" w:type="dxa"/>
            <w:shd w:val="clear" w:color="auto" w:fill="auto"/>
          </w:tcPr>
          <w:p w14:paraId="7B67199C" w14:textId="77777777" w:rsidR="0040300B" w:rsidRDefault="0040300B">
            <w:pPr>
              <w:rPr>
                <w:rFonts w:ascii="宋体"/>
              </w:rPr>
            </w:pPr>
          </w:p>
        </w:tc>
        <w:tc>
          <w:tcPr>
            <w:tcW w:w="7760" w:type="dxa"/>
            <w:shd w:val="clear" w:color="auto" w:fill="auto"/>
          </w:tcPr>
          <w:p w14:paraId="7B67199D" w14:textId="77777777" w:rsidR="0040300B" w:rsidRDefault="0040300B">
            <w:pPr>
              <w:rPr>
                <w:rFonts w:ascii="宋体"/>
              </w:rPr>
            </w:pPr>
          </w:p>
        </w:tc>
        <w:tc>
          <w:tcPr>
            <w:tcW w:w="20" w:type="dxa"/>
            <w:shd w:val="clear" w:color="auto" w:fill="auto"/>
          </w:tcPr>
          <w:p w14:paraId="7B67199E" w14:textId="77777777" w:rsidR="0040300B" w:rsidRDefault="0040300B">
            <w:pPr>
              <w:rPr>
                <w:rFonts w:ascii="宋体"/>
              </w:rPr>
            </w:pPr>
          </w:p>
        </w:tc>
      </w:tr>
      <w:tr w:rsidR="0040300B" w14:paraId="7B6719A2" w14:textId="77777777">
        <w:trPr>
          <w:trHeight w:val="240"/>
        </w:trPr>
        <w:tc>
          <w:tcPr>
            <w:tcW w:w="0" w:type="auto"/>
            <w:gridSpan w:val="3"/>
            <w:shd w:val="clear" w:color="auto" w:fill="auto"/>
            <w:tcMar>
              <w:top w:w="40" w:type="dxa"/>
              <w:left w:w="20" w:type="dxa"/>
              <w:bottom w:w="40" w:type="dxa"/>
              <w:right w:w="20" w:type="dxa"/>
            </w:tcMar>
          </w:tcPr>
          <w:p w14:paraId="7B6719A0" w14:textId="77777777" w:rsidR="0040300B" w:rsidRDefault="00BB2D44">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7B6719A1" w14:textId="77777777" w:rsidR="0040300B" w:rsidRDefault="00BB2D44">
            <w:pPr>
              <w:textAlignment w:val="top"/>
            </w:pPr>
            <w:r>
              <w:rPr>
                <w:rFonts w:ascii="Times New Roman" w:eastAsia="宋体" w:hAnsi="Times New Roman"/>
                <w:b/>
                <w:bCs/>
                <w:color w:val="000000"/>
                <w:sz w:val="20"/>
                <w:szCs w:val="20"/>
              </w:rPr>
              <w:t>Other Information</w:t>
            </w:r>
          </w:p>
        </w:tc>
      </w:tr>
    </w:tbl>
    <w:p w14:paraId="7B6719A3" w14:textId="77777777" w:rsidR="0040300B" w:rsidRDefault="00BB2D44">
      <w:pPr>
        <w:spacing w:before="120"/>
      </w:pPr>
      <w:r>
        <w:rPr>
          <w:rFonts w:ascii="Times New Roman" w:eastAsia="宋体" w:hAnsi="Times New Roman"/>
          <w:color w:val="000000"/>
          <w:sz w:val="20"/>
          <w:szCs w:val="20"/>
        </w:rPr>
        <w:t xml:space="preserve">Required Disclosure Pursuant to Section 13(r) of the Securities Exchange Act of 1934, as </w:t>
      </w:r>
      <w:r>
        <w:rPr>
          <w:rFonts w:ascii="Times New Roman" w:eastAsia="宋体" w:hAnsi="Times New Roman"/>
          <w:color w:val="000000"/>
          <w:sz w:val="20"/>
          <w:szCs w:val="20"/>
        </w:rPr>
        <w:t>amended (the “Exchange Act”)</w:t>
      </w:r>
    </w:p>
    <w:p w14:paraId="7B6719A4" w14:textId="77777777" w:rsidR="0040300B" w:rsidRDefault="00BB2D44">
      <w:pPr>
        <w:spacing w:before="120"/>
        <w:jc w:val="both"/>
      </w:pPr>
      <w:r>
        <w:rPr>
          <w:rFonts w:ascii="Times New Roman" w:eastAsia="宋体" w:hAnsi="Times New Roman"/>
          <w:color w:val="000000"/>
          <w:sz w:val="20"/>
          <w:szCs w:val="20"/>
        </w:rPr>
        <w:t>Section 219 of the Iran Threat Reduction and Syria Human Rights Act of 2012 and Section 13(r) of the Exchange Act require an issuer to disclose certain information in its annual and quarterly reports, as applicable, if it or an</w:t>
      </w:r>
      <w:r>
        <w:rPr>
          <w:rFonts w:ascii="Times New Roman" w:eastAsia="宋体" w:hAnsi="Times New Roman"/>
          <w:color w:val="000000"/>
          <w:sz w:val="20"/>
          <w:szCs w:val="20"/>
        </w:rPr>
        <w:t>y of its affiliates knowingly engaged in certain activities, transactions or dealings with individuals or entities subject to specific U.S. economic sanctions during the reporting period. On March 2, 2021, the U.S. government designated the Russian Federal</w:t>
      </w:r>
      <w:r>
        <w:rPr>
          <w:rFonts w:ascii="Times New Roman" w:eastAsia="宋体" w:hAnsi="Times New Roman"/>
          <w:color w:val="000000"/>
          <w:sz w:val="20"/>
          <w:szCs w:val="20"/>
        </w:rPr>
        <w:t xml:space="preserve"> Security Service (the “FSB”) as a blocked party subject to such reporting requirements; however, on the same day, the U.S. Department of the Treasury’s Office of Foreign Assets Control issued General License No. 1B (the “OFAC General License”), which gene</w:t>
      </w:r>
      <w:r>
        <w:rPr>
          <w:rFonts w:ascii="Times New Roman" w:eastAsia="宋体" w:hAnsi="Times New Roman"/>
          <w:color w:val="000000"/>
          <w:sz w:val="20"/>
          <w:szCs w:val="20"/>
        </w:rPr>
        <w:t>rally authorizes U.S. companies to engage in certain transactions and dealings with the FSB necessary and ordinarily incident to requesting or obtaining licenses, permits, certifications or notifications issued or registered by the FSB for the importation,</w:t>
      </w:r>
      <w:r>
        <w:rPr>
          <w:rFonts w:ascii="Times New Roman" w:eastAsia="宋体" w:hAnsi="Times New Roman"/>
          <w:color w:val="000000"/>
          <w:sz w:val="20"/>
          <w:szCs w:val="20"/>
        </w:rPr>
        <w:t xml:space="preserve"> distribution or use of information technology products in Russia.</w:t>
      </w:r>
    </w:p>
    <w:p w14:paraId="7B6719A5" w14:textId="77777777" w:rsidR="0040300B" w:rsidRDefault="00BB2D44">
      <w:pPr>
        <w:spacing w:before="120"/>
        <w:jc w:val="both"/>
      </w:pPr>
      <w:r>
        <w:rPr>
          <w:rFonts w:ascii="Times New Roman" w:eastAsia="宋体" w:hAnsi="Times New Roman"/>
          <w:color w:val="000000"/>
          <w:sz w:val="20"/>
          <w:szCs w:val="20"/>
        </w:rPr>
        <w:t>During the quarter ended May 1, 2021, a subsidiary of Cisco filed notifications with, or applied for import licenses and permits from, the FSB as required pursuant to Russian encryption pro</w:t>
      </w:r>
      <w:r>
        <w:rPr>
          <w:rFonts w:ascii="Times New Roman" w:eastAsia="宋体" w:hAnsi="Times New Roman"/>
          <w:color w:val="000000"/>
          <w:sz w:val="20"/>
          <w:szCs w:val="20"/>
        </w:rPr>
        <w:t xml:space="preserve">duct import controls for the purpose of enabling Cisco or our subsidiaries to import and distribute certain products in Russia. Neither Cisco nor our subsidiaries generated any gross revenues or net profits directly from such approval activity and neither </w:t>
      </w:r>
      <w:r>
        <w:rPr>
          <w:rFonts w:ascii="Times New Roman" w:eastAsia="宋体" w:hAnsi="Times New Roman"/>
          <w:color w:val="000000"/>
          <w:sz w:val="20"/>
          <w:szCs w:val="20"/>
        </w:rPr>
        <w:t>Cisco nor our subsidiaries sell to the FSB. Cisco expects that we or our subsidiaries will continue to file notifications with and apply for import licenses and permits from the FSB as required for importation and distribution of our products in Russia, if</w:t>
      </w:r>
      <w:r>
        <w:rPr>
          <w:rFonts w:ascii="Times New Roman" w:eastAsia="宋体" w:hAnsi="Times New Roman"/>
          <w:color w:val="000000"/>
          <w:sz w:val="20"/>
          <w:szCs w:val="20"/>
        </w:rPr>
        <w:t xml:space="preserve"> and as permitted by applicable law, including the OFAC General License.</w:t>
      </w:r>
    </w:p>
    <w:p w14:paraId="7B6719A6" w14:textId="77777777" w:rsidR="0040300B" w:rsidRDefault="0040300B">
      <w:pPr>
        <w:spacing w:before="60"/>
        <w:jc w:val="both"/>
      </w:pPr>
    </w:p>
    <w:p w14:paraId="7B6719A7" w14:textId="77777777" w:rsidR="0040300B" w:rsidRDefault="0040300B">
      <w:pPr>
        <w:spacing w:before="60"/>
      </w:pPr>
    </w:p>
    <w:p w14:paraId="7B6719A8" w14:textId="77777777" w:rsidR="0040300B" w:rsidRDefault="00BB2D44">
      <w:pPr>
        <w:jc w:val="center"/>
      </w:pPr>
      <w:r>
        <w:rPr>
          <w:rFonts w:ascii="Times New Roman" w:eastAsia="宋体" w:hAnsi="Times New Roman"/>
          <w:color w:val="000000"/>
          <w:sz w:val="20"/>
          <w:szCs w:val="20"/>
        </w:rPr>
        <w:t>84</w:t>
      </w:r>
    </w:p>
    <w:p w14:paraId="7B6719A9" w14:textId="77777777" w:rsidR="0040300B" w:rsidRDefault="00BB2D44">
      <w:r>
        <w:pict w14:anchorId="7B671C64">
          <v:rect id="_x0000_i1108" style="width:415.3pt;height:1.5pt" o:hralign="center" o:hrstd="t" o:hr="t" fillcolor="#a0a0a0" stroked="f"/>
        </w:pict>
      </w:r>
    </w:p>
    <w:p w14:paraId="7B6719AA" w14:textId="77777777" w:rsidR="0040300B" w:rsidRDefault="00BB2D44">
      <w:hyperlink r:id="rId130" w:anchor="i52d5b40dbad7426a9806a2fd5167029f_7" w:history="1">
        <w:r>
          <w:rPr>
            <w:rStyle w:val="a5"/>
            <w:rFonts w:ascii="Times New Roman" w:eastAsia="宋体" w:hAnsi="Times New Roman"/>
            <w:sz w:val="18"/>
            <w:szCs w:val="18"/>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40300B" w14:paraId="7B6719B1" w14:textId="77777777">
        <w:tc>
          <w:tcPr>
            <w:tcW w:w="20" w:type="dxa"/>
            <w:shd w:val="clear" w:color="auto" w:fill="auto"/>
          </w:tcPr>
          <w:p w14:paraId="7B6719AB" w14:textId="77777777" w:rsidR="0040300B" w:rsidRDefault="0040300B">
            <w:pPr>
              <w:rPr>
                <w:rFonts w:ascii="宋体"/>
              </w:rPr>
            </w:pPr>
          </w:p>
        </w:tc>
        <w:tc>
          <w:tcPr>
            <w:tcW w:w="1205" w:type="dxa"/>
            <w:shd w:val="clear" w:color="auto" w:fill="auto"/>
          </w:tcPr>
          <w:p w14:paraId="7B6719AC" w14:textId="77777777" w:rsidR="0040300B" w:rsidRDefault="0040300B">
            <w:pPr>
              <w:rPr>
                <w:rFonts w:ascii="宋体"/>
              </w:rPr>
            </w:pPr>
          </w:p>
        </w:tc>
        <w:tc>
          <w:tcPr>
            <w:tcW w:w="20" w:type="dxa"/>
            <w:shd w:val="clear" w:color="auto" w:fill="auto"/>
          </w:tcPr>
          <w:p w14:paraId="7B6719AD" w14:textId="77777777" w:rsidR="0040300B" w:rsidRDefault="0040300B">
            <w:pPr>
              <w:rPr>
                <w:rFonts w:ascii="宋体"/>
              </w:rPr>
            </w:pPr>
          </w:p>
        </w:tc>
        <w:tc>
          <w:tcPr>
            <w:tcW w:w="20" w:type="dxa"/>
            <w:shd w:val="clear" w:color="auto" w:fill="auto"/>
          </w:tcPr>
          <w:p w14:paraId="7B6719AE" w14:textId="77777777" w:rsidR="0040300B" w:rsidRDefault="0040300B">
            <w:pPr>
              <w:rPr>
                <w:rFonts w:ascii="宋体"/>
              </w:rPr>
            </w:pPr>
          </w:p>
        </w:tc>
        <w:tc>
          <w:tcPr>
            <w:tcW w:w="8360" w:type="dxa"/>
            <w:shd w:val="clear" w:color="auto" w:fill="auto"/>
          </w:tcPr>
          <w:p w14:paraId="7B6719AF" w14:textId="77777777" w:rsidR="0040300B" w:rsidRDefault="0040300B">
            <w:pPr>
              <w:rPr>
                <w:rFonts w:ascii="宋体"/>
              </w:rPr>
            </w:pPr>
          </w:p>
        </w:tc>
        <w:tc>
          <w:tcPr>
            <w:tcW w:w="20" w:type="dxa"/>
            <w:shd w:val="clear" w:color="auto" w:fill="auto"/>
          </w:tcPr>
          <w:p w14:paraId="7B6719B0" w14:textId="77777777" w:rsidR="0040300B" w:rsidRDefault="0040300B">
            <w:pPr>
              <w:rPr>
                <w:rFonts w:ascii="宋体"/>
              </w:rPr>
            </w:pPr>
          </w:p>
        </w:tc>
      </w:tr>
      <w:tr w:rsidR="0040300B" w14:paraId="7B6719B4" w14:textId="77777777">
        <w:trPr>
          <w:trHeight w:val="280"/>
        </w:trPr>
        <w:tc>
          <w:tcPr>
            <w:tcW w:w="0" w:type="auto"/>
            <w:gridSpan w:val="3"/>
            <w:shd w:val="clear" w:color="auto" w:fill="auto"/>
            <w:tcMar>
              <w:top w:w="40" w:type="dxa"/>
              <w:left w:w="20" w:type="dxa"/>
              <w:bottom w:w="40" w:type="dxa"/>
              <w:right w:w="20" w:type="dxa"/>
            </w:tcMar>
          </w:tcPr>
          <w:p w14:paraId="7B6719B2" w14:textId="77777777" w:rsidR="0040300B" w:rsidRDefault="00BB2D44">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7B6719B3" w14:textId="77777777" w:rsidR="0040300B" w:rsidRDefault="00BB2D44">
            <w:pPr>
              <w:textAlignment w:val="top"/>
            </w:pPr>
            <w:r>
              <w:rPr>
                <w:rFonts w:ascii="Times New Roman" w:eastAsia="宋体" w:hAnsi="Times New Roman"/>
                <w:b/>
                <w:bCs/>
                <w:color w:val="000000"/>
                <w:sz w:val="20"/>
                <w:szCs w:val="20"/>
              </w:rPr>
              <w:t>Exhibits</w:t>
            </w:r>
          </w:p>
        </w:tc>
      </w:tr>
    </w:tbl>
    <w:p w14:paraId="7B6719B5" w14:textId="77777777" w:rsidR="0040300B" w:rsidRDefault="00BB2D44">
      <w:r>
        <w:rPr>
          <w:rFonts w:ascii="Times New Roman" w:eastAsia="宋体" w:hAnsi="Times New Roman"/>
          <w:color w:val="000000"/>
          <w:sz w:val="20"/>
          <w:szCs w:val="20"/>
        </w:rPr>
        <w:t xml:space="preserve">The following documents are filed as exhibits to this </w:t>
      </w:r>
      <w:r>
        <w:rPr>
          <w:rFonts w:ascii="Times New Roman" w:eastAsia="宋体" w:hAnsi="Times New Roman"/>
          <w:color w:val="000000"/>
          <w:sz w:val="20"/>
          <w:szCs w:val="20"/>
        </w:rPr>
        <w:t>report:</w:t>
      </w:r>
    </w:p>
    <w:tbl>
      <w:tblPr>
        <w:tblW w:w="5000" w:type="pct"/>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41"/>
        <w:gridCol w:w="2684"/>
        <w:gridCol w:w="39"/>
        <w:gridCol w:w="36"/>
        <w:gridCol w:w="36"/>
        <w:gridCol w:w="36"/>
        <w:gridCol w:w="94"/>
        <w:gridCol w:w="582"/>
        <w:gridCol w:w="37"/>
        <w:gridCol w:w="37"/>
        <w:gridCol w:w="37"/>
        <w:gridCol w:w="37"/>
        <w:gridCol w:w="98"/>
        <w:gridCol w:w="800"/>
        <w:gridCol w:w="38"/>
        <w:gridCol w:w="36"/>
        <w:gridCol w:w="36"/>
        <w:gridCol w:w="36"/>
        <w:gridCol w:w="91"/>
        <w:gridCol w:w="574"/>
        <w:gridCol w:w="36"/>
        <w:gridCol w:w="36"/>
        <w:gridCol w:w="36"/>
        <w:gridCol w:w="36"/>
        <w:gridCol w:w="80"/>
        <w:gridCol w:w="765"/>
        <w:gridCol w:w="38"/>
        <w:gridCol w:w="36"/>
        <w:gridCol w:w="36"/>
        <w:gridCol w:w="36"/>
        <w:gridCol w:w="83"/>
        <w:gridCol w:w="749"/>
        <w:gridCol w:w="36"/>
      </w:tblGrid>
      <w:tr w:rsidR="0040300B" w14:paraId="7B6719DD" w14:textId="77777777">
        <w:tc>
          <w:tcPr>
            <w:tcW w:w="50" w:type="pct"/>
            <w:shd w:val="clear" w:color="auto" w:fill="auto"/>
          </w:tcPr>
          <w:p w14:paraId="7B6719B6" w14:textId="77777777" w:rsidR="0040300B" w:rsidRDefault="0040300B">
            <w:pPr>
              <w:rPr>
                <w:rFonts w:ascii="宋体"/>
              </w:rPr>
            </w:pPr>
          </w:p>
        </w:tc>
        <w:tc>
          <w:tcPr>
            <w:tcW w:w="404" w:type="pct"/>
            <w:shd w:val="clear" w:color="auto" w:fill="auto"/>
          </w:tcPr>
          <w:p w14:paraId="7B6719B7" w14:textId="77777777" w:rsidR="0040300B" w:rsidRDefault="0040300B">
            <w:pPr>
              <w:rPr>
                <w:rFonts w:ascii="宋体"/>
              </w:rPr>
            </w:pPr>
          </w:p>
        </w:tc>
        <w:tc>
          <w:tcPr>
            <w:tcW w:w="5" w:type="pct"/>
            <w:shd w:val="clear" w:color="auto" w:fill="auto"/>
          </w:tcPr>
          <w:p w14:paraId="7B6719B8" w14:textId="77777777" w:rsidR="0040300B" w:rsidRDefault="0040300B">
            <w:pPr>
              <w:rPr>
                <w:rFonts w:ascii="宋体"/>
              </w:rPr>
            </w:pPr>
          </w:p>
        </w:tc>
        <w:tc>
          <w:tcPr>
            <w:tcW w:w="5" w:type="pct"/>
            <w:shd w:val="clear" w:color="auto" w:fill="auto"/>
          </w:tcPr>
          <w:p w14:paraId="7B6719B9" w14:textId="77777777" w:rsidR="0040300B" w:rsidRDefault="0040300B">
            <w:pPr>
              <w:rPr>
                <w:rFonts w:ascii="宋体"/>
              </w:rPr>
            </w:pPr>
          </w:p>
        </w:tc>
        <w:tc>
          <w:tcPr>
            <w:tcW w:w="25" w:type="pct"/>
            <w:shd w:val="clear" w:color="auto" w:fill="auto"/>
          </w:tcPr>
          <w:p w14:paraId="7B6719BA" w14:textId="77777777" w:rsidR="0040300B" w:rsidRDefault="0040300B">
            <w:pPr>
              <w:rPr>
                <w:rFonts w:ascii="宋体"/>
              </w:rPr>
            </w:pPr>
          </w:p>
        </w:tc>
        <w:tc>
          <w:tcPr>
            <w:tcW w:w="5" w:type="pct"/>
            <w:shd w:val="clear" w:color="auto" w:fill="auto"/>
          </w:tcPr>
          <w:p w14:paraId="7B6719BB" w14:textId="77777777" w:rsidR="0040300B" w:rsidRDefault="0040300B">
            <w:pPr>
              <w:rPr>
                <w:rFonts w:ascii="宋体"/>
              </w:rPr>
            </w:pPr>
          </w:p>
        </w:tc>
        <w:tc>
          <w:tcPr>
            <w:tcW w:w="50" w:type="pct"/>
            <w:shd w:val="clear" w:color="auto" w:fill="auto"/>
          </w:tcPr>
          <w:p w14:paraId="7B6719BC" w14:textId="77777777" w:rsidR="0040300B" w:rsidRDefault="0040300B">
            <w:pPr>
              <w:rPr>
                <w:rFonts w:ascii="宋体"/>
              </w:rPr>
            </w:pPr>
          </w:p>
        </w:tc>
        <w:tc>
          <w:tcPr>
            <w:tcW w:w="2013" w:type="pct"/>
            <w:shd w:val="clear" w:color="auto" w:fill="auto"/>
          </w:tcPr>
          <w:p w14:paraId="7B6719BD" w14:textId="77777777" w:rsidR="0040300B" w:rsidRDefault="0040300B">
            <w:pPr>
              <w:rPr>
                <w:rFonts w:ascii="宋体"/>
              </w:rPr>
            </w:pPr>
          </w:p>
        </w:tc>
        <w:tc>
          <w:tcPr>
            <w:tcW w:w="5" w:type="pct"/>
            <w:shd w:val="clear" w:color="auto" w:fill="auto"/>
          </w:tcPr>
          <w:p w14:paraId="7B6719BE" w14:textId="77777777" w:rsidR="0040300B" w:rsidRDefault="0040300B">
            <w:pPr>
              <w:rPr>
                <w:rFonts w:ascii="宋体"/>
              </w:rPr>
            </w:pPr>
          </w:p>
        </w:tc>
        <w:tc>
          <w:tcPr>
            <w:tcW w:w="5" w:type="pct"/>
            <w:shd w:val="clear" w:color="auto" w:fill="auto"/>
          </w:tcPr>
          <w:p w14:paraId="7B6719BF" w14:textId="77777777" w:rsidR="0040300B" w:rsidRDefault="0040300B">
            <w:pPr>
              <w:rPr>
                <w:rFonts w:ascii="宋体"/>
              </w:rPr>
            </w:pPr>
          </w:p>
        </w:tc>
        <w:tc>
          <w:tcPr>
            <w:tcW w:w="25" w:type="pct"/>
            <w:shd w:val="clear" w:color="auto" w:fill="auto"/>
          </w:tcPr>
          <w:p w14:paraId="7B6719C0" w14:textId="77777777" w:rsidR="0040300B" w:rsidRDefault="0040300B">
            <w:pPr>
              <w:rPr>
                <w:rFonts w:ascii="宋体"/>
              </w:rPr>
            </w:pPr>
          </w:p>
        </w:tc>
        <w:tc>
          <w:tcPr>
            <w:tcW w:w="5" w:type="pct"/>
            <w:shd w:val="clear" w:color="auto" w:fill="auto"/>
          </w:tcPr>
          <w:p w14:paraId="7B6719C1" w14:textId="77777777" w:rsidR="0040300B" w:rsidRDefault="0040300B">
            <w:pPr>
              <w:rPr>
                <w:rFonts w:ascii="宋体"/>
              </w:rPr>
            </w:pPr>
          </w:p>
        </w:tc>
        <w:tc>
          <w:tcPr>
            <w:tcW w:w="50" w:type="pct"/>
            <w:shd w:val="clear" w:color="auto" w:fill="auto"/>
          </w:tcPr>
          <w:p w14:paraId="7B6719C2" w14:textId="77777777" w:rsidR="0040300B" w:rsidRDefault="0040300B">
            <w:pPr>
              <w:rPr>
                <w:rFonts w:ascii="宋体"/>
              </w:rPr>
            </w:pPr>
          </w:p>
        </w:tc>
        <w:tc>
          <w:tcPr>
            <w:tcW w:w="311" w:type="pct"/>
            <w:shd w:val="clear" w:color="auto" w:fill="auto"/>
          </w:tcPr>
          <w:p w14:paraId="7B6719C3" w14:textId="77777777" w:rsidR="0040300B" w:rsidRDefault="0040300B">
            <w:pPr>
              <w:rPr>
                <w:rFonts w:ascii="宋体"/>
              </w:rPr>
            </w:pPr>
          </w:p>
        </w:tc>
        <w:tc>
          <w:tcPr>
            <w:tcW w:w="5" w:type="pct"/>
            <w:shd w:val="clear" w:color="auto" w:fill="auto"/>
          </w:tcPr>
          <w:p w14:paraId="7B6719C4" w14:textId="77777777" w:rsidR="0040300B" w:rsidRDefault="0040300B">
            <w:pPr>
              <w:rPr>
                <w:rFonts w:ascii="宋体"/>
              </w:rPr>
            </w:pPr>
          </w:p>
        </w:tc>
        <w:tc>
          <w:tcPr>
            <w:tcW w:w="5" w:type="pct"/>
            <w:shd w:val="clear" w:color="auto" w:fill="auto"/>
          </w:tcPr>
          <w:p w14:paraId="7B6719C5" w14:textId="77777777" w:rsidR="0040300B" w:rsidRDefault="0040300B">
            <w:pPr>
              <w:rPr>
                <w:rFonts w:ascii="宋体"/>
              </w:rPr>
            </w:pPr>
          </w:p>
        </w:tc>
        <w:tc>
          <w:tcPr>
            <w:tcW w:w="25" w:type="pct"/>
            <w:shd w:val="clear" w:color="auto" w:fill="auto"/>
          </w:tcPr>
          <w:p w14:paraId="7B6719C6" w14:textId="77777777" w:rsidR="0040300B" w:rsidRDefault="0040300B">
            <w:pPr>
              <w:rPr>
                <w:rFonts w:ascii="宋体"/>
              </w:rPr>
            </w:pPr>
          </w:p>
        </w:tc>
        <w:tc>
          <w:tcPr>
            <w:tcW w:w="5" w:type="pct"/>
            <w:shd w:val="clear" w:color="auto" w:fill="auto"/>
          </w:tcPr>
          <w:p w14:paraId="7B6719C7" w14:textId="77777777" w:rsidR="0040300B" w:rsidRDefault="0040300B">
            <w:pPr>
              <w:rPr>
                <w:rFonts w:ascii="宋体"/>
              </w:rPr>
            </w:pPr>
          </w:p>
        </w:tc>
        <w:tc>
          <w:tcPr>
            <w:tcW w:w="50" w:type="pct"/>
            <w:shd w:val="clear" w:color="auto" w:fill="auto"/>
          </w:tcPr>
          <w:p w14:paraId="7B6719C8" w14:textId="77777777" w:rsidR="0040300B" w:rsidRDefault="0040300B">
            <w:pPr>
              <w:rPr>
                <w:rFonts w:ascii="宋体"/>
              </w:rPr>
            </w:pPr>
          </w:p>
        </w:tc>
        <w:tc>
          <w:tcPr>
            <w:tcW w:w="411" w:type="pct"/>
            <w:shd w:val="clear" w:color="auto" w:fill="auto"/>
          </w:tcPr>
          <w:p w14:paraId="7B6719C9" w14:textId="77777777" w:rsidR="0040300B" w:rsidRDefault="0040300B">
            <w:pPr>
              <w:rPr>
                <w:rFonts w:ascii="宋体"/>
              </w:rPr>
            </w:pPr>
          </w:p>
        </w:tc>
        <w:tc>
          <w:tcPr>
            <w:tcW w:w="5" w:type="pct"/>
            <w:shd w:val="clear" w:color="auto" w:fill="auto"/>
          </w:tcPr>
          <w:p w14:paraId="7B6719CA" w14:textId="77777777" w:rsidR="0040300B" w:rsidRDefault="0040300B">
            <w:pPr>
              <w:rPr>
                <w:rFonts w:ascii="宋体"/>
              </w:rPr>
            </w:pPr>
          </w:p>
        </w:tc>
        <w:tc>
          <w:tcPr>
            <w:tcW w:w="5" w:type="pct"/>
            <w:shd w:val="clear" w:color="auto" w:fill="auto"/>
          </w:tcPr>
          <w:p w14:paraId="7B6719CB" w14:textId="77777777" w:rsidR="0040300B" w:rsidRDefault="0040300B">
            <w:pPr>
              <w:rPr>
                <w:rFonts w:ascii="宋体"/>
              </w:rPr>
            </w:pPr>
          </w:p>
        </w:tc>
        <w:tc>
          <w:tcPr>
            <w:tcW w:w="25" w:type="pct"/>
            <w:shd w:val="clear" w:color="auto" w:fill="auto"/>
          </w:tcPr>
          <w:p w14:paraId="7B6719CC" w14:textId="77777777" w:rsidR="0040300B" w:rsidRDefault="0040300B">
            <w:pPr>
              <w:rPr>
                <w:rFonts w:ascii="宋体"/>
              </w:rPr>
            </w:pPr>
          </w:p>
        </w:tc>
        <w:tc>
          <w:tcPr>
            <w:tcW w:w="5" w:type="pct"/>
            <w:shd w:val="clear" w:color="auto" w:fill="auto"/>
          </w:tcPr>
          <w:p w14:paraId="7B6719CD" w14:textId="77777777" w:rsidR="0040300B" w:rsidRDefault="0040300B">
            <w:pPr>
              <w:rPr>
                <w:rFonts w:ascii="宋体"/>
              </w:rPr>
            </w:pPr>
          </w:p>
        </w:tc>
        <w:tc>
          <w:tcPr>
            <w:tcW w:w="50" w:type="pct"/>
            <w:shd w:val="clear" w:color="auto" w:fill="auto"/>
          </w:tcPr>
          <w:p w14:paraId="7B6719CE" w14:textId="77777777" w:rsidR="0040300B" w:rsidRDefault="0040300B">
            <w:pPr>
              <w:rPr>
                <w:rFonts w:ascii="宋体"/>
              </w:rPr>
            </w:pPr>
          </w:p>
        </w:tc>
        <w:tc>
          <w:tcPr>
            <w:tcW w:w="318" w:type="pct"/>
            <w:shd w:val="clear" w:color="auto" w:fill="auto"/>
          </w:tcPr>
          <w:p w14:paraId="7B6719CF" w14:textId="77777777" w:rsidR="0040300B" w:rsidRDefault="0040300B">
            <w:pPr>
              <w:rPr>
                <w:rFonts w:ascii="宋体"/>
              </w:rPr>
            </w:pPr>
          </w:p>
        </w:tc>
        <w:tc>
          <w:tcPr>
            <w:tcW w:w="5" w:type="pct"/>
            <w:shd w:val="clear" w:color="auto" w:fill="auto"/>
          </w:tcPr>
          <w:p w14:paraId="7B6719D0" w14:textId="77777777" w:rsidR="0040300B" w:rsidRDefault="0040300B">
            <w:pPr>
              <w:rPr>
                <w:rFonts w:ascii="宋体"/>
              </w:rPr>
            </w:pPr>
          </w:p>
        </w:tc>
        <w:tc>
          <w:tcPr>
            <w:tcW w:w="5" w:type="pct"/>
            <w:shd w:val="clear" w:color="auto" w:fill="auto"/>
          </w:tcPr>
          <w:p w14:paraId="7B6719D1" w14:textId="77777777" w:rsidR="0040300B" w:rsidRDefault="0040300B">
            <w:pPr>
              <w:rPr>
                <w:rFonts w:ascii="宋体"/>
              </w:rPr>
            </w:pPr>
          </w:p>
        </w:tc>
        <w:tc>
          <w:tcPr>
            <w:tcW w:w="25" w:type="pct"/>
            <w:shd w:val="clear" w:color="auto" w:fill="auto"/>
          </w:tcPr>
          <w:p w14:paraId="7B6719D2" w14:textId="77777777" w:rsidR="0040300B" w:rsidRDefault="0040300B">
            <w:pPr>
              <w:rPr>
                <w:rFonts w:ascii="宋体"/>
              </w:rPr>
            </w:pPr>
          </w:p>
        </w:tc>
        <w:tc>
          <w:tcPr>
            <w:tcW w:w="5" w:type="pct"/>
            <w:shd w:val="clear" w:color="auto" w:fill="auto"/>
          </w:tcPr>
          <w:p w14:paraId="7B6719D3" w14:textId="77777777" w:rsidR="0040300B" w:rsidRDefault="0040300B">
            <w:pPr>
              <w:rPr>
                <w:rFonts w:ascii="宋体"/>
              </w:rPr>
            </w:pPr>
          </w:p>
        </w:tc>
        <w:tc>
          <w:tcPr>
            <w:tcW w:w="50" w:type="pct"/>
            <w:shd w:val="clear" w:color="auto" w:fill="auto"/>
          </w:tcPr>
          <w:p w14:paraId="7B6719D4" w14:textId="77777777" w:rsidR="0040300B" w:rsidRDefault="0040300B">
            <w:pPr>
              <w:rPr>
                <w:rFonts w:ascii="宋体"/>
              </w:rPr>
            </w:pPr>
          </w:p>
        </w:tc>
        <w:tc>
          <w:tcPr>
            <w:tcW w:w="483" w:type="pct"/>
            <w:shd w:val="clear" w:color="auto" w:fill="auto"/>
          </w:tcPr>
          <w:p w14:paraId="7B6719D5" w14:textId="77777777" w:rsidR="0040300B" w:rsidRDefault="0040300B">
            <w:pPr>
              <w:rPr>
                <w:rFonts w:ascii="宋体"/>
              </w:rPr>
            </w:pPr>
          </w:p>
        </w:tc>
        <w:tc>
          <w:tcPr>
            <w:tcW w:w="5" w:type="pct"/>
            <w:shd w:val="clear" w:color="auto" w:fill="auto"/>
          </w:tcPr>
          <w:p w14:paraId="7B6719D6" w14:textId="77777777" w:rsidR="0040300B" w:rsidRDefault="0040300B">
            <w:pPr>
              <w:rPr>
                <w:rFonts w:ascii="宋体"/>
              </w:rPr>
            </w:pPr>
          </w:p>
        </w:tc>
        <w:tc>
          <w:tcPr>
            <w:tcW w:w="5" w:type="pct"/>
            <w:shd w:val="clear" w:color="auto" w:fill="auto"/>
          </w:tcPr>
          <w:p w14:paraId="7B6719D7" w14:textId="77777777" w:rsidR="0040300B" w:rsidRDefault="0040300B">
            <w:pPr>
              <w:rPr>
                <w:rFonts w:ascii="宋体"/>
              </w:rPr>
            </w:pPr>
          </w:p>
        </w:tc>
        <w:tc>
          <w:tcPr>
            <w:tcW w:w="25" w:type="pct"/>
            <w:shd w:val="clear" w:color="auto" w:fill="auto"/>
          </w:tcPr>
          <w:p w14:paraId="7B6719D8" w14:textId="77777777" w:rsidR="0040300B" w:rsidRDefault="0040300B">
            <w:pPr>
              <w:rPr>
                <w:rFonts w:ascii="宋体"/>
              </w:rPr>
            </w:pPr>
          </w:p>
        </w:tc>
        <w:tc>
          <w:tcPr>
            <w:tcW w:w="5" w:type="pct"/>
            <w:shd w:val="clear" w:color="auto" w:fill="auto"/>
          </w:tcPr>
          <w:p w14:paraId="7B6719D9" w14:textId="77777777" w:rsidR="0040300B" w:rsidRDefault="0040300B">
            <w:pPr>
              <w:rPr>
                <w:rFonts w:ascii="宋体"/>
              </w:rPr>
            </w:pPr>
          </w:p>
        </w:tc>
        <w:tc>
          <w:tcPr>
            <w:tcW w:w="50" w:type="pct"/>
            <w:shd w:val="clear" w:color="auto" w:fill="auto"/>
          </w:tcPr>
          <w:p w14:paraId="7B6719DA" w14:textId="77777777" w:rsidR="0040300B" w:rsidRDefault="0040300B">
            <w:pPr>
              <w:rPr>
                <w:rFonts w:ascii="宋体"/>
              </w:rPr>
            </w:pPr>
          </w:p>
        </w:tc>
        <w:tc>
          <w:tcPr>
            <w:tcW w:w="455" w:type="pct"/>
            <w:shd w:val="clear" w:color="auto" w:fill="auto"/>
          </w:tcPr>
          <w:p w14:paraId="7B6719DB" w14:textId="77777777" w:rsidR="0040300B" w:rsidRDefault="0040300B">
            <w:pPr>
              <w:rPr>
                <w:rFonts w:ascii="宋体"/>
              </w:rPr>
            </w:pPr>
          </w:p>
        </w:tc>
        <w:tc>
          <w:tcPr>
            <w:tcW w:w="5" w:type="pct"/>
            <w:shd w:val="clear" w:color="auto" w:fill="auto"/>
          </w:tcPr>
          <w:p w14:paraId="7B6719DC" w14:textId="77777777" w:rsidR="0040300B" w:rsidRDefault="0040300B">
            <w:pPr>
              <w:rPr>
                <w:rFonts w:ascii="宋体"/>
              </w:rPr>
            </w:pPr>
          </w:p>
        </w:tc>
      </w:tr>
      <w:tr w:rsidR="0040300B" w14:paraId="7B6719E5" w14:textId="77777777">
        <w:tc>
          <w:tcPr>
            <w:tcW w:w="0" w:type="auto"/>
            <w:gridSpan w:val="3"/>
            <w:shd w:val="clear" w:color="auto" w:fill="auto"/>
            <w:tcMar>
              <w:top w:w="40" w:type="dxa"/>
              <w:left w:w="20" w:type="dxa"/>
              <w:bottom w:w="40" w:type="dxa"/>
              <w:right w:w="20" w:type="dxa"/>
            </w:tcMar>
          </w:tcPr>
          <w:p w14:paraId="7B6719DE" w14:textId="77777777" w:rsidR="0040300B" w:rsidRDefault="00BB2D44">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tcPr>
          <w:p w14:paraId="7B6719D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9E0" w14:textId="77777777" w:rsidR="0040300B" w:rsidRDefault="00BB2D44">
            <w:pP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tcPr>
          <w:p w14:paraId="7B6719E1"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19E2" w14:textId="77777777" w:rsidR="0040300B" w:rsidRDefault="00BB2D44">
            <w:pP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tcPr>
          <w:p w14:paraId="7B6719E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9E4" w14:textId="77777777" w:rsidR="0040300B" w:rsidRDefault="00BB2D44">
            <w:pPr>
              <w:spacing w:before="100" w:after="100"/>
              <w:jc w:val="center"/>
              <w:textAlignment w:val="bottom"/>
            </w:pPr>
            <w:r>
              <w:rPr>
                <w:rFonts w:ascii="Times New Roman" w:eastAsia="宋体" w:hAnsi="Times New Roman"/>
                <w:b/>
                <w:bCs/>
                <w:color w:val="000000"/>
                <w:sz w:val="20"/>
                <w:szCs w:val="20"/>
              </w:rPr>
              <w:t>Filed Herewith</w:t>
            </w:r>
          </w:p>
        </w:tc>
      </w:tr>
      <w:tr w:rsidR="0040300B" w14:paraId="7B6719F3" w14:textId="77777777">
        <w:tc>
          <w:tcPr>
            <w:tcW w:w="0" w:type="auto"/>
            <w:gridSpan w:val="3"/>
            <w:tcBorders>
              <w:top w:val="single" w:sz="8" w:space="0" w:color="000000"/>
            </w:tcBorders>
            <w:shd w:val="clear" w:color="auto" w:fill="auto"/>
            <w:tcMar>
              <w:top w:w="0" w:type="dxa"/>
              <w:left w:w="20" w:type="dxa"/>
              <w:bottom w:w="0" w:type="dxa"/>
              <w:right w:w="20" w:type="dxa"/>
            </w:tcMar>
          </w:tcPr>
          <w:p w14:paraId="7B6719E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9E7"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19E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9E9"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9EA" w14:textId="77777777" w:rsidR="0040300B" w:rsidRDefault="00BB2D44">
            <w:pP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7B6719EB"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9EC" w14:textId="77777777" w:rsidR="0040300B" w:rsidRDefault="00BB2D44">
            <w:pP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7B6719ED"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9EE" w14:textId="77777777" w:rsidR="0040300B" w:rsidRDefault="00BB2D44">
            <w:pP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tcPr>
          <w:p w14:paraId="7B6719EF"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9F0" w14:textId="77777777" w:rsidR="0040300B" w:rsidRDefault="00BB2D44">
            <w:pP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tcPr>
          <w:p w14:paraId="7B6719F1"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19F2" w14:textId="77777777" w:rsidR="0040300B" w:rsidRDefault="0040300B">
            <w:pPr>
              <w:rPr>
                <w:rFonts w:ascii="宋体"/>
              </w:rPr>
            </w:pPr>
          </w:p>
        </w:tc>
      </w:tr>
      <w:tr w:rsidR="0040300B" w14:paraId="7B671A01" w14:textId="77777777">
        <w:tc>
          <w:tcPr>
            <w:tcW w:w="0" w:type="auto"/>
            <w:gridSpan w:val="3"/>
            <w:shd w:val="clear" w:color="auto" w:fill="CCEEFF"/>
            <w:tcMar>
              <w:top w:w="40" w:type="dxa"/>
              <w:left w:w="20" w:type="dxa"/>
              <w:bottom w:w="40" w:type="dxa"/>
              <w:right w:w="20" w:type="dxa"/>
            </w:tcMar>
            <w:vAlign w:val="center"/>
          </w:tcPr>
          <w:p w14:paraId="7B6719F4" w14:textId="77777777" w:rsidR="0040300B" w:rsidRDefault="00BB2D44">
            <w:pPr>
              <w:textAlignment w:val="center"/>
            </w:pPr>
            <w:r>
              <w:rPr>
                <w:rFonts w:ascii="Times New Roman" w:eastAsia="宋体" w:hAnsi="Times New Roman"/>
                <w:color w:val="000000"/>
                <w:sz w:val="20"/>
                <w:szCs w:val="20"/>
              </w:rPr>
              <w:t>2.1</w:t>
            </w:r>
          </w:p>
        </w:tc>
        <w:tc>
          <w:tcPr>
            <w:tcW w:w="0" w:type="auto"/>
            <w:gridSpan w:val="3"/>
            <w:shd w:val="clear" w:color="auto" w:fill="CCEEFF"/>
            <w:tcMar>
              <w:top w:w="0" w:type="dxa"/>
              <w:left w:w="20" w:type="dxa"/>
              <w:bottom w:w="0" w:type="dxa"/>
              <w:right w:w="20" w:type="dxa"/>
            </w:tcMar>
          </w:tcPr>
          <w:p w14:paraId="7B6719F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9F6" w14:textId="77777777" w:rsidR="0040300B" w:rsidRDefault="00BB2D44">
            <w:pPr>
              <w:textAlignment w:val="center"/>
            </w:pPr>
            <w:hyperlink r:id="rId131" w:history="1">
              <w:r>
                <w:rPr>
                  <w:rStyle w:val="a5"/>
                  <w:rFonts w:ascii="Times New Roman" w:eastAsia="宋体" w:hAnsi="Times New Roman"/>
                  <w:sz w:val="20"/>
                  <w:szCs w:val="20"/>
                </w:rPr>
                <w:t>Agreement and Plan of Merger, dated as of January 25, 2021 by and between Cisco Systems, Inc., a California co</w:t>
              </w:r>
              <w:r>
                <w:rPr>
                  <w:rStyle w:val="a5"/>
                  <w:rFonts w:ascii="Times New Roman" w:eastAsia="宋体" w:hAnsi="Times New Roman"/>
                  <w:sz w:val="20"/>
                  <w:szCs w:val="20"/>
                </w:rPr>
                <w:t>rporation, and Cisco Systems (DE), Inc., a Delaware corporation</w:t>
              </w:r>
            </w:hyperlink>
          </w:p>
        </w:tc>
        <w:tc>
          <w:tcPr>
            <w:tcW w:w="0" w:type="auto"/>
            <w:gridSpan w:val="3"/>
            <w:shd w:val="clear" w:color="auto" w:fill="CCEEFF"/>
            <w:tcMar>
              <w:top w:w="0" w:type="dxa"/>
              <w:left w:w="20" w:type="dxa"/>
              <w:bottom w:w="0" w:type="dxa"/>
              <w:right w:w="20" w:type="dxa"/>
            </w:tcMar>
          </w:tcPr>
          <w:p w14:paraId="7B6719F7"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B6719F8" w14:textId="77777777" w:rsidR="0040300B" w:rsidRDefault="00BB2D44">
            <w:pPr>
              <w:jc w:val="center"/>
              <w:textAlignment w:val="center"/>
            </w:pPr>
            <w:r>
              <w:rPr>
                <w:rFonts w:ascii="Times New Roman" w:eastAsia="宋体" w:hAnsi="Times New Roman"/>
                <w:color w:val="000000"/>
                <w:sz w:val="20"/>
                <w:szCs w:val="20"/>
              </w:rPr>
              <w:t>8-K12B</w:t>
            </w:r>
          </w:p>
        </w:tc>
        <w:tc>
          <w:tcPr>
            <w:tcW w:w="0" w:type="auto"/>
            <w:gridSpan w:val="3"/>
            <w:shd w:val="clear" w:color="auto" w:fill="CCEEFF"/>
            <w:tcMar>
              <w:top w:w="0" w:type="dxa"/>
              <w:left w:w="20" w:type="dxa"/>
              <w:bottom w:w="0" w:type="dxa"/>
              <w:right w:w="20" w:type="dxa"/>
            </w:tcMar>
          </w:tcPr>
          <w:p w14:paraId="7B6719F9"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B6719FA"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9FB"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B6719FC" w14:textId="77777777" w:rsidR="0040300B" w:rsidRDefault="00BB2D44">
            <w:pPr>
              <w:jc w:val="center"/>
              <w:textAlignment w:val="center"/>
            </w:pPr>
            <w:r>
              <w:rPr>
                <w:rFonts w:ascii="Times New Roman" w:eastAsia="宋体" w:hAnsi="Times New Roman"/>
                <w:color w:val="000000"/>
                <w:sz w:val="20"/>
                <w:szCs w:val="20"/>
              </w:rPr>
              <w:t>2.1</w:t>
            </w:r>
          </w:p>
        </w:tc>
        <w:tc>
          <w:tcPr>
            <w:tcW w:w="0" w:type="auto"/>
            <w:gridSpan w:val="3"/>
            <w:shd w:val="clear" w:color="auto" w:fill="CCEEFF"/>
            <w:tcMar>
              <w:top w:w="0" w:type="dxa"/>
              <w:left w:w="20" w:type="dxa"/>
              <w:bottom w:w="0" w:type="dxa"/>
              <w:right w:w="20" w:type="dxa"/>
            </w:tcMar>
          </w:tcPr>
          <w:p w14:paraId="7B6719FD" w14:textId="77777777" w:rsidR="0040300B" w:rsidRDefault="0040300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B6719FE" w14:textId="77777777" w:rsidR="0040300B" w:rsidRDefault="00BB2D44">
            <w:pPr>
              <w:jc w:val="center"/>
              <w:textAlignment w:val="center"/>
            </w:pPr>
            <w:r>
              <w:rPr>
                <w:rFonts w:ascii="Times New Roman" w:eastAsia="宋体" w:hAnsi="Times New Roman"/>
                <w:color w:val="000000"/>
                <w:sz w:val="20"/>
                <w:szCs w:val="20"/>
              </w:rPr>
              <w:t>1/25/2021</w:t>
            </w:r>
          </w:p>
        </w:tc>
        <w:tc>
          <w:tcPr>
            <w:tcW w:w="0" w:type="auto"/>
            <w:gridSpan w:val="3"/>
            <w:shd w:val="clear" w:color="auto" w:fill="CCEEFF"/>
            <w:tcMar>
              <w:top w:w="0" w:type="dxa"/>
              <w:left w:w="20" w:type="dxa"/>
              <w:bottom w:w="0" w:type="dxa"/>
              <w:right w:w="20" w:type="dxa"/>
            </w:tcMar>
          </w:tcPr>
          <w:p w14:paraId="7B6719F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00" w14:textId="77777777" w:rsidR="0040300B" w:rsidRDefault="0040300B">
            <w:pPr>
              <w:rPr>
                <w:rFonts w:ascii="宋体"/>
              </w:rPr>
            </w:pPr>
          </w:p>
        </w:tc>
      </w:tr>
      <w:tr w:rsidR="0040300B" w14:paraId="7B671A0F" w14:textId="77777777">
        <w:tc>
          <w:tcPr>
            <w:tcW w:w="0" w:type="auto"/>
            <w:gridSpan w:val="3"/>
            <w:shd w:val="clear" w:color="auto" w:fill="auto"/>
            <w:tcMar>
              <w:top w:w="40" w:type="dxa"/>
              <w:left w:w="20" w:type="dxa"/>
              <w:bottom w:w="40" w:type="dxa"/>
              <w:right w:w="20" w:type="dxa"/>
            </w:tcMar>
            <w:vAlign w:val="center"/>
          </w:tcPr>
          <w:p w14:paraId="7B671A02" w14:textId="77777777" w:rsidR="0040300B" w:rsidRDefault="00BB2D44">
            <w:pPr>
              <w:textAlignment w:val="center"/>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tcPr>
          <w:p w14:paraId="7B671A0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04" w14:textId="77777777" w:rsidR="0040300B" w:rsidRDefault="00BB2D44">
            <w:pPr>
              <w:textAlignment w:val="center"/>
            </w:pPr>
            <w:hyperlink r:id="rId132" w:history="1">
              <w:r>
                <w:rPr>
                  <w:rStyle w:val="a5"/>
                  <w:rFonts w:ascii="Times New Roman" w:eastAsia="宋体" w:hAnsi="Times New Roman"/>
                  <w:sz w:val="20"/>
                  <w:szCs w:val="20"/>
                </w:rPr>
                <w:t>Amended and Restated Certificate of Incorporation of Cisco Systems, Inc., as currently in effect</w:t>
              </w:r>
            </w:hyperlink>
          </w:p>
        </w:tc>
        <w:tc>
          <w:tcPr>
            <w:tcW w:w="0" w:type="auto"/>
            <w:gridSpan w:val="3"/>
            <w:shd w:val="clear" w:color="auto" w:fill="auto"/>
            <w:tcMar>
              <w:top w:w="0" w:type="dxa"/>
              <w:left w:w="20" w:type="dxa"/>
              <w:bottom w:w="0" w:type="dxa"/>
              <w:right w:w="20" w:type="dxa"/>
            </w:tcMar>
          </w:tcPr>
          <w:p w14:paraId="7B671A0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06" w14:textId="77777777" w:rsidR="0040300B" w:rsidRDefault="00BB2D44">
            <w:pPr>
              <w:jc w:val="center"/>
              <w:textAlignment w:val="center"/>
            </w:pPr>
            <w:r>
              <w:rPr>
                <w:rFonts w:ascii="Times New Roman" w:eastAsia="宋体" w:hAnsi="Times New Roman"/>
                <w:color w:val="000000"/>
                <w:sz w:val="20"/>
                <w:szCs w:val="20"/>
              </w:rPr>
              <w:t>8-K12B</w:t>
            </w:r>
          </w:p>
        </w:tc>
        <w:tc>
          <w:tcPr>
            <w:tcW w:w="0" w:type="auto"/>
            <w:gridSpan w:val="3"/>
            <w:shd w:val="clear" w:color="auto" w:fill="auto"/>
            <w:tcMar>
              <w:top w:w="0" w:type="dxa"/>
              <w:left w:w="20" w:type="dxa"/>
              <w:bottom w:w="0" w:type="dxa"/>
              <w:right w:w="20" w:type="dxa"/>
            </w:tcMar>
          </w:tcPr>
          <w:p w14:paraId="7B671A0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08"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0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0A" w14:textId="77777777" w:rsidR="0040300B" w:rsidRDefault="00BB2D44">
            <w:pPr>
              <w:jc w:val="center"/>
              <w:textAlignment w:val="center"/>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tcPr>
          <w:p w14:paraId="7B671A0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0C" w14:textId="77777777" w:rsidR="0040300B" w:rsidRDefault="00BB2D44">
            <w:pPr>
              <w:jc w:val="center"/>
              <w:textAlignment w:val="center"/>
            </w:pPr>
            <w:r>
              <w:rPr>
                <w:rFonts w:ascii="Times New Roman" w:eastAsia="宋体" w:hAnsi="Times New Roman"/>
                <w:color w:val="000000"/>
                <w:sz w:val="20"/>
                <w:szCs w:val="20"/>
              </w:rPr>
              <w:t>1/25/2021</w:t>
            </w:r>
          </w:p>
        </w:tc>
        <w:tc>
          <w:tcPr>
            <w:tcW w:w="0" w:type="auto"/>
            <w:gridSpan w:val="3"/>
            <w:shd w:val="clear" w:color="auto" w:fill="auto"/>
            <w:tcMar>
              <w:top w:w="0" w:type="dxa"/>
              <w:left w:w="20" w:type="dxa"/>
              <w:bottom w:w="0" w:type="dxa"/>
              <w:right w:w="20" w:type="dxa"/>
            </w:tcMar>
          </w:tcPr>
          <w:p w14:paraId="7B671A0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0E" w14:textId="77777777" w:rsidR="0040300B" w:rsidRDefault="0040300B">
            <w:pPr>
              <w:rPr>
                <w:rFonts w:ascii="宋体"/>
              </w:rPr>
            </w:pPr>
          </w:p>
        </w:tc>
      </w:tr>
      <w:tr w:rsidR="0040300B" w14:paraId="7B671A1D" w14:textId="77777777">
        <w:tc>
          <w:tcPr>
            <w:tcW w:w="0" w:type="auto"/>
            <w:gridSpan w:val="3"/>
            <w:shd w:val="clear" w:color="auto" w:fill="CCEEFF"/>
            <w:tcMar>
              <w:top w:w="40" w:type="dxa"/>
              <w:left w:w="20" w:type="dxa"/>
              <w:bottom w:w="40" w:type="dxa"/>
              <w:right w:w="20" w:type="dxa"/>
            </w:tcMar>
            <w:vAlign w:val="center"/>
          </w:tcPr>
          <w:p w14:paraId="7B671A10" w14:textId="77777777" w:rsidR="0040300B" w:rsidRDefault="00BB2D44">
            <w:pPr>
              <w:textAlignment w:val="center"/>
            </w:pPr>
            <w:r>
              <w:rPr>
                <w:rFonts w:ascii="Times New Roman" w:eastAsia="宋体" w:hAnsi="Times New Roman"/>
                <w:color w:val="000000"/>
                <w:sz w:val="20"/>
                <w:szCs w:val="20"/>
              </w:rPr>
              <w:t>3.2</w:t>
            </w:r>
          </w:p>
        </w:tc>
        <w:tc>
          <w:tcPr>
            <w:tcW w:w="0" w:type="auto"/>
            <w:gridSpan w:val="3"/>
            <w:shd w:val="clear" w:color="auto" w:fill="CCEEFF"/>
            <w:tcMar>
              <w:top w:w="0" w:type="dxa"/>
              <w:left w:w="20" w:type="dxa"/>
              <w:bottom w:w="0" w:type="dxa"/>
              <w:right w:w="20" w:type="dxa"/>
            </w:tcMar>
          </w:tcPr>
          <w:p w14:paraId="7B671A11"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12" w14:textId="77777777" w:rsidR="0040300B" w:rsidRDefault="00BB2D44">
            <w:pPr>
              <w:textAlignment w:val="center"/>
            </w:pPr>
            <w:hyperlink r:id="rId133" w:history="1">
              <w:r>
                <w:rPr>
                  <w:rStyle w:val="a5"/>
                  <w:rFonts w:ascii="Times New Roman" w:eastAsia="宋体" w:hAnsi="Times New Roman"/>
                  <w:sz w:val="20"/>
                  <w:szCs w:val="20"/>
                </w:rPr>
                <w:t>Amended and Restated Bylaws of Cisco Systems, Inc., as currently in effect</w:t>
              </w:r>
            </w:hyperlink>
          </w:p>
        </w:tc>
        <w:tc>
          <w:tcPr>
            <w:tcW w:w="0" w:type="auto"/>
            <w:gridSpan w:val="3"/>
            <w:shd w:val="clear" w:color="auto" w:fill="CCEEFF"/>
            <w:tcMar>
              <w:top w:w="0" w:type="dxa"/>
              <w:left w:w="20" w:type="dxa"/>
              <w:bottom w:w="0" w:type="dxa"/>
              <w:right w:w="20" w:type="dxa"/>
            </w:tcMar>
          </w:tcPr>
          <w:p w14:paraId="7B671A13"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14" w14:textId="77777777" w:rsidR="0040300B" w:rsidRDefault="00BB2D44">
            <w:pPr>
              <w:jc w:val="center"/>
              <w:textAlignment w:val="center"/>
            </w:pPr>
            <w:r>
              <w:rPr>
                <w:rFonts w:ascii="Times New Roman" w:eastAsia="宋体" w:hAnsi="Times New Roman"/>
                <w:color w:val="000000"/>
                <w:sz w:val="20"/>
                <w:szCs w:val="20"/>
              </w:rPr>
              <w:t>8-K12B</w:t>
            </w:r>
          </w:p>
        </w:tc>
        <w:tc>
          <w:tcPr>
            <w:tcW w:w="0" w:type="auto"/>
            <w:gridSpan w:val="3"/>
            <w:shd w:val="clear" w:color="auto" w:fill="CCEEFF"/>
            <w:tcMar>
              <w:top w:w="0" w:type="dxa"/>
              <w:left w:w="20" w:type="dxa"/>
              <w:bottom w:w="0" w:type="dxa"/>
              <w:right w:w="20" w:type="dxa"/>
            </w:tcMar>
          </w:tcPr>
          <w:p w14:paraId="7B671A1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16"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A17"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18" w14:textId="77777777" w:rsidR="0040300B" w:rsidRDefault="00BB2D44">
            <w:pPr>
              <w:jc w:val="center"/>
              <w:textAlignment w:val="center"/>
            </w:pPr>
            <w:r>
              <w:rPr>
                <w:rFonts w:ascii="Times New Roman" w:eastAsia="宋体" w:hAnsi="Times New Roman"/>
                <w:color w:val="000000"/>
                <w:sz w:val="20"/>
                <w:szCs w:val="20"/>
              </w:rPr>
              <w:t>3.2</w:t>
            </w:r>
          </w:p>
        </w:tc>
        <w:tc>
          <w:tcPr>
            <w:tcW w:w="0" w:type="auto"/>
            <w:gridSpan w:val="3"/>
            <w:shd w:val="clear" w:color="auto" w:fill="CCEEFF"/>
            <w:tcMar>
              <w:top w:w="0" w:type="dxa"/>
              <w:left w:w="20" w:type="dxa"/>
              <w:bottom w:w="0" w:type="dxa"/>
              <w:right w:w="20" w:type="dxa"/>
            </w:tcMar>
          </w:tcPr>
          <w:p w14:paraId="7B671A1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1A" w14:textId="77777777" w:rsidR="0040300B" w:rsidRDefault="00BB2D44">
            <w:pPr>
              <w:jc w:val="center"/>
              <w:textAlignment w:val="center"/>
            </w:pPr>
            <w:r>
              <w:rPr>
                <w:rFonts w:ascii="Times New Roman" w:eastAsia="宋体" w:hAnsi="Times New Roman"/>
                <w:color w:val="000000"/>
                <w:sz w:val="20"/>
                <w:szCs w:val="20"/>
              </w:rPr>
              <w:t>1/25/2021</w:t>
            </w:r>
          </w:p>
        </w:tc>
        <w:tc>
          <w:tcPr>
            <w:tcW w:w="0" w:type="auto"/>
            <w:gridSpan w:val="3"/>
            <w:shd w:val="clear" w:color="auto" w:fill="CCEEFF"/>
            <w:tcMar>
              <w:top w:w="0" w:type="dxa"/>
              <w:left w:w="20" w:type="dxa"/>
              <w:bottom w:w="0" w:type="dxa"/>
              <w:right w:w="20" w:type="dxa"/>
            </w:tcMar>
          </w:tcPr>
          <w:p w14:paraId="7B671A1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1C" w14:textId="77777777" w:rsidR="0040300B" w:rsidRDefault="0040300B">
            <w:pPr>
              <w:rPr>
                <w:rFonts w:ascii="宋体"/>
              </w:rPr>
            </w:pPr>
          </w:p>
        </w:tc>
      </w:tr>
      <w:tr w:rsidR="0040300B" w14:paraId="7B671A2B" w14:textId="77777777">
        <w:tc>
          <w:tcPr>
            <w:tcW w:w="0" w:type="auto"/>
            <w:gridSpan w:val="3"/>
            <w:shd w:val="clear" w:color="auto" w:fill="auto"/>
            <w:tcMar>
              <w:top w:w="40" w:type="dxa"/>
              <w:left w:w="20" w:type="dxa"/>
              <w:bottom w:w="40" w:type="dxa"/>
              <w:right w:w="20" w:type="dxa"/>
            </w:tcMar>
            <w:vAlign w:val="center"/>
          </w:tcPr>
          <w:p w14:paraId="7B671A1E" w14:textId="77777777" w:rsidR="0040300B" w:rsidRDefault="00BB2D44">
            <w:pPr>
              <w:textAlignment w:val="center"/>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tcPr>
          <w:p w14:paraId="7B671A1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20" w14:textId="77777777" w:rsidR="0040300B" w:rsidRDefault="00BB2D44">
            <w:pPr>
              <w:textAlignment w:val="center"/>
            </w:pPr>
            <w:hyperlink r:id="rId134" w:history="1">
              <w:r>
                <w:rPr>
                  <w:rStyle w:val="a5"/>
                  <w:rFonts w:ascii="Times New Roman" w:eastAsia="宋体" w:hAnsi="Times New Roman"/>
                  <w:sz w:val="20"/>
                  <w:szCs w:val="20"/>
                </w:rPr>
                <w:t>First Supplemental Indenture, dated January 25, 2021 to the Indenture, dated February 17, 2009, between Cisco Systems, In</w:t>
              </w:r>
              <w:r>
                <w:rPr>
                  <w:rStyle w:val="a5"/>
                  <w:rFonts w:ascii="Times New Roman" w:eastAsia="宋体" w:hAnsi="Times New Roman"/>
                  <w:sz w:val="20"/>
                  <w:szCs w:val="20"/>
                </w:rPr>
                <w:t>c. and the Bank of New York Mellon Trust Company, N.A., as trustee</w:t>
              </w:r>
            </w:hyperlink>
          </w:p>
        </w:tc>
        <w:tc>
          <w:tcPr>
            <w:tcW w:w="0" w:type="auto"/>
            <w:gridSpan w:val="3"/>
            <w:shd w:val="clear" w:color="auto" w:fill="auto"/>
            <w:tcMar>
              <w:top w:w="0" w:type="dxa"/>
              <w:left w:w="20" w:type="dxa"/>
              <w:bottom w:w="0" w:type="dxa"/>
              <w:right w:w="20" w:type="dxa"/>
            </w:tcMar>
          </w:tcPr>
          <w:p w14:paraId="7B671A2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22"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tcPr>
          <w:p w14:paraId="7B671A2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24"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2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26" w14:textId="77777777" w:rsidR="0040300B" w:rsidRDefault="00BB2D44">
            <w:pPr>
              <w:jc w:val="center"/>
              <w:textAlignment w:val="center"/>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tcPr>
          <w:p w14:paraId="7B671A2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28"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auto"/>
            <w:tcMar>
              <w:top w:w="0" w:type="dxa"/>
              <w:left w:w="20" w:type="dxa"/>
              <w:bottom w:w="0" w:type="dxa"/>
              <w:right w:w="20" w:type="dxa"/>
            </w:tcMar>
          </w:tcPr>
          <w:p w14:paraId="7B671A2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2A" w14:textId="77777777" w:rsidR="0040300B" w:rsidRDefault="0040300B">
            <w:pPr>
              <w:rPr>
                <w:rFonts w:ascii="宋体"/>
              </w:rPr>
            </w:pPr>
          </w:p>
        </w:tc>
      </w:tr>
      <w:tr w:rsidR="0040300B" w14:paraId="7B671A39" w14:textId="77777777">
        <w:tc>
          <w:tcPr>
            <w:tcW w:w="0" w:type="auto"/>
            <w:gridSpan w:val="3"/>
            <w:shd w:val="clear" w:color="auto" w:fill="CCEEFF"/>
            <w:tcMar>
              <w:top w:w="40" w:type="dxa"/>
              <w:left w:w="20" w:type="dxa"/>
              <w:bottom w:w="40" w:type="dxa"/>
              <w:right w:w="20" w:type="dxa"/>
            </w:tcMar>
            <w:vAlign w:val="center"/>
          </w:tcPr>
          <w:p w14:paraId="7B671A2C" w14:textId="77777777" w:rsidR="0040300B" w:rsidRDefault="00BB2D44">
            <w:pPr>
              <w:textAlignment w:val="center"/>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tcPr>
          <w:p w14:paraId="7B671A2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2E" w14:textId="77777777" w:rsidR="0040300B" w:rsidRDefault="00BB2D44">
            <w:pPr>
              <w:textAlignment w:val="center"/>
            </w:pPr>
            <w:hyperlink r:id="rId135" w:history="1">
              <w:r>
                <w:rPr>
                  <w:rStyle w:val="a5"/>
                  <w:rFonts w:ascii="Times New Roman" w:eastAsia="宋体" w:hAnsi="Times New Roman"/>
                  <w:sz w:val="20"/>
                  <w:szCs w:val="20"/>
                </w:rPr>
                <w:t>First Supplemental Indenture, dated January 25, 2021 to the Indenture, dated November 17, 2009, between Cisco Systems, Inc. and the B</w:t>
              </w:r>
              <w:r>
                <w:rPr>
                  <w:rStyle w:val="a5"/>
                  <w:rFonts w:ascii="Times New Roman" w:eastAsia="宋体" w:hAnsi="Times New Roman"/>
                  <w:sz w:val="20"/>
                  <w:szCs w:val="20"/>
                </w:rPr>
                <w:t>ank of New York Mellon Trust Company, N.A., as trustee</w:t>
              </w:r>
            </w:hyperlink>
          </w:p>
        </w:tc>
        <w:tc>
          <w:tcPr>
            <w:tcW w:w="0" w:type="auto"/>
            <w:gridSpan w:val="3"/>
            <w:shd w:val="clear" w:color="auto" w:fill="CCEEFF"/>
            <w:tcMar>
              <w:top w:w="0" w:type="dxa"/>
              <w:left w:w="20" w:type="dxa"/>
              <w:bottom w:w="0" w:type="dxa"/>
              <w:right w:w="20" w:type="dxa"/>
            </w:tcMar>
          </w:tcPr>
          <w:p w14:paraId="7B671A2F"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30"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tcPr>
          <w:p w14:paraId="7B671A31"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32"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A33"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34" w14:textId="77777777" w:rsidR="0040300B" w:rsidRDefault="00BB2D44">
            <w:pPr>
              <w:jc w:val="center"/>
              <w:textAlignment w:val="center"/>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tcPr>
          <w:p w14:paraId="7B671A3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36"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CCEEFF"/>
            <w:tcMar>
              <w:top w:w="0" w:type="dxa"/>
              <w:left w:w="20" w:type="dxa"/>
              <w:bottom w:w="0" w:type="dxa"/>
              <w:right w:w="20" w:type="dxa"/>
            </w:tcMar>
          </w:tcPr>
          <w:p w14:paraId="7B671A3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38" w14:textId="77777777" w:rsidR="0040300B" w:rsidRDefault="0040300B">
            <w:pPr>
              <w:rPr>
                <w:rFonts w:ascii="宋体"/>
              </w:rPr>
            </w:pPr>
          </w:p>
        </w:tc>
      </w:tr>
      <w:tr w:rsidR="0040300B" w14:paraId="7B671A47" w14:textId="77777777">
        <w:tc>
          <w:tcPr>
            <w:tcW w:w="0" w:type="auto"/>
            <w:gridSpan w:val="3"/>
            <w:shd w:val="clear" w:color="auto" w:fill="auto"/>
            <w:tcMar>
              <w:top w:w="40" w:type="dxa"/>
              <w:left w:w="20" w:type="dxa"/>
              <w:bottom w:w="40" w:type="dxa"/>
              <w:right w:w="20" w:type="dxa"/>
            </w:tcMar>
            <w:vAlign w:val="center"/>
          </w:tcPr>
          <w:p w14:paraId="7B671A3A" w14:textId="77777777" w:rsidR="0040300B" w:rsidRDefault="00BB2D44">
            <w:pPr>
              <w:textAlignment w:val="center"/>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tcPr>
          <w:p w14:paraId="7B671A3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3C" w14:textId="77777777" w:rsidR="0040300B" w:rsidRDefault="00BB2D44">
            <w:pPr>
              <w:textAlignment w:val="center"/>
            </w:pPr>
            <w:hyperlink r:id="rId136" w:history="1">
              <w:r>
                <w:rPr>
                  <w:rStyle w:val="a5"/>
                  <w:rFonts w:ascii="Times New Roman" w:eastAsia="宋体" w:hAnsi="Times New Roman"/>
                  <w:sz w:val="20"/>
                  <w:szCs w:val="20"/>
                </w:rPr>
                <w:t>First Supplemental Indenture, dated January 25, 2021 to the Indenture, dated March 3, 2014, between the Company and The Bank of New Y</w:t>
              </w:r>
              <w:r>
                <w:rPr>
                  <w:rStyle w:val="a5"/>
                  <w:rFonts w:ascii="Times New Roman" w:eastAsia="宋体" w:hAnsi="Times New Roman"/>
                  <w:sz w:val="20"/>
                  <w:szCs w:val="20"/>
                </w:rPr>
                <w:t>ork Mellon Trust Company</w:t>
              </w:r>
            </w:hyperlink>
          </w:p>
        </w:tc>
        <w:tc>
          <w:tcPr>
            <w:tcW w:w="0" w:type="auto"/>
            <w:gridSpan w:val="3"/>
            <w:shd w:val="clear" w:color="auto" w:fill="auto"/>
            <w:tcMar>
              <w:top w:w="0" w:type="dxa"/>
              <w:left w:w="20" w:type="dxa"/>
              <w:bottom w:w="0" w:type="dxa"/>
              <w:right w:w="20" w:type="dxa"/>
            </w:tcMar>
          </w:tcPr>
          <w:p w14:paraId="7B671A3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3E"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tcPr>
          <w:p w14:paraId="7B671A3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40"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4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42" w14:textId="77777777" w:rsidR="0040300B" w:rsidRDefault="00BB2D44">
            <w:pPr>
              <w:jc w:val="center"/>
              <w:textAlignment w:val="center"/>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tcPr>
          <w:p w14:paraId="7B671A4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44"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auto"/>
            <w:tcMar>
              <w:top w:w="0" w:type="dxa"/>
              <w:left w:w="20" w:type="dxa"/>
              <w:bottom w:w="0" w:type="dxa"/>
              <w:right w:w="20" w:type="dxa"/>
            </w:tcMar>
          </w:tcPr>
          <w:p w14:paraId="7B671A4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46" w14:textId="77777777" w:rsidR="0040300B" w:rsidRDefault="0040300B">
            <w:pPr>
              <w:rPr>
                <w:rFonts w:ascii="宋体"/>
              </w:rPr>
            </w:pPr>
          </w:p>
        </w:tc>
      </w:tr>
      <w:tr w:rsidR="0040300B" w14:paraId="7B671A55" w14:textId="77777777">
        <w:tc>
          <w:tcPr>
            <w:tcW w:w="0" w:type="auto"/>
            <w:gridSpan w:val="3"/>
            <w:shd w:val="clear" w:color="auto" w:fill="CCEEFF"/>
            <w:tcMar>
              <w:top w:w="40" w:type="dxa"/>
              <w:left w:w="20" w:type="dxa"/>
              <w:bottom w:w="40" w:type="dxa"/>
              <w:right w:w="20" w:type="dxa"/>
            </w:tcMar>
            <w:vAlign w:val="center"/>
          </w:tcPr>
          <w:p w14:paraId="7B671A48" w14:textId="77777777" w:rsidR="0040300B" w:rsidRDefault="00BB2D44">
            <w:pPr>
              <w:textAlignment w:val="center"/>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tcPr>
          <w:p w14:paraId="7B671A4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4A" w14:textId="77777777" w:rsidR="0040300B" w:rsidRDefault="00BB2D44">
            <w:pPr>
              <w:textAlignment w:val="center"/>
            </w:pPr>
            <w:hyperlink r:id="rId137" w:history="1">
              <w:r>
                <w:rPr>
                  <w:rStyle w:val="a5"/>
                  <w:rFonts w:ascii="Times New Roman" w:eastAsia="宋体" w:hAnsi="Times New Roman"/>
                  <w:sz w:val="20"/>
                  <w:szCs w:val="20"/>
                </w:rPr>
                <w:t>Letter of Transfer – International Transfer by and between Cisco Systems, Inc. and Irving Tan</w:t>
              </w:r>
            </w:hyperlink>
          </w:p>
        </w:tc>
        <w:tc>
          <w:tcPr>
            <w:tcW w:w="0" w:type="auto"/>
            <w:gridSpan w:val="3"/>
            <w:shd w:val="clear" w:color="auto" w:fill="CCEEFF"/>
            <w:tcMar>
              <w:top w:w="0" w:type="dxa"/>
              <w:left w:w="20" w:type="dxa"/>
              <w:bottom w:w="0" w:type="dxa"/>
              <w:right w:w="20" w:type="dxa"/>
            </w:tcMar>
          </w:tcPr>
          <w:p w14:paraId="7B671A4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4C" w14:textId="77777777" w:rsidR="0040300B" w:rsidRDefault="00BB2D44">
            <w:pPr>
              <w:jc w:val="center"/>
              <w:textAlignment w:val="center"/>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tcPr>
          <w:p w14:paraId="7B671A4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4E"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A4F"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50" w14:textId="77777777" w:rsidR="0040300B" w:rsidRDefault="00BB2D44">
            <w:pPr>
              <w:jc w:val="center"/>
              <w:textAlignment w:val="center"/>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tcPr>
          <w:p w14:paraId="7B671A51"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52" w14:textId="77777777" w:rsidR="0040300B" w:rsidRDefault="00BB2D44">
            <w:pPr>
              <w:jc w:val="center"/>
              <w:textAlignment w:val="center"/>
            </w:pPr>
            <w:r>
              <w:rPr>
                <w:rFonts w:ascii="Times New Roman" w:eastAsia="宋体" w:hAnsi="Times New Roman"/>
                <w:color w:val="000000"/>
                <w:sz w:val="20"/>
                <w:szCs w:val="20"/>
              </w:rPr>
              <w:t>2/25/2021</w:t>
            </w:r>
          </w:p>
        </w:tc>
        <w:tc>
          <w:tcPr>
            <w:tcW w:w="0" w:type="auto"/>
            <w:gridSpan w:val="3"/>
            <w:shd w:val="clear" w:color="auto" w:fill="CCEEFF"/>
            <w:tcMar>
              <w:top w:w="0" w:type="dxa"/>
              <w:left w:w="20" w:type="dxa"/>
              <w:bottom w:w="0" w:type="dxa"/>
              <w:right w:w="20" w:type="dxa"/>
            </w:tcMar>
          </w:tcPr>
          <w:p w14:paraId="7B671A5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54" w14:textId="77777777" w:rsidR="0040300B" w:rsidRDefault="0040300B">
            <w:pPr>
              <w:rPr>
                <w:rFonts w:ascii="宋体"/>
              </w:rPr>
            </w:pPr>
          </w:p>
        </w:tc>
      </w:tr>
      <w:tr w:rsidR="0040300B" w14:paraId="7B671A63" w14:textId="77777777">
        <w:tc>
          <w:tcPr>
            <w:tcW w:w="0" w:type="auto"/>
            <w:gridSpan w:val="3"/>
            <w:shd w:val="clear" w:color="auto" w:fill="auto"/>
            <w:tcMar>
              <w:top w:w="40" w:type="dxa"/>
              <w:left w:w="20" w:type="dxa"/>
              <w:bottom w:w="40" w:type="dxa"/>
              <w:right w:w="20" w:type="dxa"/>
            </w:tcMar>
            <w:vAlign w:val="center"/>
          </w:tcPr>
          <w:p w14:paraId="7B671A56" w14:textId="77777777" w:rsidR="0040300B" w:rsidRDefault="00BB2D44">
            <w:pPr>
              <w:textAlignment w:val="center"/>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tcPr>
          <w:p w14:paraId="7B671A5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58" w14:textId="77777777" w:rsidR="0040300B" w:rsidRDefault="00BB2D44">
            <w:pPr>
              <w:textAlignment w:val="center"/>
            </w:pPr>
            <w:hyperlink r:id="rId138" w:history="1">
              <w:r>
                <w:rPr>
                  <w:rStyle w:val="a5"/>
                  <w:rFonts w:ascii="Times New Roman" w:eastAsia="宋体" w:hAnsi="Times New Roman"/>
                  <w:sz w:val="20"/>
                  <w:szCs w:val="20"/>
                </w:rPr>
                <w:t>First Amendment to Amended and Restated Credit Agreement and Consent, dated as of January 25, 2021, by and among Cisco Systems, Inc.</w:t>
              </w:r>
              <w:r>
                <w:rPr>
                  <w:rStyle w:val="a5"/>
                  <w:rFonts w:ascii="Times New Roman" w:eastAsia="宋体" w:hAnsi="Times New Roman"/>
                  <w:sz w:val="20"/>
                  <w:szCs w:val="20"/>
                </w:rPr>
                <w:t>, the Lenders party thereto, and Bank of America, N.A., as Administrative Agent</w:t>
              </w:r>
            </w:hyperlink>
          </w:p>
        </w:tc>
        <w:tc>
          <w:tcPr>
            <w:tcW w:w="0" w:type="auto"/>
            <w:gridSpan w:val="3"/>
            <w:shd w:val="clear" w:color="auto" w:fill="auto"/>
            <w:tcMar>
              <w:top w:w="0" w:type="dxa"/>
              <w:left w:w="20" w:type="dxa"/>
              <w:bottom w:w="0" w:type="dxa"/>
              <w:right w:w="20" w:type="dxa"/>
            </w:tcMar>
          </w:tcPr>
          <w:p w14:paraId="7B671A5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5A"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tcPr>
          <w:p w14:paraId="7B671A5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5C"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5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5E" w14:textId="77777777" w:rsidR="0040300B" w:rsidRDefault="00BB2D44">
            <w:pPr>
              <w:jc w:val="center"/>
              <w:textAlignment w:val="center"/>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tcPr>
          <w:p w14:paraId="7B671A5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60"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auto"/>
            <w:tcMar>
              <w:top w:w="0" w:type="dxa"/>
              <w:left w:w="20" w:type="dxa"/>
              <w:bottom w:w="0" w:type="dxa"/>
              <w:right w:w="20" w:type="dxa"/>
            </w:tcMar>
          </w:tcPr>
          <w:p w14:paraId="7B671A6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62" w14:textId="77777777" w:rsidR="0040300B" w:rsidRDefault="0040300B">
            <w:pPr>
              <w:rPr>
                <w:rFonts w:ascii="宋体"/>
              </w:rPr>
            </w:pPr>
          </w:p>
        </w:tc>
      </w:tr>
      <w:tr w:rsidR="0040300B" w14:paraId="7B671A71" w14:textId="77777777">
        <w:tc>
          <w:tcPr>
            <w:tcW w:w="0" w:type="auto"/>
            <w:gridSpan w:val="3"/>
            <w:shd w:val="clear" w:color="auto" w:fill="CCEEFF"/>
            <w:tcMar>
              <w:top w:w="40" w:type="dxa"/>
              <w:left w:w="20" w:type="dxa"/>
              <w:bottom w:w="40" w:type="dxa"/>
              <w:right w:w="20" w:type="dxa"/>
            </w:tcMar>
            <w:vAlign w:val="center"/>
          </w:tcPr>
          <w:p w14:paraId="7B671A64" w14:textId="77777777" w:rsidR="0040300B" w:rsidRDefault="00BB2D44">
            <w:pPr>
              <w:textAlignment w:val="center"/>
            </w:pPr>
            <w:r>
              <w:rPr>
                <w:rFonts w:ascii="Times New Roman" w:eastAsia="宋体" w:hAnsi="Times New Roman"/>
                <w:color w:val="000000"/>
                <w:sz w:val="20"/>
                <w:szCs w:val="20"/>
              </w:rPr>
              <w:t>10.3*</w:t>
            </w:r>
          </w:p>
        </w:tc>
        <w:tc>
          <w:tcPr>
            <w:tcW w:w="0" w:type="auto"/>
            <w:gridSpan w:val="3"/>
            <w:shd w:val="clear" w:color="auto" w:fill="CCEEFF"/>
            <w:tcMar>
              <w:top w:w="0" w:type="dxa"/>
              <w:left w:w="20" w:type="dxa"/>
              <w:bottom w:w="0" w:type="dxa"/>
              <w:right w:w="20" w:type="dxa"/>
            </w:tcMar>
          </w:tcPr>
          <w:p w14:paraId="7B671A6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66" w14:textId="77777777" w:rsidR="0040300B" w:rsidRDefault="00BB2D44">
            <w:pPr>
              <w:textAlignment w:val="center"/>
            </w:pPr>
            <w:hyperlink r:id="rId139" w:history="1">
              <w:r>
                <w:rPr>
                  <w:rStyle w:val="a5"/>
                  <w:rFonts w:ascii="Times New Roman" w:eastAsia="宋体" w:hAnsi="Times New Roman"/>
                  <w:sz w:val="20"/>
                  <w:szCs w:val="20"/>
                </w:rPr>
                <w:t>Form of Indemnity Agreement</w:t>
              </w:r>
            </w:hyperlink>
          </w:p>
        </w:tc>
        <w:tc>
          <w:tcPr>
            <w:tcW w:w="0" w:type="auto"/>
            <w:gridSpan w:val="3"/>
            <w:shd w:val="clear" w:color="auto" w:fill="CCEEFF"/>
            <w:tcMar>
              <w:top w:w="0" w:type="dxa"/>
              <w:left w:w="20" w:type="dxa"/>
              <w:bottom w:w="0" w:type="dxa"/>
              <w:right w:w="20" w:type="dxa"/>
            </w:tcMar>
          </w:tcPr>
          <w:p w14:paraId="7B671A67"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68" w14:textId="77777777" w:rsidR="0040300B" w:rsidRDefault="00BB2D44">
            <w:pPr>
              <w:jc w:val="center"/>
              <w:textAlignment w:val="center"/>
            </w:pPr>
            <w:r>
              <w:rPr>
                <w:rFonts w:ascii="Times New Roman" w:eastAsia="宋体" w:hAnsi="Times New Roman"/>
                <w:color w:val="000000"/>
                <w:sz w:val="20"/>
                <w:szCs w:val="20"/>
              </w:rPr>
              <w:t>8-K12B</w:t>
            </w:r>
          </w:p>
        </w:tc>
        <w:tc>
          <w:tcPr>
            <w:tcW w:w="0" w:type="auto"/>
            <w:gridSpan w:val="3"/>
            <w:shd w:val="clear" w:color="auto" w:fill="CCEEFF"/>
            <w:tcMar>
              <w:top w:w="0" w:type="dxa"/>
              <w:left w:w="20" w:type="dxa"/>
              <w:bottom w:w="0" w:type="dxa"/>
              <w:right w:w="20" w:type="dxa"/>
            </w:tcMar>
          </w:tcPr>
          <w:p w14:paraId="7B671A6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6A"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A6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6C" w14:textId="77777777" w:rsidR="0040300B" w:rsidRDefault="00BB2D44">
            <w:pPr>
              <w:jc w:val="center"/>
              <w:textAlignment w:val="center"/>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tcPr>
          <w:p w14:paraId="7B671A6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6E" w14:textId="77777777" w:rsidR="0040300B" w:rsidRDefault="00BB2D44">
            <w:pPr>
              <w:jc w:val="center"/>
              <w:textAlignment w:val="center"/>
            </w:pPr>
            <w:r>
              <w:rPr>
                <w:rFonts w:ascii="Times New Roman" w:eastAsia="宋体" w:hAnsi="Times New Roman"/>
                <w:color w:val="000000"/>
                <w:sz w:val="20"/>
                <w:szCs w:val="20"/>
              </w:rPr>
              <w:t>1/25/2021</w:t>
            </w:r>
          </w:p>
        </w:tc>
        <w:tc>
          <w:tcPr>
            <w:tcW w:w="0" w:type="auto"/>
            <w:gridSpan w:val="3"/>
            <w:shd w:val="clear" w:color="auto" w:fill="CCEEFF"/>
            <w:tcMar>
              <w:top w:w="0" w:type="dxa"/>
              <w:left w:w="20" w:type="dxa"/>
              <w:bottom w:w="0" w:type="dxa"/>
              <w:right w:w="20" w:type="dxa"/>
            </w:tcMar>
          </w:tcPr>
          <w:p w14:paraId="7B671A6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70" w14:textId="77777777" w:rsidR="0040300B" w:rsidRDefault="0040300B">
            <w:pPr>
              <w:rPr>
                <w:rFonts w:ascii="宋体"/>
              </w:rPr>
            </w:pPr>
          </w:p>
        </w:tc>
      </w:tr>
      <w:tr w:rsidR="0040300B" w14:paraId="7B671A7F" w14:textId="77777777">
        <w:tc>
          <w:tcPr>
            <w:tcW w:w="0" w:type="auto"/>
            <w:gridSpan w:val="3"/>
            <w:shd w:val="clear" w:color="auto" w:fill="auto"/>
            <w:tcMar>
              <w:top w:w="40" w:type="dxa"/>
              <w:left w:w="20" w:type="dxa"/>
              <w:bottom w:w="40" w:type="dxa"/>
              <w:right w:w="20" w:type="dxa"/>
            </w:tcMar>
            <w:vAlign w:val="center"/>
          </w:tcPr>
          <w:p w14:paraId="7B671A72" w14:textId="77777777" w:rsidR="0040300B" w:rsidRDefault="00BB2D44">
            <w:pPr>
              <w:textAlignment w:val="center"/>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tcPr>
          <w:p w14:paraId="7B671A7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74" w14:textId="77777777" w:rsidR="0040300B" w:rsidRDefault="00BB2D44">
            <w:pPr>
              <w:textAlignment w:val="center"/>
            </w:pPr>
            <w:hyperlink r:id="rId140" w:history="1">
              <w:r>
                <w:rPr>
                  <w:rStyle w:val="a5"/>
                  <w:rFonts w:ascii="Times New Roman" w:eastAsia="宋体" w:hAnsi="Times New Roman"/>
                  <w:sz w:val="20"/>
                  <w:szCs w:val="20"/>
                </w:rPr>
                <w:t>Cisco Systems, Inc. 2005 Stock Incentive Plan (including related form agreements)</w:t>
              </w:r>
            </w:hyperlink>
          </w:p>
        </w:tc>
        <w:tc>
          <w:tcPr>
            <w:tcW w:w="0" w:type="auto"/>
            <w:gridSpan w:val="3"/>
            <w:shd w:val="clear" w:color="auto" w:fill="auto"/>
            <w:tcMar>
              <w:top w:w="0" w:type="dxa"/>
              <w:left w:w="20" w:type="dxa"/>
              <w:bottom w:w="0" w:type="dxa"/>
              <w:right w:w="20" w:type="dxa"/>
            </w:tcMar>
          </w:tcPr>
          <w:p w14:paraId="7B671A7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76"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tcPr>
          <w:p w14:paraId="7B671A7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78"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7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7A" w14:textId="77777777" w:rsidR="0040300B" w:rsidRDefault="00BB2D44">
            <w:pPr>
              <w:jc w:val="center"/>
              <w:textAlignment w:val="center"/>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tcPr>
          <w:p w14:paraId="7B671A7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7C"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auto"/>
            <w:tcMar>
              <w:top w:w="0" w:type="dxa"/>
              <w:left w:w="20" w:type="dxa"/>
              <w:bottom w:w="0" w:type="dxa"/>
              <w:right w:w="20" w:type="dxa"/>
            </w:tcMar>
          </w:tcPr>
          <w:p w14:paraId="7B671A7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7E" w14:textId="77777777" w:rsidR="0040300B" w:rsidRDefault="0040300B">
            <w:pPr>
              <w:rPr>
                <w:rFonts w:ascii="宋体"/>
              </w:rPr>
            </w:pPr>
          </w:p>
        </w:tc>
      </w:tr>
      <w:tr w:rsidR="0040300B" w14:paraId="7B671A8D" w14:textId="77777777">
        <w:tc>
          <w:tcPr>
            <w:tcW w:w="0" w:type="auto"/>
            <w:gridSpan w:val="3"/>
            <w:shd w:val="clear" w:color="auto" w:fill="CCEEFF"/>
            <w:tcMar>
              <w:top w:w="40" w:type="dxa"/>
              <w:left w:w="20" w:type="dxa"/>
              <w:bottom w:w="40" w:type="dxa"/>
              <w:right w:w="20" w:type="dxa"/>
            </w:tcMar>
            <w:vAlign w:val="center"/>
          </w:tcPr>
          <w:p w14:paraId="7B671A80" w14:textId="77777777" w:rsidR="0040300B" w:rsidRDefault="00BB2D44">
            <w:pPr>
              <w:textAlignment w:val="center"/>
            </w:pPr>
            <w:r>
              <w:rPr>
                <w:rFonts w:ascii="Times New Roman" w:eastAsia="宋体" w:hAnsi="Times New Roman"/>
                <w:color w:val="000000"/>
                <w:sz w:val="20"/>
                <w:szCs w:val="20"/>
              </w:rPr>
              <w:t>10.5*</w:t>
            </w:r>
          </w:p>
        </w:tc>
        <w:tc>
          <w:tcPr>
            <w:tcW w:w="0" w:type="auto"/>
            <w:gridSpan w:val="3"/>
            <w:shd w:val="clear" w:color="auto" w:fill="CCEEFF"/>
            <w:tcMar>
              <w:top w:w="0" w:type="dxa"/>
              <w:left w:w="20" w:type="dxa"/>
              <w:bottom w:w="0" w:type="dxa"/>
              <w:right w:w="20" w:type="dxa"/>
            </w:tcMar>
          </w:tcPr>
          <w:p w14:paraId="7B671A81"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82" w14:textId="77777777" w:rsidR="0040300B" w:rsidRDefault="00BB2D44">
            <w:pPr>
              <w:textAlignment w:val="center"/>
            </w:pPr>
            <w:hyperlink r:id="rId141" w:history="1">
              <w:r>
                <w:rPr>
                  <w:rStyle w:val="a5"/>
                  <w:rFonts w:ascii="Times New Roman" w:eastAsia="宋体" w:hAnsi="Times New Roman"/>
                  <w:sz w:val="20"/>
                  <w:szCs w:val="20"/>
                </w:rPr>
                <w:t>Cisco Systems, Inc. Deferred Compensation Plan, as amended</w:t>
              </w:r>
            </w:hyperlink>
          </w:p>
        </w:tc>
        <w:tc>
          <w:tcPr>
            <w:tcW w:w="0" w:type="auto"/>
            <w:gridSpan w:val="3"/>
            <w:shd w:val="clear" w:color="auto" w:fill="CCEEFF"/>
            <w:tcMar>
              <w:top w:w="0" w:type="dxa"/>
              <w:left w:w="20" w:type="dxa"/>
              <w:bottom w:w="0" w:type="dxa"/>
              <w:right w:w="20" w:type="dxa"/>
            </w:tcMar>
          </w:tcPr>
          <w:p w14:paraId="7B671A83"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84"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tcPr>
          <w:p w14:paraId="7B671A8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86"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tcPr>
          <w:p w14:paraId="7B671A87"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88" w14:textId="77777777" w:rsidR="0040300B" w:rsidRDefault="00BB2D44">
            <w:pPr>
              <w:jc w:val="center"/>
              <w:textAlignment w:val="center"/>
            </w:pPr>
            <w:r>
              <w:rPr>
                <w:rFonts w:ascii="Times New Roman" w:eastAsia="宋体" w:hAnsi="Times New Roman"/>
                <w:color w:val="000000"/>
                <w:sz w:val="20"/>
                <w:szCs w:val="20"/>
              </w:rPr>
              <w:t>10.6</w:t>
            </w:r>
          </w:p>
        </w:tc>
        <w:tc>
          <w:tcPr>
            <w:tcW w:w="0" w:type="auto"/>
            <w:gridSpan w:val="3"/>
            <w:shd w:val="clear" w:color="auto" w:fill="CCEEFF"/>
            <w:tcMar>
              <w:top w:w="0" w:type="dxa"/>
              <w:left w:w="20" w:type="dxa"/>
              <w:bottom w:w="0" w:type="dxa"/>
              <w:right w:w="20" w:type="dxa"/>
            </w:tcMar>
          </w:tcPr>
          <w:p w14:paraId="7B671A8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8A"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CCEEFF"/>
            <w:tcMar>
              <w:top w:w="0" w:type="dxa"/>
              <w:left w:w="20" w:type="dxa"/>
              <w:bottom w:w="0" w:type="dxa"/>
              <w:right w:w="20" w:type="dxa"/>
            </w:tcMar>
          </w:tcPr>
          <w:p w14:paraId="7B671A8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8C" w14:textId="77777777" w:rsidR="0040300B" w:rsidRDefault="0040300B">
            <w:pPr>
              <w:rPr>
                <w:rFonts w:ascii="宋体"/>
              </w:rPr>
            </w:pPr>
          </w:p>
        </w:tc>
      </w:tr>
      <w:tr w:rsidR="0040300B" w14:paraId="7B671A9B" w14:textId="77777777">
        <w:tc>
          <w:tcPr>
            <w:tcW w:w="0" w:type="auto"/>
            <w:gridSpan w:val="3"/>
            <w:shd w:val="clear" w:color="auto" w:fill="auto"/>
            <w:tcMar>
              <w:top w:w="40" w:type="dxa"/>
              <w:left w:w="20" w:type="dxa"/>
              <w:bottom w:w="40" w:type="dxa"/>
              <w:right w:w="20" w:type="dxa"/>
            </w:tcMar>
            <w:vAlign w:val="center"/>
          </w:tcPr>
          <w:p w14:paraId="7B671A8E" w14:textId="77777777" w:rsidR="0040300B" w:rsidRDefault="00BB2D44">
            <w:pPr>
              <w:textAlignment w:val="center"/>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tcPr>
          <w:p w14:paraId="7B671A8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90" w14:textId="77777777" w:rsidR="0040300B" w:rsidRDefault="00BB2D44">
            <w:pPr>
              <w:textAlignment w:val="center"/>
            </w:pPr>
            <w:hyperlink r:id="rId142" w:history="1">
              <w:r>
                <w:rPr>
                  <w:rStyle w:val="a5"/>
                  <w:rFonts w:ascii="Times New Roman" w:eastAsia="宋体" w:hAnsi="Times New Roman"/>
                  <w:sz w:val="20"/>
                  <w:szCs w:val="20"/>
                </w:rPr>
                <w:t>Cisco Systems, Inc. Employee Stock Purchase Plan</w:t>
              </w:r>
            </w:hyperlink>
          </w:p>
        </w:tc>
        <w:tc>
          <w:tcPr>
            <w:tcW w:w="0" w:type="auto"/>
            <w:gridSpan w:val="3"/>
            <w:shd w:val="clear" w:color="auto" w:fill="auto"/>
            <w:tcMar>
              <w:top w:w="0" w:type="dxa"/>
              <w:left w:w="20" w:type="dxa"/>
              <w:bottom w:w="0" w:type="dxa"/>
              <w:right w:w="20" w:type="dxa"/>
            </w:tcMar>
          </w:tcPr>
          <w:p w14:paraId="7B671A9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92" w14:textId="77777777" w:rsidR="0040300B" w:rsidRDefault="00BB2D44">
            <w:pPr>
              <w:jc w:val="center"/>
              <w:textAlignment w:val="center"/>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tcPr>
          <w:p w14:paraId="7B671A9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94" w14:textId="77777777" w:rsidR="0040300B" w:rsidRDefault="00BB2D44">
            <w:pPr>
              <w:jc w:val="center"/>
              <w:textAlignment w:val="center"/>
            </w:pPr>
            <w:r>
              <w:rPr>
                <w:rFonts w:ascii="Times New Roman" w:eastAsia="宋体" w:hAnsi="Times New Roman"/>
                <w:color w:val="000000"/>
                <w:sz w:val="20"/>
                <w:szCs w:val="20"/>
              </w:rPr>
              <w:t>001-39940</w:t>
            </w:r>
          </w:p>
        </w:tc>
        <w:tc>
          <w:tcPr>
            <w:tcW w:w="0" w:type="auto"/>
            <w:gridSpan w:val="3"/>
            <w:shd w:val="clear" w:color="auto" w:fill="auto"/>
            <w:tcMar>
              <w:top w:w="0" w:type="dxa"/>
              <w:left w:w="20" w:type="dxa"/>
              <w:bottom w:w="0" w:type="dxa"/>
              <w:right w:w="20" w:type="dxa"/>
            </w:tcMar>
          </w:tcPr>
          <w:p w14:paraId="7B671A9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96" w14:textId="77777777" w:rsidR="0040300B" w:rsidRDefault="00BB2D44">
            <w:pPr>
              <w:jc w:val="center"/>
              <w:textAlignment w:val="center"/>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tcPr>
          <w:p w14:paraId="7B671A9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98" w14:textId="77777777" w:rsidR="0040300B" w:rsidRDefault="00BB2D44">
            <w:pPr>
              <w:jc w:val="center"/>
              <w:textAlignment w:val="center"/>
            </w:pPr>
            <w:r>
              <w:rPr>
                <w:rFonts w:ascii="Times New Roman" w:eastAsia="宋体" w:hAnsi="Times New Roman"/>
                <w:color w:val="000000"/>
                <w:sz w:val="20"/>
                <w:szCs w:val="20"/>
              </w:rPr>
              <w:t>2/16/2021</w:t>
            </w:r>
          </w:p>
        </w:tc>
        <w:tc>
          <w:tcPr>
            <w:tcW w:w="0" w:type="auto"/>
            <w:gridSpan w:val="3"/>
            <w:shd w:val="clear" w:color="auto" w:fill="auto"/>
            <w:tcMar>
              <w:top w:w="0" w:type="dxa"/>
              <w:left w:w="20" w:type="dxa"/>
              <w:bottom w:w="0" w:type="dxa"/>
              <w:right w:w="20" w:type="dxa"/>
            </w:tcMar>
          </w:tcPr>
          <w:p w14:paraId="7B671A9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9A" w14:textId="77777777" w:rsidR="0040300B" w:rsidRDefault="0040300B">
            <w:pPr>
              <w:rPr>
                <w:rFonts w:ascii="宋体"/>
              </w:rPr>
            </w:pPr>
          </w:p>
        </w:tc>
      </w:tr>
      <w:tr w:rsidR="0040300B" w14:paraId="7B671AA9" w14:textId="77777777">
        <w:tc>
          <w:tcPr>
            <w:tcW w:w="0" w:type="auto"/>
            <w:gridSpan w:val="3"/>
            <w:shd w:val="clear" w:color="auto" w:fill="CCEEFF"/>
            <w:tcMar>
              <w:top w:w="40" w:type="dxa"/>
              <w:left w:w="20" w:type="dxa"/>
              <w:bottom w:w="40" w:type="dxa"/>
              <w:right w:w="20" w:type="dxa"/>
            </w:tcMar>
            <w:vAlign w:val="center"/>
          </w:tcPr>
          <w:p w14:paraId="7B671A9C" w14:textId="77777777" w:rsidR="0040300B" w:rsidRDefault="00BB2D44">
            <w:pPr>
              <w:textAlignment w:val="center"/>
            </w:pPr>
            <w:r>
              <w:rPr>
                <w:rFonts w:ascii="Times New Roman" w:eastAsia="宋体" w:hAnsi="Times New Roman"/>
                <w:color w:val="000000"/>
                <w:sz w:val="20"/>
                <w:szCs w:val="20"/>
              </w:rPr>
              <w:t>31.1</w:t>
            </w:r>
          </w:p>
        </w:tc>
        <w:tc>
          <w:tcPr>
            <w:tcW w:w="0" w:type="auto"/>
            <w:gridSpan w:val="3"/>
            <w:shd w:val="clear" w:color="auto" w:fill="CCEEFF"/>
            <w:tcMar>
              <w:top w:w="0" w:type="dxa"/>
              <w:left w:w="20" w:type="dxa"/>
              <w:bottom w:w="0" w:type="dxa"/>
              <w:right w:w="20" w:type="dxa"/>
            </w:tcMar>
          </w:tcPr>
          <w:p w14:paraId="7B671A9D"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9E" w14:textId="77777777" w:rsidR="0040300B" w:rsidRDefault="00BB2D44">
            <w:pPr>
              <w:textAlignment w:val="center"/>
            </w:pPr>
            <w:hyperlink r:id="rId143"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CCEEFF"/>
            <w:tcMar>
              <w:top w:w="0" w:type="dxa"/>
              <w:left w:w="20" w:type="dxa"/>
              <w:bottom w:w="0" w:type="dxa"/>
              <w:right w:w="20" w:type="dxa"/>
            </w:tcMar>
          </w:tcPr>
          <w:p w14:paraId="7B671A9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A7"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A8"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B7" w14:textId="77777777">
        <w:tc>
          <w:tcPr>
            <w:tcW w:w="0" w:type="auto"/>
            <w:gridSpan w:val="3"/>
            <w:shd w:val="clear" w:color="auto" w:fill="auto"/>
            <w:tcMar>
              <w:top w:w="40" w:type="dxa"/>
              <w:left w:w="20" w:type="dxa"/>
              <w:bottom w:w="40" w:type="dxa"/>
              <w:right w:w="20" w:type="dxa"/>
            </w:tcMar>
            <w:vAlign w:val="center"/>
          </w:tcPr>
          <w:p w14:paraId="7B671AAA" w14:textId="77777777" w:rsidR="0040300B" w:rsidRDefault="00BB2D44">
            <w:pPr>
              <w:textAlignment w:val="center"/>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tcPr>
          <w:p w14:paraId="7B671AAB"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AC" w14:textId="77777777" w:rsidR="0040300B" w:rsidRDefault="00BB2D44">
            <w:pPr>
              <w:textAlignment w:val="center"/>
            </w:pPr>
            <w:hyperlink r:id="rId144"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auto"/>
            <w:tcMar>
              <w:top w:w="0" w:type="dxa"/>
              <w:left w:w="20" w:type="dxa"/>
              <w:bottom w:w="0" w:type="dxa"/>
              <w:right w:w="20" w:type="dxa"/>
            </w:tcMar>
          </w:tcPr>
          <w:p w14:paraId="7B671AA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A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A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B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B6"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C5" w14:textId="77777777">
        <w:tc>
          <w:tcPr>
            <w:tcW w:w="0" w:type="auto"/>
            <w:gridSpan w:val="3"/>
            <w:shd w:val="clear" w:color="auto" w:fill="CCEEFF"/>
            <w:tcMar>
              <w:top w:w="40" w:type="dxa"/>
              <w:left w:w="20" w:type="dxa"/>
              <w:bottom w:w="40" w:type="dxa"/>
              <w:right w:w="20" w:type="dxa"/>
            </w:tcMar>
            <w:vAlign w:val="center"/>
          </w:tcPr>
          <w:p w14:paraId="7B671AB8" w14:textId="77777777" w:rsidR="0040300B" w:rsidRDefault="00BB2D44">
            <w:pPr>
              <w:textAlignment w:val="center"/>
            </w:pPr>
            <w:r>
              <w:rPr>
                <w:rFonts w:ascii="Times New Roman" w:eastAsia="宋体" w:hAnsi="Times New Roman"/>
                <w:color w:val="000000"/>
                <w:sz w:val="20"/>
                <w:szCs w:val="20"/>
              </w:rPr>
              <w:t>32.1</w:t>
            </w:r>
          </w:p>
        </w:tc>
        <w:tc>
          <w:tcPr>
            <w:tcW w:w="0" w:type="auto"/>
            <w:gridSpan w:val="3"/>
            <w:shd w:val="clear" w:color="auto" w:fill="CCEEFF"/>
            <w:tcMar>
              <w:top w:w="0" w:type="dxa"/>
              <w:left w:w="20" w:type="dxa"/>
              <w:bottom w:w="0" w:type="dxa"/>
              <w:right w:w="20" w:type="dxa"/>
            </w:tcMar>
          </w:tcPr>
          <w:p w14:paraId="7B671AB9"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BA" w14:textId="77777777" w:rsidR="0040300B" w:rsidRDefault="00BB2D44">
            <w:pPr>
              <w:textAlignment w:val="center"/>
            </w:pPr>
            <w:hyperlink r:id="rId145"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CCEEFF"/>
            <w:tcMar>
              <w:top w:w="0" w:type="dxa"/>
              <w:left w:w="20" w:type="dxa"/>
              <w:bottom w:w="0" w:type="dxa"/>
              <w:right w:w="20" w:type="dxa"/>
            </w:tcMar>
          </w:tcPr>
          <w:p w14:paraId="7B671AB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B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B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B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B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C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C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C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C3"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C4"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D3" w14:textId="77777777">
        <w:tc>
          <w:tcPr>
            <w:tcW w:w="0" w:type="auto"/>
            <w:gridSpan w:val="3"/>
            <w:shd w:val="clear" w:color="auto" w:fill="auto"/>
            <w:tcMar>
              <w:top w:w="40" w:type="dxa"/>
              <w:left w:w="20" w:type="dxa"/>
              <w:bottom w:w="40" w:type="dxa"/>
              <w:right w:w="20" w:type="dxa"/>
            </w:tcMar>
            <w:vAlign w:val="center"/>
          </w:tcPr>
          <w:p w14:paraId="7B671AC6" w14:textId="77777777" w:rsidR="0040300B" w:rsidRDefault="00BB2D44">
            <w:pPr>
              <w:textAlignment w:val="center"/>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tcPr>
          <w:p w14:paraId="7B671AC7"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C8" w14:textId="77777777" w:rsidR="0040300B" w:rsidRDefault="00BB2D44">
            <w:pPr>
              <w:textAlignment w:val="center"/>
            </w:pPr>
            <w:hyperlink r:id="rId146"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auto"/>
            <w:tcMar>
              <w:top w:w="0" w:type="dxa"/>
              <w:left w:w="20" w:type="dxa"/>
              <w:bottom w:w="0" w:type="dxa"/>
              <w:right w:w="20" w:type="dxa"/>
            </w:tcMar>
          </w:tcPr>
          <w:p w14:paraId="7B671AC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C"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D"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E"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C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D0"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D1"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D2"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E1" w14:textId="77777777">
        <w:tc>
          <w:tcPr>
            <w:tcW w:w="0" w:type="auto"/>
            <w:gridSpan w:val="3"/>
            <w:shd w:val="clear" w:color="auto" w:fill="CCEEFF"/>
            <w:tcMar>
              <w:top w:w="40" w:type="dxa"/>
              <w:left w:w="20" w:type="dxa"/>
              <w:bottom w:w="40" w:type="dxa"/>
              <w:right w:w="20" w:type="dxa"/>
            </w:tcMar>
            <w:vAlign w:val="center"/>
          </w:tcPr>
          <w:p w14:paraId="7B671AD4" w14:textId="77777777" w:rsidR="0040300B" w:rsidRDefault="00BB2D44">
            <w:pPr>
              <w:textAlignment w:val="center"/>
            </w:pPr>
            <w:r>
              <w:rPr>
                <w:rFonts w:ascii="Times New Roman" w:eastAsia="宋体" w:hAnsi="Times New Roman"/>
                <w:color w:val="000000"/>
                <w:sz w:val="20"/>
                <w:szCs w:val="20"/>
              </w:rPr>
              <w:t>101.INS</w:t>
            </w:r>
          </w:p>
        </w:tc>
        <w:tc>
          <w:tcPr>
            <w:tcW w:w="0" w:type="auto"/>
            <w:gridSpan w:val="3"/>
            <w:shd w:val="clear" w:color="auto" w:fill="CCEEFF"/>
            <w:tcMar>
              <w:top w:w="0" w:type="dxa"/>
              <w:left w:w="20" w:type="dxa"/>
              <w:bottom w:w="0" w:type="dxa"/>
              <w:right w:w="20" w:type="dxa"/>
            </w:tcMar>
          </w:tcPr>
          <w:p w14:paraId="7B671AD5"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D6" w14:textId="77777777" w:rsidR="0040300B" w:rsidRDefault="00BB2D44">
            <w:pPr>
              <w:textAlignment w:val="center"/>
            </w:pPr>
            <w:r>
              <w:rPr>
                <w:rFonts w:ascii="Times New Roman" w:eastAsia="宋体" w:hAnsi="Times New Roman"/>
                <w:color w:val="000000"/>
                <w:sz w:val="20"/>
                <w:szCs w:val="20"/>
              </w:rPr>
              <w:t xml:space="preserve">Inline XBRL Instance - the instance document does not appear in the </w:t>
            </w:r>
            <w:r>
              <w:rPr>
                <w:rFonts w:ascii="Times New Roman" w:eastAsia="宋体" w:hAnsi="Times New Roman"/>
                <w:color w:val="000000"/>
                <w:sz w:val="20"/>
                <w:szCs w:val="20"/>
              </w:rPr>
              <w:t>Interactive Data File because its XBRL tags are embedded within the Inline XBRL document.</w:t>
            </w:r>
          </w:p>
        </w:tc>
        <w:tc>
          <w:tcPr>
            <w:tcW w:w="0" w:type="auto"/>
            <w:gridSpan w:val="3"/>
            <w:shd w:val="clear" w:color="auto" w:fill="CCEEFF"/>
            <w:tcMar>
              <w:top w:w="0" w:type="dxa"/>
              <w:left w:w="20" w:type="dxa"/>
              <w:bottom w:w="0" w:type="dxa"/>
              <w:right w:w="20" w:type="dxa"/>
            </w:tcMar>
          </w:tcPr>
          <w:p w14:paraId="7B671AD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B"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DF"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E0"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EF" w14:textId="77777777">
        <w:tc>
          <w:tcPr>
            <w:tcW w:w="0" w:type="auto"/>
            <w:gridSpan w:val="3"/>
            <w:shd w:val="clear" w:color="auto" w:fill="auto"/>
            <w:tcMar>
              <w:top w:w="40" w:type="dxa"/>
              <w:left w:w="20" w:type="dxa"/>
              <w:bottom w:w="40" w:type="dxa"/>
              <w:right w:w="20" w:type="dxa"/>
            </w:tcMar>
            <w:vAlign w:val="center"/>
          </w:tcPr>
          <w:p w14:paraId="7B671AE2" w14:textId="77777777" w:rsidR="0040300B" w:rsidRDefault="00BB2D44">
            <w:pPr>
              <w:textAlignment w:val="center"/>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tcPr>
          <w:p w14:paraId="7B671AE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E4" w14:textId="77777777" w:rsidR="0040300B" w:rsidRDefault="00BB2D44">
            <w:pPr>
              <w:textAlignment w:val="center"/>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tcPr>
          <w:p w14:paraId="7B671AE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9"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A"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C"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AED"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AEE"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AFD" w14:textId="77777777">
        <w:tc>
          <w:tcPr>
            <w:tcW w:w="0" w:type="auto"/>
            <w:gridSpan w:val="3"/>
            <w:shd w:val="clear" w:color="auto" w:fill="CCEEFF"/>
            <w:tcMar>
              <w:top w:w="40" w:type="dxa"/>
              <w:left w:w="20" w:type="dxa"/>
              <w:bottom w:w="40" w:type="dxa"/>
              <w:right w:w="20" w:type="dxa"/>
            </w:tcMar>
            <w:vAlign w:val="center"/>
          </w:tcPr>
          <w:p w14:paraId="7B671AF0" w14:textId="77777777" w:rsidR="0040300B" w:rsidRDefault="00BB2D44">
            <w:pPr>
              <w:textAlignment w:val="center"/>
            </w:pPr>
            <w:r>
              <w:rPr>
                <w:rFonts w:ascii="Times New Roman" w:eastAsia="宋体" w:hAnsi="Times New Roman"/>
                <w:color w:val="000000"/>
                <w:sz w:val="20"/>
                <w:szCs w:val="20"/>
              </w:rPr>
              <w:t>101.CAL</w:t>
            </w:r>
          </w:p>
        </w:tc>
        <w:tc>
          <w:tcPr>
            <w:tcW w:w="0" w:type="auto"/>
            <w:gridSpan w:val="3"/>
            <w:shd w:val="clear" w:color="auto" w:fill="CCEEFF"/>
            <w:tcMar>
              <w:top w:w="0" w:type="dxa"/>
              <w:left w:w="20" w:type="dxa"/>
              <w:bottom w:w="0" w:type="dxa"/>
              <w:right w:w="20" w:type="dxa"/>
            </w:tcMar>
          </w:tcPr>
          <w:p w14:paraId="7B671AF1"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F2" w14:textId="77777777" w:rsidR="0040300B" w:rsidRDefault="00BB2D44">
            <w:pPr>
              <w:textAlignment w:val="center"/>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CCEEFF"/>
            <w:tcMar>
              <w:top w:w="0" w:type="dxa"/>
              <w:left w:w="20" w:type="dxa"/>
              <w:bottom w:w="0" w:type="dxa"/>
              <w:right w:w="20" w:type="dxa"/>
            </w:tcMar>
          </w:tcPr>
          <w:p w14:paraId="7B671AF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8"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9"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A"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AFB"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AFC"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B0B" w14:textId="77777777">
        <w:tc>
          <w:tcPr>
            <w:tcW w:w="0" w:type="auto"/>
            <w:gridSpan w:val="3"/>
            <w:shd w:val="clear" w:color="auto" w:fill="auto"/>
            <w:tcMar>
              <w:top w:w="40" w:type="dxa"/>
              <w:left w:w="20" w:type="dxa"/>
              <w:bottom w:w="40" w:type="dxa"/>
              <w:right w:w="20" w:type="dxa"/>
            </w:tcMar>
            <w:vAlign w:val="center"/>
          </w:tcPr>
          <w:p w14:paraId="7B671AFE" w14:textId="77777777" w:rsidR="0040300B" w:rsidRDefault="00BB2D44">
            <w:pPr>
              <w:textAlignment w:val="center"/>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tcPr>
          <w:p w14:paraId="7B671AFF"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B00" w14:textId="77777777" w:rsidR="0040300B" w:rsidRDefault="00BB2D44">
            <w:pPr>
              <w:textAlignment w:val="center"/>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tcPr>
          <w:p w14:paraId="7B671B0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5"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6"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7"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8"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09"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B0A" w14:textId="77777777" w:rsidR="0040300B" w:rsidRDefault="00BB2D44">
            <w:pPr>
              <w:jc w:val="center"/>
              <w:textAlignment w:val="center"/>
            </w:pPr>
            <w:r>
              <w:rPr>
                <w:rFonts w:ascii="Times New Roman" w:eastAsia="宋体" w:hAnsi="Times New Roman"/>
                <w:color w:val="000000"/>
                <w:sz w:val="20"/>
                <w:szCs w:val="20"/>
              </w:rPr>
              <w:t>X</w:t>
            </w:r>
          </w:p>
        </w:tc>
      </w:tr>
    </w:tbl>
    <w:p w14:paraId="7B671B0C" w14:textId="77777777" w:rsidR="0040300B" w:rsidRDefault="00BB2D44">
      <w:pPr>
        <w:jc w:val="center"/>
      </w:pPr>
      <w:r>
        <w:rPr>
          <w:rFonts w:ascii="Times New Roman" w:eastAsia="宋体" w:hAnsi="Times New Roman"/>
          <w:color w:val="000000"/>
          <w:sz w:val="20"/>
          <w:szCs w:val="20"/>
        </w:rPr>
        <w:t>85</w:t>
      </w:r>
    </w:p>
    <w:p w14:paraId="7B671B0D" w14:textId="77777777" w:rsidR="0040300B" w:rsidRDefault="00BB2D44">
      <w:r>
        <w:pict w14:anchorId="7B671C65">
          <v:rect id="_x0000_i1109" style="width:415.3pt;height:1.5pt" o:hralign="center" o:hrstd="t" o:hr="t" fillcolor="#a0a0a0" stroked="f"/>
        </w:pict>
      </w:r>
    </w:p>
    <w:p w14:paraId="7B671B0E" w14:textId="77777777" w:rsidR="0040300B" w:rsidRDefault="00BB2D44">
      <w:hyperlink r:id="rId147" w:anchor="i52d5b40dbad7426a9806a2fd5167029f_7" w:history="1">
        <w:r>
          <w:rPr>
            <w:rStyle w:val="a5"/>
            <w:rFonts w:ascii="Times New Roman" w:eastAsia="宋体" w:hAnsi="Times New Roman"/>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37"/>
        <w:gridCol w:w="3271"/>
        <w:gridCol w:w="36"/>
        <w:gridCol w:w="36"/>
        <w:gridCol w:w="36"/>
        <w:gridCol w:w="36"/>
        <w:gridCol w:w="71"/>
        <w:gridCol w:w="440"/>
        <w:gridCol w:w="37"/>
        <w:gridCol w:w="37"/>
        <w:gridCol w:w="37"/>
        <w:gridCol w:w="37"/>
        <w:gridCol w:w="39"/>
        <w:gridCol w:w="569"/>
        <w:gridCol w:w="38"/>
        <w:gridCol w:w="36"/>
        <w:gridCol w:w="36"/>
        <w:gridCol w:w="36"/>
        <w:gridCol w:w="91"/>
        <w:gridCol w:w="574"/>
        <w:gridCol w:w="36"/>
        <w:gridCol w:w="36"/>
        <w:gridCol w:w="36"/>
        <w:gridCol w:w="36"/>
        <w:gridCol w:w="51"/>
        <w:gridCol w:w="670"/>
        <w:gridCol w:w="37"/>
        <w:gridCol w:w="36"/>
        <w:gridCol w:w="36"/>
        <w:gridCol w:w="36"/>
        <w:gridCol w:w="83"/>
        <w:gridCol w:w="749"/>
        <w:gridCol w:w="36"/>
      </w:tblGrid>
      <w:tr w:rsidR="0040300B" w14:paraId="7B671B36" w14:textId="77777777">
        <w:tc>
          <w:tcPr>
            <w:tcW w:w="50" w:type="pct"/>
            <w:shd w:val="clear" w:color="auto" w:fill="auto"/>
          </w:tcPr>
          <w:p w14:paraId="7B671B0F" w14:textId="77777777" w:rsidR="0040300B" w:rsidRDefault="0040300B">
            <w:pPr>
              <w:rPr>
                <w:rFonts w:ascii="宋体"/>
              </w:rPr>
            </w:pPr>
          </w:p>
        </w:tc>
        <w:tc>
          <w:tcPr>
            <w:tcW w:w="404" w:type="pct"/>
            <w:shd w:val="clear" w:color="auto" w:fill="auto"/>
          </w:tcPr>
          <w:p w14:paraId="7B671B10" w14:textId="77777777" w:rsidR="0040300B" w:rsidRDefault="0040300B">
            <w:pPr>
              <w:rPr>
                <w:rFonts w:ascii="宋体"/>
              </w:rPr>
            </w:pPr>
          </w:p>
        </w:tc>
        <w:tc>
          <w:tcPr>
            <w:tcW w:w="5" w:type="pct"/>
            <w:shd w:val="clear" w:color="auto" w:fill="auto"/>
          </w:tcPr>
          <w:p w14:paraId="7B671B11" w14:textId="77777777" w:rsidR="0040300B" w:rsidRDefault="0040300B">
            <w:pPr>
              <w:rPr>
                <w:rFonts w:ascii="宋体"/>
              </w:rPr>
            </w:pPr>
          </w:p>
        </w:tc>
        <w:tc>
          <w:tcPr>
            <w:tcW w:w="5" w:type="pct"/>
            <w:shd w:val="clear" w:color="auto" w:fill="auto"/>
          </w:tcPr>
          <w:p w14:paraId="7B671B12" w14:textId="77777777" w:rsidR="0040300B" w:rsidRDefault="0040300B">
            <w:pPr>
              <w:rPr>
                <w:rFonts w:ascii="宋体"/>
              </w:rPr>
            </w:pPr>
          </w:p>
        </w:tc>
        <w:tc>
          <w:tcPr>
            <w:tcW w:w="25" w:type="pct"/>
            <w:shd w:val="clear" w:color="auto" w:fill="auto"/>
          </w:tcPr>
          <w:p w14:paraId="7B671B13" w14:textId="77777777" w:rsidR="0040300B" w:rsidRDefault="0040300B">
            <w:pPr>
              <w:rPr>
                <w:rFonts w:ascii="宋体"/>
              </w:rPr>
            </w:pPr>
          </w:p>
        </w:tc>
        <w:tc>
          <w:tcPr>
            <w:tcW w:w="5" w:type="pct"/>
            <w:shd w:val="clear" w:color="auto" w:fill="auto"/>
          </w:tcPr>
          <w:p w14:paraId="7B671B14" w14:textId="77777777" w:rsidR="0040300B" w:rsidRDefault="0040300B">
            <w:pPr>
              <w:rPr>
                <w:rFonts w:ascii="宋体"/>
              </w:rPr>
            </w:pPr>
          </w:p>
        </w:tc>
        <w:tc>
          <w:tcPr>
            <w:tcW w:w="50" w:type="pct"/>
            <w:shd w:val="clear" w:color="auto" w:fill="auto"/>
          </w:tcPr>
          <w:p w14:paraId="7B671B15" w14:textId="77777777" w:rsidR="0040300B" w:rsidRDefault="0040300B">
            <w:pPr>
              <w:rPr>
                <w:rFonts w:ascii="宋体"/>
              </w:rPr>
            </w:pPr>
          </w:p>
        </w:tc>
        <w:tc>
          <w:tcPr>
            <w:tcW w:w="2013" w:type="pct"/>
            <w:shd w:val="clear" w:color="auto" w:fill="auto"/>
          </w:tcPr>
          <w:p w14:paraId="7B671B16" w14:textId="77777777" w:rsidR="0040300B" w:rsidRDefault="0040300B">
            <w:pPr>
              <w:rPr>
                <w:rFonts w:ascii="宋体"/>
              </w:rPr>
            </w:pPr>
          </w:p>
        </w:tc>
        <w:tc>
          <w:tcPr>
            <w:tcW w:w="5" w:type="pct"/>
            <w:shd w:val="clear" w:color="auto" w:fill="auto"/>
          </w:tcPr>
          <w:p w14:paraId="7B671B17" w14:textId="77777777" w:rsidR="0040300B" w:rsidRDefault="0040300B">
            <w:pPr>
              <w:rPr>
                <w:rFonts w:ascii="宋体"/>
              </w:rPr>
            </w:pPr>
          </w:p>
        </w:tc>
        <w:tc>
          <w:tcPr>
            <w:tcW w:w="5" w:type="pct"/>
            <w:shd w:val="clear" w:color="auto" w:fill="auto"/>
          </w:tcPr>
          <w:p w14:paraId="7B671B18" w14:textId="77777777" w:rsidR="0040300B" w:rsidRDefault="0040300B">
            <w:pPr>
              <w:rPr>
                <w:rFonts w:ascii="宋体"/>
              </w:rPr>
            </w:pPr>
          </w:p>
        </w:tc>
        <w:tc>
          <w:tcPr>
            <w:tcW w:w="25" w:type="pct"/>
            <w:shd w:val="clear" w:color="auto" w:fill="auto"/>
          </w:tcPr>
          <w:p w14:paraId="7B671B19" w14:textId="77777777" w:rsidR="0040300B" w:rsidRDefault="0040300B">
            <w:pPr>
              <w:rPr>
                <w:rFonts w:ascii="宋体"/>
              </w:rPr>
            </w:pPr>
          </w:p>
        </w:tc>
        <w:tc>
          <w:tcPr>
            <w:tcW w:w="5" w:type="pct"/>
            <w:shd w:val="clear" w:color="auto" w:fill="auto"/>
          </w:tcPr>
          <w:p w14:paraId="7B671B1A" w14:textId="77777777" w:rsidR="0040300B" w:rsidRDefault="0040300B">
            <w:pPr>
              <w:rPr>
                <w:rFonts w:ascii="宋体"/>
              </w:rPr>
            </w:pPr>
          </w:p>
        </w:tc>
        <w:tc>
          <w:tcPr>
            <w:tcW w:w="50" w:type="pct"/>
            <w:shd w:val="clear" w:color="auto" w:fill="auto"/>
          </w:tcPr>
          <w:p w14:paraId="7B671B1B" w14:textId="77777777" w:rsidR="0040300B" w:rsidRDefault="0040300B">
            <w:pPr>
              <w:rPr>
                <w:rFonts w:ascii="宋体"/>
              </w:rPr>
            </w:pPr>
          </w:p>
        </w:tc>
        <w:tc>
          <w:tcPr>
            <w:tcW w:w="311" w:type="pct"/>
            <w:shd w:val="clear" w:color="auto" w:fill="auto"/>
          </w:tcPr>
          <w:p w14:paraId="7B671B1C" w14:textId="77777777" w:rsidR="0040300B" w:rsidRDefault="0040300B">
            <w:pPr>
              <w:rPr>
                <w:rFonts w:ascii="宋体"/>
              </w:rPr>
            </w:pPr>
          </w:p>
        </w:tc>
        <w:tc>
          <w:tcPr>
            <w:tcW w:w="5" w:type="pct"/>
            <w:shd w:val="clear" w:color="auto" w:fill="auto"/>
          </w:tcPr>
          <w:p w14:paraId="7B671B1D" w14:textId="77777777" w:rsidR="0040300B" w:rsidRDefault="0040300B">
            <w:pPr>
              <w:rPr>
                <w:rFonts w:ascii="宋体"/>
              </w:rPr>
            </w:pPr>
          </w:p>
        </w:tc>
        <w:tc>
          <w:tcPr>
            <w:tcW w:w="5" w:type="pct"/>
            <w:shd w:val="clear" w:color="auto" w:fill="auto"/>
          </w:tcPr>
          <w:p w14:paraId="7B671B1E" w14:textId="77777777" w:rsidR="0040300B" w:rsidRDefault="0040300B">
            <w:pPr>
              <w:rPr>
                <w:rFonts w:ascii="宋体"/>
              </w:rPr>
            </w:pPr>
          </w:p>
        </w:tc>
        <w:tc>
          <w:tcPr>
            <w:tcW w:w="25" w:type="pct"/>
            <w:shd w:val="clear" w:color="auto" w:fill="auto"/>
          </w:tcPr>
          <w:p w14:paraId="7B671B1F" w14:textId="77777777" w:rsidR="0040300B" w:rsidRDefault="0040300B">
            <w:pPr>
              <w:rPr>
                <w:rFonts w:ascii="宋体"/>
              </w:rPr>
            </w:pPr>
          </w:p>
        </w:tc>
        <w:tc>
          <w:tcPr>
            <w:tcW w:w="5" w:type="pct"/>
            <w:shd w:val="clear" w:color="auto" w:fill="auto"/>
          </w:tcPr>
          <w:p w14:paraId="7B671B20" w14:textId="77777777" w:rsidR="0040300B" w:rsidRDefault="0040300B">
            <w:pPr>
              <w:rPr>
                <w:rFonts w:ascii="宋体"/>
              </w:rPr>
            </w:pPr>
          </w:p>
        </w:tc>
        <w:tc>
          <w:tcPr>
            <w:tcW w:w="50" w:type="pct"/>
            <w:shd w:val="clear" w:color="auto" w:fill="auto"/>
          </w:tcPr>
          <w:p w14:paraId="7B671B21" w14:textId="77777777" w:rsidR="0040300B" w:rsidRDefault="0040300B">
            <w:pPr>
              <w:rPr>
                <w:rFonts w:ascii="宋体"/>
              </w:rPr>
            </w:pPr>
          </w:p>
        </w:tc>
        <w:tc>
          <w:tcPr>
            <w:tcW w:w="411" w:type="pct"/>
            <w:shd w:val="clear" w:color="auto" w:fill="auto"/>
          </w:tcPr>
          <w:p w14:paraId="7B671B22" w14:textId="77777777" w:rsidR="0040300B" w:rsidRDefault="0040300B">
            <w:pPr>
              <w:rPr>
                <w:rFonts w:ascii="宋体"/>
              </w:rPr>
            </w:pPr>
          </w:p>
        </w:tc>
        <w:tc>
          <w:tcPr>
            <w:tcW w:w="5" w:type="pct"/>
            <w:shd w:val="clear" w:color="auto" w:fill="auto"/>
          </w:tcPr>
          <w:p w14:paraId="7B671B23" w14:textId="77777777" w:rsidR="0040300B" w:rsidRDefault="0040300B">
            <w:pPr>
              <w:rPr>
                <w:rFonts w:ascii="宋体"/>
              </w:rPr>
            </w:pPr>
          </w:p>
        </w:tc>
        <w:tc>
          <w:tcPr>
            <w:tcW w:w="5" w:type="pct"/>
            <w:shd w:val="clear" w:color="auto" w:fill="auto"/>
          </w:tcPr>
          <w:p w14:paraId="7B671B24" w14:textId="77777777" w:rsidR="0040300B" w:rsidRDefault="0040300B">
            <w:pPr>
              <w:rPr>
                <w:rFonts w:ascii="宋体"/>
              </w:rPr>
            </w:pPr>
          </w:p>
        </w:tc>
        <w:tc>
          <w:tcPr>
            <w:tcW w:w="25" w:type="pct"/>
            <w:shd w:val="clear" w:color="auto" w:fill="auto"/>
          </w:tcPr>
          <w:p w14:paraId="7B671B25" w14:textId="77777777" w:rsidR="0040300B" w:rsidRDefault="0040300B">
            <w:pPr>
              <w:rPr>
                <w:rFonts w:ascii="宋体"/>
              </w:rPr>
            </w:pPr>
          </w:p>
        </w:tc>
        <w:tc>
          <w:tcPr>
            <w:tcW w:w="5" w:type="pct"/>
            <w:shd w:val="clear" w:color="auto" w:fill="auto"/>
          </w:tcPr>
          <w:p w14:paraId="7B671B26" w14:textId="77777777" w:rsidR="0040300B" w:rsidRDefault="0040300B">
            <w:pPr>
              <w:rPr>
                <w:rFonts w:ascii="宋体"/>
              </w:rPr>
            </w:pPr>
          </w:p>
        </w:tc>
        <w:tc>
          <w:tcPr>
            <w:tcW w:w="50" w:type="pct"/>
            <w:shd w:val="clear" w:color="auto" w:fill="auto"/>
          </w:tcPr>
          <w:p w14:paraId="7B671B27" w14:textId="77777777" w:rsidR="0040300B" w:rsidRDefault="0040300B">
            <w:pPr>
              <w:rPr>
                <w:rFonts w:ascii="宋体"/>
              </w:rPr>
            </w:pPr>
          </w:p>
        </w:tc>
        <w:tc>
          <w:tcPr>
            <w:tcW w:w="318" w:type="pct"/>
            <w:shd w:val="clear" w:color="auto" w:fill="auto"/>
          </w:tcPr>
          <w:p w14:paraId="7B671B28" w14:textId="77777777" w:rsidR="0040300B" w:rsidRDefault="0040300B">
            <w:pPr>
              <w:rPr>
                <w:rFonts w:ascii="宋体"/>
              </w:rPr>
            </w:pPr>
          </w:p>
        </w:tc>
        <w:tc>
          <w:tcPr>
            <w:tcW w:w="5" w:type="pct"/>
            <w:shd w:val="clear" w:color="auto" w:fill="auto"/>
          </w:tcPr>
          <w:p w14:paraId="7B671B29" w14:textId="77777777" w:rsidR="0040300B" w:rsidRDefault="0040300B">
            <w:pPr>
              <w:rPr>
                <w:rFonts w:ascii="宋体"/>
              </w:rPr>
            </w:pPr>
          </w:p>
        </w:tc>
        <w:tc>
          <w:tcPr>
            <w:tcW w:w="5" w:type="pct"/>
            <w:shd w:val="clear" w:color="auto" w:fill="auto"/>
          </w:tcPr>
          <w:p w14:paraId="7B671B2A" w14:textId="77777777" w:rsidR="0040300B" w:rsidRDefault="0040300B">
            <w:pPr>
              <w:rPr>
                <w:rFonts w:ascii="宋体"/>
              </w:rPr>
            </w:pPr>
          </w:p>
        </w:tc>
        <w:tc>
          <w:tcPr>
            <w:tcW w:w="25" w:type="pct"/>
            <w:shd w:val="clear" w:color="auto" w:fill="auto"/>
          </w:tcPr>
          <w:p w14:paraId="7B671B2B" w14:textId="77777777" w:rsidR="0040300B" w:rsidRDefault="0040300B">
            <w:pPr>
              <w:rPr>
                <w:rFonts w:ascii="宋体"/>
              </w:rPr>
            </w:pPr>
          </w:p>
        </w:tc>
        <w:tc>
          <w:tcPr>
            <w:tcW w:w="5" w:type="pct"/>
            <w:shd w:val="clear" w:color="auto" w:fill="auto"/>
          </w:tcPr>
          <w:p w14:paraId="7B671B2C" w14:textId="77777777" w:rsidR="0040300B" w:rsidRDefault="0040300B">
            <w:pPr>
              <w:rPr>
                <w:rFonts w:ascii="宋体"/>
              </w:rPr>
            </w:pPr>
          </w:p>
        </w:tc>
        <w:tc>
          <w:tcPr>
            <w:tcW w:w="50" w:type="pct"/>
            <w:shd w:val="clear" w:color="auto" w:fill="auto"/>
          </w:tcPr>
          <w:p w14:paraId="7B671B2D" w14:textId="77777777" w:rsidR="0040300B" w:rsidRDefault="0040300B">
            <w:pPr>
              <w:rPr>
                <w:rFonts w:ascii="宋体"/>
              </w:rPr>
            </w:pPr>
          </w:p>
        </w:tc>
        <w:tc>
          <w:tcPr>
            <w:tcW w:w="483" w:type="pct"/>
            <w:shd w:val="clear" w:color="auto" w:fill="auto"/>
          </w:tcPr>
          <w:p w14:paraId="7B671B2E" w14:textId="77777777" w:rsidR="0040300B" w:rsidRDefault="0040300B">
            <w:pPr>
              <w:rPr>
                <w:rFonts w:ascii="宋体"/>
              </w:rPr>
            </w:pPr>
          </w:p>
        </w:tc>
        <w:tc>
          <w:tcPr>
            <w:tcW w:w="5" w:type="pct"/>
            <w:shd w:val="clear" w:color="auto" w:fill="auto"/>
          </w:tcPr>
          <w:p w14:paraId="7B671B2F" w14:textId="77777777" w:rsidR="0040300B" w:rsidRDefault="0040300B">
            <w:pPr>
              <w:rPr>
                <w:rFonts w:ascii="宋体"/>
              </w:rPr>
            </w:pPr>
          </w:p>
        </w:tc>
        <w:tc>
          <w:tcPr>
            <w:tcW w:w="5" w:type="pct"/>
            <w:shd w:val="clear" w:color="auto" w:fill="auto"/>
          </w:tcPr>
          <w:p w14:paraId="7B671B30" w14:textId="77777777" w:rsidR="0040300B" w:rsidRDefault="0040300B">
            <w:pPr>
              <w:rPr>
                <w:rFonts w:ascii="宋体"/>
              </w:rPr>
            </w:pPr>
          </w:p>
        </w:tc>
        <w:tc>
          <w:tcPr>
            <w:tcW w:w="25" w:type="pct"/>
            <w:shd w:val="clear" w:color="auto" w:fill="auto"/>
          </w:tcPr>
          <w:p w14:paraId="7B671B31" w14:textId="77777777" w:rsidR="0040300B" w:rsidRDefault="0040300B">
            <w:pPr>
              <w:rPr>
                <w:rFonts w:ascii="宋体"/>
              </w:rPr>
            </w:pPr>
          </w:p>
        </w:tc>
        <w:tc>
          <w:tcPr>
            <w:tcW w:w="5" w:type="pct"/>
            <w:shd w:val="clear" w:color="auto" w:fill="auto"/>
          </w:tcPr>
          <w:p w14:paraId="7B671B32" w14:textId="77777777" w:rsidR="0040300B" w:rsidRDefault="0040300B">
            <w:pPr>
              <w:rPr>
                <w:rFonts w:ascii="宋体"/>
              </w:rPr>
            </w:pPr>
          </w:p>
        </w:tc>
        <w:tc>
          <w:tcPr>
            <w:tcW w:w="50" w:type="pct"/>
            <w:shd w:val="clear" w:color="auto" w:fill="auto"/>
          </w:tcPr>
          <w:p w14:paraId="7B671B33" w14:textId="77777777" w:rsidR="0040300B" w:rsidRDefault="0040300B">
            <w:pPr>
              <w:rPr>
                <w:rFonts w:ascii="宋体"/>
              </w:rPr>
            </w:pPr>
          </w:p>
        </w:tc>
        <w:tc>
          <w:tcPr>
            <w:tcW w:w="455" w:type="pct"/>
            <w:shd w:val="clear" w:color="auto" w:fill="auto"/>
          </w:tcPr>
          <w:p w14:paraId="7B671B34" w14:textId="77777777" w:rsidR="0040300B" w:rsidRDefault="0040300B">
            <w:pPr>
              <w:rPr>
                <w:rFonts w:ascii="宋体"/>
              </w:rPr>
            </w:pPr>
          </w:p>
        </w:tc>
        <w:tc>
          <w:tcPr>
            <w:tcW w:w="5" w:type="pct"/>
            <w:shd w:val="clear" w:color="auto" w:fill="auto"/>
          </w:tcPr>
          <w:p w14:paraId="7B671B35" w14:textId="77777777" w:rsidR="0040300B" w:rsidRDefault="0040300B">
            <w:pPr>
              <w:rPr>
                <w:rFonts w:ascii="宋体"/>
              </w:rPr>
            </w:pPr>
          </w:p>
        </w:tc>
      </w:tr>
      <w:tr w:rsidR="0040300B" w14:paraId="7B671B3E" w14:textId="77777777">
        <w:tc>
          <w:tcPr>
            <w:tcW w:w="0" w:type="auto"/>
            <w:gridSpan w:val="3"/>
            <w:shd w:val="clear" w:color="auto" w:fill="auto"/>
            <w:tcMar>
              <w:top w:w="40" w:type="dxa"/>
              <w:left w:w="20" w:type="dxa"/>
              <w:bottom w:w="40" w:type="dxa"/>
              <w:right w:w="20" w:type="dxa"/>
            </w:tcMar>
          </w:tcPr>
          <w:p w14:paraId="7B671B37" w14:textId="77777777" w:rsidR="0040300B" w:rsidRDefault="00BB2D44">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tcPr>
          <w:p w14:paraId="7B671B38"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39" w14:textId="77777777" w:rsidR="0040300B" w:rsidRDefault="00BB2D44">
            <w:pP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tcPr>
          <w:p w14:paraId="7B671B3A" w14:textId="77777777" w:rsidR="0040300B" w:rsidRDefault="0040300B">
            <w:pPr>
              <w:rPr>
                <w:rFonts w:ascii="宋体"/>
              </w:rPr>
            </w:pPr>
          </w:p>
        </w:tc>
        <w:tc>
          <w:tcPr>
            <w:tcW w:w="0" w:type="auto"/>
            <w:gridSpan w:val="21"/>
            <w:shd w:val="clear" w:color="auto" w:fill="auto"/>
            <w:tcMar>
              <w:top w:w="40" w:type="dxa"/>
              <w:left w:w="20" w:type="dxa"/>
              <w:bottom w:w="40" w:type="dxa"/>
              <w:right w:w="20" w:type="dxa"/>
            </w:tcMar>
            <w:vAlign w:val="bottom"/>
          </w:tcPr>
          <w:p w14:paraId="7B671B3B" w14:textId="77777777" w:rsidR="0040300B" w:rsidRDefault="00BB2D44">
            <w:pP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tcPr>
          <w:p w14:paraId="7B671B3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3D" w14:textId="77777777" w:rsidR="0040300B" w:rsidRDefault="00BB2D44">
            <w:pPr>
              <w:spacing w:before="100" w:after="100"/>
              <w:jc w:val="center"/>
              <w:textAlignment w:val="bottom"/>
            </w:pPr>
            <w:r>
              <w:rPr>
                <w:rFonts w:ascii="Times New Roman" w:eastAsia="宋体" w:hAnsi="Times New Roman"/>
                <w:b/>
                <w:bCs/>
                <w:color w:val="000000"/>
                <w:sz w:val="20"/>
                <w:szCs w:val="20"/>
              </w:rPr>
              <w:t>Filed Herewith</w:t>
            </w:r>
          </w:p>
        </w:tc>
      </w:tr>
      <w:tr w:rsidR="0040300B" w14:paraId="7B671B4C" w14:textId="77777777">
        <w:tc>
          <w:tcPr>
            <w:tcW w:w="0" w:type="auto"/>
            <w:gridSpan w:val="3"/>
            <w:tcBorders>
              <w:top w:val="single" w:sz="8" w:space="0" w:color="000000"/>
            </w:tcBorders>
            <w:shd w:val="clear" w:color="auto" w:fill="auto"/>
            <w:tcMar>
              <w:top w:w="0" w:type="dxa"/>
              <w:left w:w="20" w:type="dxa"/>
              <w:bottom w:w="0" w:type="dxa"/>
              <w:right w:w="20" w:type="dxa"/>
            </w:tcMar>
          </w:tcPr>
          <w:p w14:paraId="7B671B3F"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40"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1B41"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42"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B43" w14:textId="77777777" w:rsidR="0040300B" w:rsidRDefault="00BB2D44">
            <w:pP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7B671B44"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B45" w14:textId="77777777" w:rsidR="0040300B" w:rsidRDefault="00BB2D44">
            <w:pP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7B671B46"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B47" w14:textId="77777777" w:rsidR="0040300B" w:rsidRDefault="00BB2D44">
            <w:pP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tcPr>
          <w:p w14:paraId="7B671B48" w14:textId="77777777" w:rsidR="0040300B" w:rsidRDefault="0040300B">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B671B49" w14:textId="77777777" w:rsidR="0040300B" w:rsidRDefault="00BB2D44">
            <w:pP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tcPr>
          <w:p w14:paraId="7B671B4A" w14:textId="77777777" w:rsidR="0040300B" w:rsidRDefault="0040300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B671B4B" w14:textId="77777777" w:rsidR="0040300B" w:rsidRDefault="0040300B">
            <w:pPr>
              <w:rPr>
                <w:rFonts w:ascii="宋体"/>
              </w:rPr>
            </w:pPr>
          </w:p>
        </w:tc>
      </w:tr>
      <w:tr w:rsidR="0040300B" w14:paraId="7B671B5A" w14:textId="77777777">
        <w:tc>
          <w:tcPr>
            <w:tcW w:w="0" w:type="auto"/>
            <w:gridSpan w:val="3"/>
            <w:shd w:val="clear" w:color="auto" w:fill="CCEEFF"/>
            <w:tcMar>
              <w:top w:w="40" w:type="dxa"/>
              <w:left w:w="20" w:type="dxa"/>
              <w:bottom w:w="40" w:type="dxa"/>
              <w:right w:w="20" w:type="dxa"/>
            </w:tcMar>
            <w:vAlign w:val="center"/>
          </w:tcPr>
          <w:p w14:paraId="7B671B4D" w14:textId="77777777" w:rsidR="0040300B" w:rsidRDefault="00BB2D44">
            <w:pPr>
              <w:textAlignment w:val="center"/>
            </w:pPr>
            <w:r>
              <w:rPr>
                <w:rFonts w:ascii="Times New Roman" w:eastAsia="宋体" w:hAnsi="Times New Roman"/>
                <w:color w:val="000000"/>
                <w:sz w:val="20"/>
                <w:szCs w:val="20"/>
              </w:rPr>
              <w:t>101.LAB</w:t>
            </w:r>
          </w:p>
        </w:tc>
        <w:tc>
          <w:tcPr>
            <w:tcW w:w="0" w:type="auto"/>
            <w:gridSpan w:val="3"/>
            <w:shd w:val="clear" w:color="auto" w:fill="CCEEFF"/>
            <w:tcMar>
              <w:top w:w="0" w:type="dxa"/>
              <w:left w:w="20" w:type="dxa"/>
              <w:bottom w:w="0" w:type="dxa"/>
              <w:right w:w="20" w:type="dxa"/>
            </w:tcMar>
          </w:tcPr>
          <w:p w14:paraId="7B671B4E"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B4F" w14:textId="77777777" w:rsidR="0040300B" w:rsidRDefault="00BB2D44">
            <w:pPr>
              <w:textAlignment w:val="center"/>
            </w:pPr>
            <w:r>
              <w:rPr>
                <w:rFonts w:ascii="Times New Roman" w:eastAsia="宋体" w:hAnsi="Times New Roman"/>
                <w:color w:val="000000"/>
                <w:sz w:val="20"/>
                <w:szCs w:val="20"/>
              </w:rPr>
              <w:t>Inline XBRL Taxonomy Extension Label Linkbase Document</w:t>
            </w:r>
          </w:p>
        </w:tc>
        <w:tc>
          <w:tcPr>
            <w:tcW w:w="0" w:type="auto"/>
            <w:gridSpan w:val="3"/>
            <w:shd w:val="clear" w:color="auto" w:fill="CCEEFF"/>
            <w:tcMar>
              <w:top w:w="0" w:type="dxa"/>
              <w:left w:w="20" w:type="dxa"/>
              <w:bottom w:w="0" w:type="dxa"/>
              <w:right w:w="20" w:type="dxa"/>
            </w:tcMar>
          </w:tcPr>
          <w:p w14:paraId="7B671B5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4"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5"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6"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7"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58"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B59"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B68" w14:textId="77777777">
        <w:tc>
          <w:tcPr>
            <w:tcW w:w="0" w:type="auto"/>
            <w:gridSpan w:val="3"/>
            <w:shd w:val="clear" w:color="auto" w:fill="FFFFFF"/>
            <w:tcMar>
              <w:top w:w="40" w:type="dxa"/>
              <w:left w:w="20" w:type="dxa"/>
              <w:bottom w:w="40" w:type="dxa"/>
              <w:right w:w="20" w:type="dxa"/>
            </w:tcMar>
            <w:vAlign w:val="center"/>
          </w:tcPr>
          <w:p w14:paraId="7B671B5B" w14:textId="77777777" w:rsidR="0040300B" w:rsidRDefault="00BB2D44">
            <w:pPr>
              <w:textAlignment w:val="center"/>
            </w:pPr>
            <w:r>
              <w:rPr>
                <w:rFonts w:ascii="Times New Roman" w:eastAsia="宋体" w:hAnsi="Times New Roman"/>
                <w:color w:val="000000"/>
                <w:sz w:val="20"/>
                <w:szCs w:val="20"/>
              </w:rPr>
              <w:t>101.PRE</w:t>
            </w:r>
          </w:p>
        </w:tc>
        <w:tc>
          <w:tcPr>
            <w:tcW w:w="0" w:type="auto"/>
            <w:gridSpan w:val="3"/>
            <w:shd w:val="clear" w:color="auto" w:fill="FFFFFF"/>
            <w:tcMar>
              <w:top w:w="0" w:type="dxa"/>
              <w:left w:w="20" w:type="dxa"/>
              <w:bottom w:w="0" w:type="dxa"/>
              <w:right w:w="20" w:type="dxa"/>
            </w:tcMar>
          </w:tcPr>
          <w:p w14:paraId="7B671B5C"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center"/>
          </w:tcPr>
          <w:p w14:paraId="7B671B5D" w14:textId="77777777" w:rsidR="0040300B" w:rsidRDefault="00BB2D44">
            <w:pPr>
              <w:textAlignment w:val="center"/>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FFFFFF"/>
            <w:tcMar>
              <w:top w:w="0" w:type="dxa"/>
              <w:left w:w="20" w:type="dxa"/>
              <w:bottom w:w="0" w:type="dxa"/>
              <w:right w:w="20" w:type="dxa"/>
            </w:tcMar>
          </w:tcPr>
          <w:p w14:paraId="7B671B5E"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5F"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0"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1"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2"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3"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4"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5" w14:textId="77777777" w:rsidR="0040300B" w:rsidRDefault="0040300B">
            <w:pPr>
              <w:rPr>
                <w:rFonts w:ascii="宋体"/>
              </w:rPr>
            </w:pPr>
          </w:p>
        </w:tc>
        <w:tc>
          <w:tcPr>
            <w:tcW w:w="0" w:type="auto"/>
            <w:gridSpan w:val="3"/>
            <w:shd w:val="clear" w:color="auto" w:fill="FFFFFF"/>
            <w:tcMar>
              <w:top w:w="0" w:type="dxa"/>
              <w:left w:w="20" w:type="dxa"/>
              <w:bottom w:w="0" w:type="dxa"/>
              <w:right w:w="20" w:type="dxa"/>
            </w:tcMar>
          </w:tcPr>
          <w:p w14:paraId="7B671B66" w14:textId="77777777" w:rsidR="0040300B" w:rsidRDefault="0040300B">
            <w:pPr>
              <w:rPr>
                <w:rFonts w:ascii="宋体"/>
              </w:rPr>
            </w:pPr>
          </w:p>
        </w:tc>
        <w:tc>
          <w:tcPr>
            <w:tcW w:w="0" w:type="auto"/>
            <w:gridSpan w:val="3"/>
            <w:shd w:val="clear" w:color="auto" w:fill="FFFFFF"/>
            <w:tcMar>
              <w:top w:w="40" w:type="dxa"/>
              <w:left w:w="20" w:type="dxa"/>
              <w:bottom w:w="40" w:type="dxa"/>
              <w:right w:w="20" w:type="dxa"/>
            </w:tcMar>
            <w:vAlign w:val="center"/>
          </w:tcPr>
          <w:p w14:paraId="7B671B67" w14:textId="77777777" w:rsidR="0040300B" w:rsidRDefault="00BB2D44">
            <w:pPr>
              <w:jc w:val="center"/>
              <w:textAlignment w:val="center"/>
            </w:pPr>
            <w:r>
              <w:rPr>
                <w:rFonts w:ascii="Times New Roman" w:eastAsia="宋体" w:hAnsi="Times New Roman"/>
                <w:color w:val="000000"/>
                <w:sz w:val="20"/>
                <w:szCs w:val="20"/>
              </w:rPr>
              <w:t>X</w:t>
            </w:r>
          </w:p>
        </w:tc>
      </w:tr>
      <w:tr w:rsidR="0040300B" w14:paraId="7B671B76" w14:textId="77777777">
        <w:tc>
          <w:tcPr>
            <w:tcW w:w="0" w:type="auto"/>
            <w:gridSpan w:val="3"/>
            <w:shd w:val="clear" w:color="auto" w:fill="CCEEFF"/>
            <w:tcMar>
              <w:top w:w="40" w:type="dxa"/>
              <w:left w:w="20" w:type="dxa"/>
              <w:bottom w:w="40" w:type="dxa"/>
              <w:right w:w="20" w:type="dxa"/>
            </w:tcMar>
            <w:vAlign w:val="center"/>
          </w:tcPr>
          <w:p w14:paraId="7B671B69" w14:textId="77777777" w:rsidR="0040300B" w:rsidRDefault="00BB2D44">
            <w:pPr>
              <w:textAlignment w:val="center"/>
            </w:pPr>
            <w:r>
              <w:rPr>
                <w:rFonts w:ascii="Times New Roman" w:eastAsia="宋体" w:hAnsi="Times New Roman"/>
                <w:color w:val="000000"/>
                <w:sz w:val="20"/>
                <w:szCs w:val="20"/>
              </w:rPr>
              <w:t>104</w:t>
            </w:r>
          </w:p>
        </w:tc>
        <w:tc>
          <w:tcPr>
            <w:tcW w:w="0" w:type="auto"/>
            <w:gridSpan w:val="3"/>
            <w:shd w:val="clear" w:color="auto" w:fill="CCEEFF"/>
            <w:tcMar>
              <w:top w:w="0" w:type="dxa"/>
              <w:left w:w="20" w:type="dxa"/>
              <w:bottom w:w="0" w:type="dxa"/>
              <w:right w:w="20" w:type="dxa"/>
            </w:tcMar>
          </w:tcPr>
          <w:p w14:paraId="7B671B6A"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B6B" w14:textId="77777777" w:rsidR="0040300B" w:rsidRDefault="00BB2D44">
            <w:pPr>
              <w:textAlignment w:val="center"/>
            </w:pPr>
            <w:r>
              <w:rPr>
                <w:rFonts w:ascii="Times New Roman" w:eastAsia="宋体" w:hAnsi="Times New Roman"/>
                <w:color w:val="000000"/>
                <w:sz w:val="20"/>
                <w:szCs w:val="20"/>
              </w:rPr>
              <w:t xml:space="preserve">Cover Page Interactive Data File </w:t>
            </w:r>
            <w:r>
              <w:rPr>
                <w:rFonts w:ascii="Times New Roman" w:eastAsia="宋体" w:hAnsi="Times New Roman"/>
                <w:color w:val="000000"/>
                <w:sz w:val="20"/>
                <w:szCs w:val="20"/>
              </w:rPr>
              <w:t>(formatted as Inline XBRL and contained in Exhibit 101)</w:t>
            </w:r>
          </w:p>
        </w:tc>
        <w:tc>
          <w:tcPr>
            <w:tcW w:w="0" w:type="auto"/>
            <w:gridSpan w:val="3"/>
            <w:shd w:val="clear" w:color="auto" w:fill="CCEEFF"/>
            <w:tcMar>
              <w:top w:w="0" w:type="dxa"/>
              <w:left w:w="20" w:type="dxa"/>
              <w:bottom w:w="0" w:type="dxa"/>
              <w:right w:w="20" w:type="dxa"/>
            </w:tcMar>
          </w:tcPr>
          <w:p w14:paraId="7B671B6C"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6D"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6E"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6F"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70"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71"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72"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73" w14:textId="77777777" w:rsidR="0040300B" w:rsidRDefault="0040300B">
            <w:pPr>
              <w:rPr>
                <w:rFonts w:ascii="宋体"/>
              </w:rPr>
            </w:pPr>
          </w:p>
        </w:tc>
        <w:tc>
          <w:tcPr>
            <w:tcW w:w="0" w:type="auto"/>
            <w:gridSpan w:val="3"/>
            <w:shd w:val="clear" w:color="auto" w:fill="CCEEFF"/>
            <w:tcMar>
              <w:top w:w="0" w:type="dxa"/>
              <w:left w:w="20" w:type="dxa"/>
              <w:bottom w:w="0" w:type="dxa"/>
              <w:right w:w="20" w:type="dxa"/>
            </w:tcMar>
          </w:tcPr>
          <w:p w14:paraId="7B671B74" w14:textId="77777777" w:rsidR="0040300B" w:rsidRDefault="0040300B">
            <w:pPr>
              <w:rPr>
                <w:rFonts w:ascii="宋体"/>
              </w:rPr>
            </w:pPr>
          </w:p>
        </w:tc>
        <w:tc>
          <w:tcPr>
            <w:tcW w:w="0" w:type="auto"/>
            <w:gridSpan w:val="3"/>
            <w:shd w:val="clear" w:color="auto" w:fill="CCEEFF"/>
            <w:tcMar>
              <w:top w:w="40" w:type="dxa"/>
              <w:left w:w="20" w:type="dxa"/>
              <w:bottom w:w="40" w:type="dxa"/>
              <w:right w:w="20" w:type="dxa"/>
            </w:tcMar>
            <w:vAlign w:val="center"/>
          </w:tcPr>
          <w:p w14:paraId="7B671B75" w14:textId="77777777" w:rsidR="0040300B" w:rsidRDefault="00BB2D44">
            <w:pPr>
              <w:jc w:val="center"/>
              <w:textAlignment w:val="center"/>
            </w:pPr>
            <w:r>
              <w:rPr>
                <w:rFonts w:ascii="Times New Roman" w:eastAsia="宋体" w:hAnsi="Times New Roman"/>
                <w:color w:val="000000"/>
                <w:sz w:val="20"/>
                <w:szCs w:val="20"/>
              </w:rPr>
              <w:t>X</w:t>
            </w:r>
          </w:p>
        </w:tc>
      </w:tr>
    </w:tbl>
    <w:p w14:paraId="7B671B77" w14:textId="77777777" w:rsidR="0040300B" w:rsidRDefault="0040300B">
      <w:pPr>
        <w:rPr>
          <w:vanish/>
        </w:rPr>
      </w:pPr>
    </w:p>
    <w:tbl>
      <w:tblPr>
        <w:tblW w:w="4382" w:type="pct"/>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40300B" w14:paraId="7B671B7E" w14:textId="77777777">
        <w:tc>
          <w:tcPr>
            <w:tcW w:w="50" w:type="pct"/>
            <w:shd w:val="clear" w:color="auto" w:fill="auto"/>
          </w:tcPr>
          <w:p w14:paraId="7B671B78" w14:textId="77777777" w:rsidR="0040300B" w:rsidRDefault="0040300B">
            <w:pPr>
              <w:rPr>
                <w:rFonts w:ascii="宋体"/>
              </w:rPr>
            </w:pPr>
          </w:p>
        </w:tc>
        <w:tc>
          <w:tcPr>
            <w:tcW w:w="494" w:type="pct"/>
            <w:shd w:val="clear" w:color="auto" w:fill="auto"/>
          </w:tcPr>
          <w:p w14:paraId="7B671B79" w14:textId="77777777" w:rsidR="0040300B" w:rsidRDefault="0040300B">
            <w:pPr>
              <w:rPr>
                <w:rFonts w:ascii="宋体"/>
              </w:rPr>
            </w:pPr>
          </w:p>
        </w:tc>
        <w:tc>
          <w:tcPr>
            <w:tcW w:w="5" w:type="pct"/>
            <w:shd w:val="clear" w:color="auto" w:fill="auto"/>
          </w:tcPr>
          <w:p w14:paraId="7B671B7A" w14:textId="77777777" w:rsidR="0040300B" w:rsidRDefault="0040300B">
            <w:pPr>
              <w:rPr>
                <w:rFonts w:ascii="宋体"/>
              </w:rPr>
            </w:pPr>
          </w:p>
        </w:tc>
        <w:tc>
          <w:tcPr>
            <w:tcW w:w="50" w:type="pct"/>
            <w:shd w:val="clear" w:color="auto" w:fill="auto"/>
          </w:tcPr>
          <w:p w14:paraId="7B671B7B" w14:textId="77777777" w:rsidR="0040300B" w:rsidRDefault="0040300B">
            <w:pPr>
              <w:rPr>
                <w:rFonts w:ascii="宋体"/>
              </w:rPr>
            </w:pPr>
          </w:p>
        </w:tc>
        <w:tc>
          <w:tcPr>
            <w:tcW w:w="4395" w:type="pct"/>
            <w:shd w:val="clear" w:color="auto" w:fill="auto"/>
          </w:tcPr>
          <w:p w14:paraId="7B671B7C" w14:textId="77777777" w:rsidR="0040300B" w:rsidRDefault="0040300B">
            <w:pPr>
              <w:rPr>
                <w:rFonts w:ascii="宋体"/>
              </w:rPr>
            </w:pPr>
          </w:p>
        </w:tc>
        <w:tc>
          <w:tcPr>
            <w:tcW w:w="5" w:type="pct"/>
            <w:shd w:val="clear" w:color="auto" w:fill="auto"/>
          </w:tcPr>
          <w:p w14:paraId="7B671B7D" w14:textId="77777777" w:rsidR="0040300B" w:rsidRDefault="0040300B">
            <w:pPr>
              <w:rPr>
                <w:rFonts w:ascii="宋体"/>
              </w:rPr>
            </w:pPr>
          </w:p>
        </w:tc>
      </w:tr>
      <w:tr w:rsidR="0040300B" w14:paraId="7B671B81" w14:textId="77777777">
        <w:tc>
          <w:tcPr>
            <w:tcW w:w="0" w:type="auto"/>
            <w:gridSpan w:val="3"/>
            <w:shd w:val="clear" w:color="auto" w:fill="auto"/>
            <w:tcMar>
              <w:top w:w="40" w:type="dxa"/>
              <w:left w:w="20" w:type="dxa"/>
              <w:bottom w:w="40" w:type="dxa"/>
              <w:right w:w="20" w:type="dxa"/>
            </w:tcMar>
            <w:vAlign w:val="bottom"/>
          </w:tcPr>
          <w:p w14:paraId="7B671B7F" w14:textId="77777777" w:rsidR="0040300B" w:rsidRDefault="00BB2D4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7B671B80" w14:textId="77777777" w:rsidR="0040300B" w:rsidRDefault="00BB2D44">
            <w:pPr>
              <w:textAlignment w:val="bottom"/>
            </w:pPr>
            <w:r>
              <w:rPr>
                <w:rFonts w:ascii="Times New Roman" w:eastAsia="宋体" w:hAnsi="Times New Roman"/>
                <w:color w:val="000000"/>
                <w:sz w:val="20"/>
                <w:szCs w:val="20"/>
              </w:rPr>
              <w:t>Indicates a management contract or compensatory plan or arrangement.</w:t>
            </w:r>
          </w:p>
        </w:tc>
      </w:tr>
    </w:tbl>
    <w:p w14:paraId="7B671B82" w14:textId="77777777" w:rsidR="0040300B" w:rsidRDefault="00BB2D44">
      <w:pPr>
        <w:jc w:val="center"/>
      </w:pPr>
      <w:r>
        <w:rPr>
          <w:rFonts w:ascii="Times New Roman" w:eastAsia="宋体" w:hAnsi="Times New Roman"/>
          <w:color w:val="000000"/>
          <w:sz w:val="20"/>
          <w:szCs w:val="20"/>
        </w:rPr>
        <w:t>86</w:t>
      </w:r>
    </w:p>
    <w:p w14:paraId="7B671B83" w14:textId="77777777" w:rsidR="0040300B" w:rsidRDefault="00BB2D44">
      <w:r>
        <w:pict w14:anchorId="7B671C66">
          <v:rect id="_x0000_i1110" style="width:415.3pt;height:1.5pt" o:hralign="center" o:hrstd="t" o:hr="t" fillcolor="#a0a0a0" stroked="f"/>
        </w:pict>
      </w:r>
    </w:p>
    <w:p w14:paraId="7B671B84" w14:textId="77777777" w:rsidR="0040300B" w:rsidRDefault="00BB2D44">
      <w:hyperlink r:id="rId148" w:anchor="i52d5b40dbad7426a9806a2fd5167029f_7" w:history="1">
        <w:r>
          <w:rPr>
            <w:rStyle w:val="a5"/>
            <w:rFonts w:ascii="Times New Roman" w:eastAsia="宋体" w:hAnsi="Times New Roman"/>
            <w:sz w:val="18"/>
            <w:szCs w:val="18"/>
          </w:rPr>
          <w:t>Table of Contents</w:t>
        </w:r>
      </w:hyperlink>
    </w:p>
    <w:p w14:paraId="7B671B85" w14:textId="77777777" w:rsidR="0040300B" w:rsidRDefault="00BB2D44">
      <w:r>
        <w:rPr>
          <w:rFonts w:ascii="Times New Roman" w:eastAsia="宋体" w:hAnsi="Times New Roman"/>
          <w:color w:val="000000"/>
          <w:sz w:val="20"/>
          <w:szCs w:val="20"/>
        </w:rPr>
        <w:t>Pursuant to the requirements of the Securities Exchange Act of 1934, the registrant has d</w:t>
      </w:r>
      <w:r>
        <w:rPr>
          <w:rFonts w:ascii="Times New Roman" w:eastAsia="宋体" w:hAnsi="Times New Roman"/>
          <w:color w:val="000000"/>
          <w:sz w:val="20"/>
          <w:szCs w:val="20"/>
        </w:rPr>
        <w:t>uly caused this report to be signed on its behalf by the undersigned thereunto duly authorized.</w:t>
      </w:r>
    </w:p>
    <w:p w14:paraId="7B671B86" w14:textId="77777777" w:rsidR="0040300B" w:rsidRDefault="00BB2D44">
      <w:r>
        <w:rPr>
          <w:rFonts w:ascii="Times New Roman" w:eastAsia="宋体" w:hAnsi="Times New Roman"/>
          <w:color w:val="000000"/>
          <w:sz w:val="20"/>
          <w:szCs w:val="20"/>
        </w:rPr>
        <w:t>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40300B" w14:paraId="7B671BA2" w14:textId="77777777">
        <w:trPr>
          <w:jc w:val="center"/>
        </w:trPr>
        <w:tc>
          <w:tcPr>
            <w:tcW w:w="50" w:type="pct"/>
            <w:shd w:val="clear" w:color="auto" w:fill="auto"/>
          </w:tcPr>
          <w:p w14:paraId="7B671B87" w14:textId="77777777" w:rsidR="0040300B" w:rsidRDefault="0040300B">
            <w:pPr>
              <w:rPr>
                <w:rFonts w:ascii="宋体"/>
              </w:rPr>
            </w:pPr>
          </w:p>
        </w:tc>
        <w:tc>
          <w:tcPr>
            <w:tcW w:w="261" w:type="pct"/>
            <w:shd w:val="clear" w:color="auto" w:fill="auto"/>
          </w:tcPr>
          <w:p w14:paraId="7B671B88" w14:textId="77777777" w:rsidR="0040300B" w:rsidRDefault="0040300B">
            <w:pPr>
              <w:rPr>
                <w:rFonts w:ascii="宋体"/>
              </w:rPr>
            </w:pPr>
          </w:p>
        </w:tc>
        <w:tc>
          <w:tcPr>
            <w:tcW w:w="5" w:type="pct"/>
            <w:shd w:val="clear" w:color="auto" w:fill="auto"/>
          </w:tcPr>
          <w:p w14:paraId="7B671B89" w14:textId="77777777" w:rsidR="0040300B" w:rsidRDefault="0040300B">
            <w:pPr>
              <w:rPr>
                <w:rFonts w:ascii="宋体"/>
              </w:rPr>
            </w:pPr>
          </w:p>
        </w:tc>
        <w:tc>
          <w:tcPr>
            <w:tcW w:w="50" w:type="pct"/>
            <w:shd w:val="clear" w:color="auto" w:fill="auto"/>
          </w:tcPr>
          <w:p w14:paraId="7B671B8A" w14:textId="77777777" w:rsidR="0040300B" w:rsidRDefault="0040300B">
            <w:pPr>
              <w:rPr>
                <w:rFonts w:ascii="宋体"/>
              </w:rPr>
            </w:pPr>
          </w:p>
        </w:tc>
        <w:tc>
          <w:tcPr>
            <w:tcW w:w="1210" w:type="pct"/>
            <w:shd w:val="clear" w:color="auto" w:fill="auto"/>
          </w:tcPr>
          <w:p w14:paraId="7B671B8B" w14:textId="77777777" w:rsidR="0040300B" w:rsidRDefault="0040300B">
            <w:pPr>
              <w:rPr>
                <w:rFonts w:ascii="宋体"/>
              </w:rPr>
            </w:pPr>
          </w:p>
        </w:tc>
        <w:tc>
          <w:tcPr>
            <w:tcW w:w="5" w:type="pct"/>
            <w:shd w:val="clear" w:color="auto" w:fill="auto"/>
          </w:tcPr>
          <w:p w14:paraId="7B671B8C" w14:textId="77777777" w:rsidR="0040300B" w:rsidRDefault="0040300B">
            <w:pPr>
              <w:rPr>
                <w:rFonts w:ascii="宋体"/>
              </w:rPr>
            </w:pPr>
          </w:p>
        </w:tc>
        <w:tc>
          <w:tcPr>
            <w:tcW w:w="5" w:type="pct"/>
            <w:shd w:val="clear" w:color="auto" w:fill="auto"/>
          </w:tcPr>
          <w:p w14:paraId="7B671B8D" w14:textId="77777777" w:rsidR="0040300B" w:rsidRDefault="0040300B">
            <w:pPr>
              <w:rPr>
                <w:rFonts w:ascii="宋体"/>
              </w:rPr>
            </w:pPr>
          </w:p>
        </w:tc>
        <w:tc>
          <w:tcPr>
            <w:tcW w:w="45" w:type="pct"/>
            <w:shd w:val="clear" w:color="auto" w:fill="auto"/>
          </w:tcPr>
          <w:p w14:paraId="7B671B8E" w14:textId="77777777" w:rsidR="0040300B" w:rsidRDefault="0040300B">
            <w:pPr>
              <w:rPr>
                <w:rFonts w:ascii="宋体"/>
              </w:rPr>
            </w:pPr>
          </w:p>
        </w:tc>
        <w:tc>
          <w:tcPr>
            <w:tcW w:w="5" w:type="pct"/>
            <w:shd w:val="clear" w:color="auto" w:fill="auto"/>
          </w:tcPr>
          <w:p w14:paraId="7B671B8F" w14:textId="77777777" w:rsidR="0040300B" w:rsidRDefault="0040300B">
            <w:pPr>
              <w:rPr>
                <w:rFonts w:ascii="宋体"/>
              </w:rPr>
            </w:pPr>
          </w:p>
        </w:tc>
        <w:tc>
          <w:tcPr>
            <w:tcW w:w="5" w:type="pct"/>
            <w:shd w:val="clear" w:color="auto" w:fill="auto"/>
          </w:tcPr>
          <w:p w14:paraId="7B671B90" w14:textId="77777777" w:rsidR="0040300B" w:rsidRDefault="0040300B">
            <w:pPr>
              <w:rPr>
                <w:rFonts w:ascii="宋体"/>
              </w:rPr>
            </w:pPr>
          </w:p>
        </w:tc>
        <w:tc>
          <w:tcPr>
            <w:tcW w:w="77" w:type="pct"/>
            <w:shd w:val="clear" w:color="auto" w:fill="auto"/>
          </w:tcPr>
          <w:p w14:paraId="7B671B91" w14:textId="77777777" w:rsidR="0040300B" w:rsidRDefault="0040300B">
            <w:pPr>
              <w:rPr>
                <w:rFonts w:ascii="宋体"/>
              </w:rPr>
            </w:pPr>
          </w:p>
        </w:tc>
        <w:tc>
          <w:tcPr>
            <w:tcW w:w="5" w:type="pct"/>
            <w:shd w:val="clear" w:color="auto" w:fill="auto"/>
          </w:tcPr>
          <w:p w14:paraId="7B671B92" w14:textId="77777777" w:rsidR="0040300B" w:rsidRDefault="0040300B">
            <w:pPr>
              <w:rPr>
                <w:rFonts w:ascii="宋体"/>
              </w:rPr>
            </w:pPr>
          </w:p>
        </w:tc>
        <w:tc>
          <w:tcPr>
            <w:tcW w:w="5" w:type="pct"/>
            <w:shd w:val="clear" w:color="auto" w:fill="auto"/>
          </w:tcPr>
          <w:p w14:paraId="7B671B93" w14:textId="77777777" w:rsidR="0040300B" w:rsidRDefault="0040300B">
            <w:pPr>
              <w:rPr>
                <w:rFonts w:ascii="宋体"/>
              </w:rPr>
            </w:pPr>
          </w:p>
        </w:tc>
        <w:tc>
          <w:tcPr>
            <w:tcW w:w="45" w:type="pct"/>
            <w:shd w:val="clear" w:color="auto" w:fill="auto"/>
          </w:tcPr>
          <w:p w14:paraId="7B671B94" w14:textId="77777777" w:rsidR="0040300B" w:rsidRDefault="0040300B">
            <w:pPr>
              <w:rPr>
                <w:rFonts w:ascii="宋体"/>
              </w:rPr>
            </w:pPr>
          </w:p>
        </w:tc>
        <w:tc>
          <w:tcPr>
            <w:tcW w:w="5" w:type="pct"/>
            <w:shd w:val="clear" w:color="auto" w:fill="auto"/>
          </w:tcPr>
          <w:p w14:paraId="7B671B95" w14:textId="77777777" w:rsidR="0040300B" w:rsidRDefault="0040300B">
            <w:pPr>
              <w:rPr>
                <w:rFonts w:ascii="宋体"/>
              </w:rPr>
            </w:pPr>
          </w:p>
        </w:tc>
        <w:tc>
          <w:tcPr>
            <w:tcW w:w="50" w:type="pct"/>
            <w:shd w:val="clear" w:color="auto" w:fill="auto"/>
          </w:tcPr>
          <w:p w14:paraId="7B671B96" w14:textId="77777777" w:rsidR="0040300B" w:rsidRDefault="0040300B">
            <w:pPr>
              <w:rPr>
                <w:rFonts w:ascii="宋体"/>
              </w:rPr>
            </w:pPr>
          </w:p>
        </w:tc>
        <w:tc>
          <w:tcPr>
            <w:tcW w:w="103" w:type="pct"/>
            <w:shd w:val="clear" w:color="auto" w:fill="auto"/>
          </w:tcPr>
          <w:p w14:paraId="7B671B97" w14:textId="77777777" w:rsidR="0040300B" w:rsidRDefault="0040300B">
            <w:pPr>
              <w:rPr>
                <w:rFonts w:ascii="宋体"/>
              </w:rPr>
            </w:pPr>
          </w:p>
        </w:tc>
        <w:tc>
          <w:tcPr>
            <w:tcW w:w="5" w:type="pct"/>
            <w:shd w:val="clear" w:color="auto" w:fill="auto"/>
          </w:tcPr>
          <w:p w14:paraId="7B671B98" w14:textId="77777777" w:rsidR="0040300B" w:rsidRDefault="0040300B">
            <w:pPr>
              <w:rPr>
                <w:rFonts w:ascii="宋体"/>
              </w:rPr>
            </w:pPr>
          </w:p>
        </w:tc>
        <w:tc>
          <w:tcPr>
            <w:tcW w:w="5" w:type="pct"/>
            <w:shd w:val="clear" w:color="auto" w:fill="auto"/>
          </w:tcPr>
          <w:p w14:paraId="7B671B99" w14:textId="77777777" w:rsidR="0040300B" w:rsidRDefault="0040300B">
            <w:pPr>
              <w:rPr>
                <w:rFonts w:ascii="宋体"/>
              </w:rPr>
            </w:pPr>
          </w:p>
        </w:tc>
        <w:tc>
          <w:tcPr>
            <w:tcW w:w="45" w:type="pct"/>
            <w:shd w:val="clear" w:color="auto" w:fill="auto"/>
          </w:tcPr>
          <w:p w14:paraId="7B671B9A" w14:textId="77777777" w:rsidR="0040300B" w:rsidRDefault="0040300B">
            <w:pPr>
              <w:rPr>
                <w:rFonts w:ascii="宋体"/>
              </w:rPr>
            </w:pPr>
          </w:p>
        </w:tc>
        <w:tc>
          <w:tcPr>
            <w:tcW w:w="5" w:type="pct"/>
            <w:shd w:val="clear" w:color="auto" w:fill="auto"/>
          </w:tcPr>
          <w:p w14:paraId="7B671B9B" w14:textId="77777777" w:rsidR="0040300B" w:rsidRDefault="0040300B">
            <w:pPr>
              <w:rPr>
                <w:rFonts w:ascii="宋体"/>
              </w:rPr>
            </w:pPr>
          </w:p>
        </w:tc>
        <w:tc>
          <w:tcPr>
            <w:tcW w:w="5" w:type="pct"/>
            <w:shd w:val="clear" w:color="auto" w:fill="auto"/>
          </w:tcPr>
          <w:p w14:paraId="7B671B9C" w14:textId="77777777" w:rsidR="0040300B" w:rsidRDefault="0040300B">
            <w:pPr>
              <w:rPr>
                <w:rFonts w:ascii="宋体"/>
              </w:rPr>
            </w:pPr>
          </w:p>
        </w:tc>
        <w:tc>
          <w:tcPr>
            <w:tcW w:w="29" w:type="pct"/>
            <w:shd w:val="clear" w:color="auto" w:fill="auto"/>
          </w:tcPr>
          <w:p w14:paraId="7B671B9D" w14:textId="77777777" w:rsidR="0040300B" w:rsidRDefault="0040300B">
            <w:pPr>
              <w:rPr>
                <w:rFonts w:ascii="宋体"/>
              </w:rPr>
            </w:pPr>
          </w:p>
        </w:tc>
        <w:tc>
          <w:tcPr>
            <w:tcW w:w="5" w:type="pct"/>
            <w:shd w:val="clear" w:color="auto" w:fill="auto"/>
          </w:tcPr>
          <w:p w14:paraId="7B671B9E" w14:textId="77777777" w:rsidR="0040300B" w:rsidRDefault="0040300B">
            <w:pPr>
              <w:rPr>
                <w:rFonts w:ascii="宋体"/>
              </w:rPr>
            </w:pPr>
          </w:p>
        </w:tc>
        <w:tc>
          <w:tcPr>
            <w:tcW w:w="50" w:type="pct"/>
            <w:shd w:val="clear" w:color="auto" w:fill="auto"/>
          </w:tcPr>
          <w:p w14:paraId="7B671B9F" w14:textId="77777777" w:rsidR="0040300B" w:rsidRDefault="0040300B">
            <w:pPr>
              <w:rPr>
                <w:rFonts w:ascii="宋体"/>
              </w:rPr>
            </w:pPr>
          </w:p>
        </w:tc>
        <w:tc>
          <w:tcPr>
            <w:tcW w:w="2911" w:type="pct"/>
            <w:shd w:val="clear" w:color="auto" w:fill="auto"/>
          </w:tcPr>
          <w:p w14:paraId="7B671BA0" w14:textId="77777777" w:rsidR="0040300B" w:rsidRDefault="0040300B">
            <w:pPr>
              <w:rPr>
                <w:rFonts w:ascii="宋体"/>
              </w:rPr>
            </w:pPr>
          </w:p>
        </w:tc>
        <w:tc>
          <w:tcPr>
            <w:tcW w:w="5" w:type="pct"/>
            <w:shd w:val="clear" w:color="auto" w:fill="auto"/>
          </w:tcPr>
          <w:p w14:paraId="7B671BA1" w14:textId="77777777" w:rsidR="0040300B" w:rsidRDefault="0040300B">
            <w:pPr>
              <w:rPr>
                <w:rFonts w:ascii="宋体"/>
              </w:rPr>
            </w:pPr>
          </w:p>
        </w:tc>
      </w:tr>
      <w:tr w:rsidR="0040300B" w14:paraId="7B671BA9" w14:textId="77777777">
        <w:trPr>
          <w:jc w:val="center"/>
        </w:trPr>
        <w:tc>
          <w:tcPr>
            <w:tcW w:w="0" w:type="auto"/>
            <w:gridSpan w:val="3"/>
            <w:shd w:val="clear" w:color="auto" w:fill="auto"/>
            <w:tcMar>
              <w:top w:w="40" w:type="dxa"/>
              <w:left w:w="20" w:type="dxa"/>
              <w:bottom w:w="40" w:type="dxa"/>
              <w:right w:w="20" w:type="dxa"/>
            </w:tcMar>
            <w:vAlign w:val="center"/>
          </w:tcPr>
          <w:p w14:paraId="7B671BA3" w14:textId="77777777" w:rsidR="0040300B" w:rsidRDefault="00BB2D4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A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A5"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center"/>
          </w:tcPr>
          <w:p w14:paraId="7B671BA6" w14:textId="77777777" w:rsidR="0040300B" w:rsidRDefault="00BB2D4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A7" w14:textId="77777777" w:rsidR="0040300B" w:rsidRDefault="0040300B">
            <w:pPr>
              <w:rPr>
                <w:rFonts w:ascii="宋体"/>
              </w:rPr>
            </w:pPr>
          </w:p>
        </w:tc>
        <w:tc>
          <w:tcPr>
            <w:tcW w:w="0" w:type="auto"/>
            <w:gridSpan w:val="12"/>
            <w:shd w:val="clear" w:color="auto" w:fill="auto"/>
            <w:tcMar>
              <w:top w:w="40" w:type="dxa"/>
              <w:left w:w="20" w:type="dxa"/>
              <w:bottom w:w="40" w:type="dxa"/>
              <w:right w:w="20" w:type="dxa"/>
            </w:tcMar>
            <w:vAlign w:val="center"/>
          </w:tcPr>
          <w:p w14:paraId="7B671BA8" w14:textId="77777777" w:rsidR="0040300B" w:rsidRDefault="00BB2D44">
            <w:pPr>
              <w:textAlignment w:val="center"/>
            </w:pPr>
            <w:r>
              <w:rPr>
                <w:rFonts w:ascii="Times New Roman" w:eastAsia="宋体" w:hAnsi="Times New Roman"/>
                <w:color w:val="000000"/>
                <w:sz w:val="20"/>
                <w:szCs w:val="20"/>
              </w:rPr>
              <w:t> </w:t>
            </w:r>
          </w:p>
        </w:tc>
      </w:tr>
      <w:tr w:rsidR="0040300B" w14:paraId="7B671BB0" w14:textId="77777777">
        <w:trPr>
          <w:jc w:val="center"/>
        </w:trPr>
        <w:tc>
          <w:tcPr>
            <w:tcW w:w="0" w:type="auto"/>
            <w:gridSpan w:val="3"/>
            <w:shd w:val="clear" w:color="auto" w:fill="auto"/>
            <w:tcMar>
              <w:top w:w="40" w:type="dxa"/>
              <w:left w:w="20" w:type="dxa"/>
              <w:bottom w:w="40" w:type="dxa"/>
              <w:right w:w="20" w:type="dxa"/>
            </w:tcMar>
            <w:vAlign w:val="bottom"/>
          </w:tcPr>
          <w:p w14:paraId="7B671BAA"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AB"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AC"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AD"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AE" w14:textId="77777777" w:rsidR="0040300B" w:rsidRDefault="0040300B">
            <w:pPr>
              <w:rPr>
                <w:rFonts w:ascii="宋体"/>
              </w:rPr>
            </w:pPr>
          </w:p>
        </w:tc>
        <w:tc>
          <w:tcPr>
            <w:tcW w:w="0" w:type="auto"/>
            <w:gridSpan w:val="12"/>
            <w:shd w:val="clear" w:color="auto" w:fill="auto"/>
            <w:tcMar>
              <w:top w:w="40" w:type="dxa"/>
              <w:left w:w="110" w:type="dxa"/>
              <w:bottom w:w="40" w:type="dxa"/>
              <w:right w:w="20" w:type="dxa"/>
            </w:tcMar>
            <w:vAlign w:val="bottom"/>
          </w:tcPr>
          <w:p w14:paraId="7B671BAF" w14:textId="77777777" w:rsidR="0040300B" w:rsidRDefault="00BB2D44">
            <w:pPr>
              <w:textAlignment w:val="bottom"/>
            </w:pPr>
            <w:r>
              <w:rPr>
                <w:rFonts w:ascii="Times New Roman" w:eastAsia="宋体" w:hAnsi="Times New Roman"/>
                <w:color w:val="000000"/>
                <w:sz w:val="20"/>
                <w:szCs w:val="20"/>
              </w:rPr>
              <w:t>Cisco Systems, Inc.</w:t>
            </w:r>
          </w:p>
        </w:tc>
      </w:tr>
      <w:tr w:rsidR="0040300B" w14:paraId="7B671BB7" w14:textId="77777777">
        <w:trPr>
          <w:jc w:val="center"/>
        </w:trPr>
        <w:tc>
          <w:tcPr>
            <w:tcW w:w="0" w:type="auto"/>
            <w:gridSpan w:val="3"/>
            <w:shd w:val="clear" w:color="auto" w:fill="auto"/>
            <w:tcMar>
              <w:top w:w="40" w:type="dxa"/>
              <w:left w:w="20" w:type="dxa"/>
              <w:bottom w:w="40" w:type="dxa"/>
              <w:right w:w="20" w:type="dxa"/>
            </w:tcMar>
            <w:vAlign w:val="center"/>
          </w:tcPr>
          <w:p w14:paraId="7B671BB1" w14:textId="77777777" w:rsidR="0040300B" w:rsidRDefault="00BB2D4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B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B3"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B4"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B5" w14:textId="77777777" w:rsidR="0040300B" w:rsidRDefault="0040300B">
            <w:pPr>
              <w:rPr>
                <w:rFonts w:ascii="宋体"/>
              </w:rPr>
            </w:pPr>
          </w:p>
        </w:tc>
        <w:tc>
          <w:tcPr>
            <w:tcW w:w="0" w:type="auto"/>
            <w:gridSpan w:val="12"/>
            <w:shd w:val="clear" w:color="auto" w:fill="auto"/>
            <w:tcMar>
              <w:top w:w="40" w:type="dxa"/>
              <w:left w:w="20" w:type="dxa"/>
              <w:bottom w:w="40" w:type="dxa"/>
              <w:right w:w="20" w:type="dxa"/>
            </w:tcMar>
            <w:vAlign w:val="center"/>
          </w:tcPr>
          <w:p w14:paraId="7B671BB6" w14:textId="77777777" w:rsidR="0040300B" w:rsidRDefault="00BB2D44">
            <w:pPr>
              <w:textAlignment w:val="center"/>
            </w:pPr>
            <w:r>
              <w:rPr>
                <w:rFonts w:ascii="Times New Roman" w:eastAsia="宋体" w:hAnsi="Times New Roman"/>
                <w:color w:val="000000"/>
                <w:sz w:val="20"/>
                <w:szCs w:val="20"/>
              </w:rPr>
              <w:t> </w:t>
            </w:r>
          </w:p>
        </w:tc>
      </w:tr>
      <w:tr w:rsidR="0040300B" w14:paraId="7B671BC0" w14:textId="77777777">
        <w:trPr>
          <w:jc w:val="center"/>
        </w:trPr>
        <w:tc>
          <w:tcPr>
            <w:tcW w:w="0" w:type="auto"/>
            <w:gridSpan w:val="3"/>
            <w:shd w:val="clear" w:color="auto" w:fill="auto"/>
            <w:tcMar>
              <w:top w:w="40" w:type="dxa"/>
              <w:left w:w="20" w:type="dxa"/>
              <w:bottom w:w="40" w:type="dxa"/>
              <w:right w:w="20" w:type="dxa"/>
            </w:tcMar>
            <w:vAlign w:val="bottom"/>
          </w:tcPr>
          <w:p w14:paraId="7B671BB8" w14:textId="77777777" w:rsidR="0040300B" w:rsidRDefault="00BB2D44">
            <w:pPr>
              <w:jc w:val="right"/>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7B671BB9" w14:textId="77777777" w:rsidR="0040300B" w:rsidRDefault="00BB2D44">
            <w:pPr>
              <w:textAlignment w:val="bottom"/>
            </w:pPr>
            <w:r>
              <w:rPr>
                <w:rFonts w:ascii="Times New Roman" w:eastAsia="宋体" w:hAnsi="Times New Roman"/>
                <w:color w:val="000000"/>
                <w:sz w:val="20"/>
                <w:szCs w:val="20"/>
              </w:rPr>
              <w:t>May 25, 2021</w:t>
            </w:r>
          </w:p>
        </w:tc>
        <w:tc>
          <w:tcPr>
            <w:tcW w:w="0" w:type="auto"/>
            <w:gridSpan w:val="3"/>
            <w:shd w:val="clear" w:color="auto" w:fill="auto"/>
            <w:tcMar>
              <w:top w:w="0" w:type="dxa"/>
              <w:left w:w="20" w:type="dxa"/>
              <w:bottom w:w="0" w:type="dxa"/>
              <w:right w:w="20" w:type="dxa"/>
            </w:tcMar>
          </w:tcPr>
          <w:p w14:paraId="7B671BBA"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BB"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BC" w14:textId="77777777" w:rsidR="0040300B" w:rsidRDefault="0040300B">
            <w:pPr>
              <w:rPr>
                <w:rFonts w:ascii="宋体"/>
              </w:rPr>
            </w:pPr>
          </w:p>
        </w:tc>
        <w:tc>
          <w:tcPr>
            <w:tcW w:w="0" w:type="auto"/>
            <w:gridSpan w:val="6"/>
            <w:shd w:val="clear" w:color="auto" w:fill="auto"/>
            <w:tcMar>
              <w:top w:w="40" w:type="dxa"/>
              <w:left w:w="20" w:type="dxa"/>
              <w:bottom w:w="40" w:type="dxa"/>
              <w:right w:w="20" w:type="dxa"/>
            </w:tcMar>
            <w:vAlign w:val="bottom"/>
          </w:tcPr>
          <w:p w14:paraId="7B671BBD" w14:textId="77777777" w:rsidR="0040300B" w:rsidRDefault="00BB2D44">
            <w:pPr>
              <w:jc w:val="right"/>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7B671BBE"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BF" w14:textId="77777777" w:rsidR="0040300B" w:rsidRDefault="00BB2D44">
            <w:pPr>
              <w:textAlignment w:val="bottom"/>
            </w:pPr>
            <w:r>
              <w:rPr>
                <w:rFonts w:ascii="Times New Roman" w:eastAsia="宋体" w:hAnsi="Times New Roman"/>
                <w:color w:val="000000"/>
                <w:sz w:val="16"/>
                <w:szCs w:val="16"/>
              </w:rPr>
              <w:t xml:space="preserve">/S/ </w:t>
            </w:r>
            <w:r>
              <w:rPr>
                <w:rFonts w:ascii="Times New Roman" w:eastAsia="宋体" w:hAnsi="Times New Roman"/>
                <w:color w:val="000000"/>
                <w:sz w:val="20"/>
                <w:szCs w:val="20"/>
              </w:rPr>
              <w:t>R. Scott Herren</w:t>
            </w:r>
          </w:p>
        </w:tc>
      </w:tr>
      <w:tr w:rsidR="0040300B" w14:paraId="7B671BC9" w14:textId="77777777">
        <w:trPr>
          <w:jc w:val="center"/>
        </w:trPr>
        <w:tc>
          <w:tcPr>
            <w:tcW w:w="0" w:type="auto"/>
            <w:gridSpan w:val="3"/>
            <w:shd w:val="clear" w:color="auto" w:fill="auto"/>
            <w:tcMar>
              <w:top w:w="40" w:type="dxa"/>
              <w:left w:w="20" w:type="dxa"/>
              <w:bottom w:w="40" w:type="dxa"/>
              <w:right w:w="20" w:type="dxa"/>
            </w:tcMar>
            <w:vAlign w:val="bottom"/>
          </w:tcPr>
          <w:p w14:paraId="7B671BC1"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C2" w14:textId="77777777" w:rsidR="0040300B" w:rsidRDefault="0040300B">
            <w:pPr>
              <w:rPr>
                <w:rFonts w:ascii="宋体"/>
              </w:rPr>
            </w:pPr>
          </w:p>
        </w:tc>
        <w:tc>
          <w:tcPr>
            <w:tcW w:w="0" w:type="auto"/>
            <w:gridSpan w:val="3"/>
            <w:shd w:val="clear" w:color="auto" w:fill="auto"/>
            <w:tcMar>
              <w:top w:w="0" w:type="dxa"/>
              <w:left w:w="20" w:type="dxa"/>
              <w:bottom w:w="0" w:type="dxa"/>
              <w:right w:w="20" w:type="dxa"/>
            </w:tcMar>
          </w:tcPr>
          <w:p w14:paraId="7B671BC3" w14:textId="77777777" w:rsidR="0040300B" w:rsidRDefault="0040300B">
            <w:pPr>
              <w:rPr>
                <w:rFonts w:ascii="宋体"/>
              </w:rPr>
            </w:pPr>
          </w:p>
        </w:tc>
        <w:tc>
          <w:tcPr>
            <w:tcW w:w="0" w:type="auto"/>
            <w:gridSpan w:val="3"/>
            <w:shd w:val="clear" w:color="auto" w:fill="auto"/>
            <w:tcMar>
              <w:top w:w="40" w:type="dxa"/>
              <w:left w:w="20" w:type="dxa"/>
              <w:bottom w:w="40" w:type="dxa"/>
              <w:right w:w="20" w:type="dxa"/>
            </w:tcMar>
            <w:vAlign w:val="bottom"/>
          </w:tcPr>
          <w:p w14:paraId="7B671BC4"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C5" w14:textId="77777777" w:rsidR="0040300B" w:rsidRDefault="0040300B">
            <w:pPr>
              <w:rPr>
                <w:rFonts w:ascii="宋体"/>
              </w:rPr>
            </w:pPr>
          </w:p>
        </w:tc>
        <w:tc>
          <w:tcPr>
            <w:tcW w:w="0" w:type="auto"/>
            <w:gridSpan w:val="6"/>
            <w:shd w:val="clear" w:color="auto" w:fill="auto"/>
            <w:tcMar>
              <w:top w:w="40" w:type="dxa"/>
              <w:left w:w="20" w:type="dxa"/>
              <w:bottom w:w="40" w:type="dxa"/>
              <w:right w:w="20" w:type="dxa"/>
            </w:tcMar>
            <w:vAlign w:val="bottom"/>
          </w:tcPr>
          <w:p w14:paraId="7B671BC6" w14:textId="77777777" w:rsidR="0040300B" w:rsidRDefault="00BB2D4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tcPr>
          <w:p w14:paraId="7B671BC7" w14:textId="77777777" w:rsidR="0040300B" w:rsidRDefault="0040300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B671BC8" w14:textId="77777777" w:rsidR="0040300B" w:rsidRDefault="00BB2D44">
            <w:pPr>
              <w:textAlignment w:val="top"/>
            </w:pPr>
            <w:r>
              <w:rPr>
                <w:rFonts w:ascii="Times New Roman" w:eastAsia="宋体" w:hAnsi="Times New Roman"/>
                <w:color w:val="000000"/>
                <w:sz w:val="20"/>
                <w:szCs w:val="20"/>
              </w:rPr>
              <w:t>R. Scott Herren</w:t>
            </w:r>
            <w:r>
              <w:rPr>
                <w:rFonts w:ascii="Times New Roman" w:eastAsia="宋体" w:hAnsi="Times New Roman"/>
                <w:color w:val="000000"/>
                <w:sz w:val="20"/>
                <w:szCs w:val="20"/>
              </w:rPr>
              <w:br/>
              <w:t>Executive Vice President and</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t xml:space="preserve">(Principal </w:t>
            </w:r>
            <w:r>
              <w:rPr>
                <w:rFonts w:ascii="Times New Roman" w:eastAsia="宋体" w:hAnsi="Times New Roman"/>
                <w:color w:val="000000"/>
                <w:sz w:val="20"/>
                <w:szCs w:val="20"/>
              </w:rPr>
              <w:t>Financial Officer and duly authorized signatory)</w:t>
            </w:r>
          </w:p>
        </w:tc>
      </w:tr>
    </w:tbl>
    <w:p w14:paraId="7B671BCA" w14:textId="77777777" w:rsidR="0040300B" w:rsidRDefault="0040300B"/>
    <w:p w14:paraId="7B671BCB" w14:textId="77777777" w:rsidR="0040300B" w:rsidRDefault="00BB2D44">
      <w:pPr>
        <w:jc w:val="center"/>
      </w:pPr>
      <w:r>
        <w:rPr>
          <w:rFonts w:ascii="Times New Roman" w:eastAsia="宋体" w:hAnsi="Times New Roman"/>
          <w:color w:val="000000"/>
          <w:sz w:val="20"/>
          <w:szCs w:val="20"/>
        </w:rPr>
        <w:t>87</w:t>
      </w:r>
    </w:p>
    <w:p w14:paraId="7B671BCC" w14:textId="77777777" w:rsidR="0040300B" w:rsidRDefault="00BB2D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B671C67" wp14:editId="7B671C68">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CE" w14:textId="77777777">
        <w:trPr>
          <w:tblCellSpacing w:w="15" w:type="dxa"/>
        </w:trPr>
        <w:tc>
          <w:tcPr>
            <w:tcW w:w="0" w:type="auto"/>
            <w:shd w:val="clear" w:color="auto" w:fill="auto"/>
            <w:vAlign w:val="center"/>
          </w:tcPr>
          <w:p w14:paraId="7B671BCD" w14:textId="77777777" w:rsidR="0040300B" w:rsidRDefault="0040300B">
            <w:pPr>
              <w:rPr>
                <w:rFonts w:ascii="宋体"/>
              </w:rPr>
            </w:pPr>
          </w:p>
        </w:tc>
      </w:tr>
    </w:tbl>
    <w:p w14:paraId="7B671BCF"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D1" w14:textId="77777777">
        <w:trPr>
          <w:tblCellSpacing w:w="15" w:type="dxa"/>
        </w:trPr>
        <w:tc>
          <w:tcPr>
            <w:tcW w:w="0" w:type="auto"/>
            <w:shd w:val="clear" w:color="auto" w:fill="auto"/>
            <w:vAlign w:val="center"/>
          </w:tcPr>
          <w:p w14:paraId="7B671BD0" w14:textId="77777777" w:rsidR="0040300B" w:rsidRDefault="0040300B">
            <w:pPr>
              <w:rPr>
                <w:rFonts w:ascii="宋体"/>
              </w:rPr>
            </w:pPr>
          </w:p>
        </w:tc>
      </w:tr>
    </w:tbl>
    <w:p w14:paraId="7B671BD2"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D4" w14:textId="77777777">
        <w:trPr>
          <w:tblCellSpacing w:w="15" w:type="dxa"/>
        </w:trPr>
        <w:tc>
          <w:tcPr>
            <w:tcW w:w="0" w:type="auto"/>
            <w:shd w:val="clear" w:color="auto" w:fill="auto"/>
            <w:vAlign w:val="center"/>
          </w:tcPr>
          <w:p w14:paraId="7B671BD3" w14:textId="77777777" w:rsidR="0040300B" w:rsidRDefault="0040300B">
            <w:pPr>
              <w:rPr>
                <w:rFonts w:ascii="宋体"/>
              </w:rPr>
            </w:pPr>
          </w:p>
        </w:tc>
      </w:tr>
    </w:tbl>
    <w:p w14:paraId="7B671BD5"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D7" w14:textId="77777777">
        <w:trPr>
          <w:tblCellSpacing w:w="15" w:type="dxa"/>
        </w:trPr>
        <w:tc>
          <w:tcPr>
            <w:tcW w:w="0" w:type="auto"/>
            <w:shd w:val="clear" w:color="auto" w:fill="auto"/>
            <w:vAlign w:val="center"/>
          </w:tcPr>
          <w:p w14:paraId="7B671BD6" w14:textId="77777777" w:rsidR="0040300B" w:rsidRDefault="0040300B">
            <w:pPr>
              <w:rPr>
                <w:rFonts w:ascii="宋体"/>
              </w:rPr>
            </w:pPr>
          </w:p>
        </w:tc>
      </w:tr>
    </w:tbl>
    <w:p w14:paraId="7B671BD8" w14:textId="77777777" w:rsidR="0040300B" w:rsidRDefault="00BB2D44">
      <w:r>
        <w:rPr>
          <w:rFonts w:ascii="宋体" w:eastAsia="宋体" w:hAnsi="宋体" w:cs="宋体"/>
        </w:rPr>
        <w:t xml:space="preserve">Previous Next </w:t>
      </w:r>
    </w:p>
    <w:p w14:paraId="7B671BD9" w14:textId="77777777" w:rsidR="0040300B" w:rsidRDefault="00BB2D44">
      <w:pPr>
        <w:pStyle w:val="a3"/>
      </w:pPr>
      <w:r>
        <w:t>Settings</w:t>
      </w:r>
    </w:p>
    <w:p w14:paraId="7B671BDA" w14:textId="77777777" w:rsidR="0040300B" w:rsidRDefault="00BB2D44">
      <w:pPr>
        <w:pStyle w:val="Style4"/>
      </w:pPr>
      <w:r>
        <w:t>窗体顶端</w:t>
      </w:r>
    </w:p>
    <w:p w14:paraId="7B671BDB" w14:textId="77777777" w:rsidR="0040300B" w:rsidRDefault="00BB2D4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B671C69" wp14:editId="7B671C6A">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B671BDC" w14:textId="77777777" w:rsidR="0040300B" w:rsidRDefault="00BB2D4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B671C6B" wp14:editId="7B671C6C">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B671BDD" w14:textId="77777777" w:rsidR="0040300B" w:rsidRDefault="00BB2D44">
      <w:r>
        <w:pict w14:anchorId="7B671C6D">
          <v:rect id="_x0000_i1111" style="width:415.3pt;height:1.5pt" o:hralign="center" o:hrstd="t" o:hr="t" fillcolor="#a0a0a0" stroked="f"/>
        </w:pict>
      </w:r>
    </w:p>
    <w:p w14:paraId="7B671BDE" w14:textId="77777777" w:rsidR="0040300B" w:rsidRDefault="00BB2D44">
      <w:r>
        <w:rPr>
          <w:rFonts w:ascii="宋体" w:eastAsia="宋体" w:hAnsi="宋体" w:cs="宋体"/>
        </w:rPr>
        <w:t xml:space="preserve">Tagged Data </w:t>
      </w:r>
    </w:p>
    <w:p w14:paraId="7B671BDF" w14:textId="77777777" w:rsidR="0040300B" w:rsidRDefault="00BB2D44">
      <w:r>
        <w:rPr>
          <w:rFonts w:ascii="monospace" w:eastAsia="monospace" w:hAnsi="monospace" w:cs="monospace"/>
          <w:noProof/>
        </w:rPr>
        <mc:AlternateContent>
          <mc:Choice Requires="wps">
            <w:drawing>
              <wp:inline distT="0" distB="0" distL="114300" distR="114300" wp14:anchorId="7B671C6E" wp14:editId="7B671C6F">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B671BE0" w14:textId="77777777" w:rsidR="0040300B" w:rsidRDefault="00BB2D44">
      <w:r>
        <w:rPr>
          <w:rFonts w:ascii="宋体" w:eastAsia="宋体" w:hAnsi="宋体" w:cs="宋体"/>
        </w:rPr>
        <w:t>Save</w:t>
      </w:r>
    </w:p>
    <w:p w14:paraId="7B671BE1" w14:textId="77777777" w:rsidR="0040300B" w:rsidRDefault="00BB2D44">
      <w:r>
        <w:rPr>
          <w:rFonts w:ascii="宋体" w:eastAsia="宋体" w:hAnsi="宋体" w:cs="宋体"/>
        </w:rPr>
        <w:t>Reset</w:t>
      </w:r>
    </w:p>
    <w:p w14:paraId="7B671BE2" w14:textId="77777777" w:rsidR="0040300B" w:rsidRDefault="00BB2D44">
      <w:r>
        <w:pict w14:anchorId="7B671C70">
          <v:rect id="_x0000_i1112" style="width:415.3pt;height:1.5pt" o:hralign="center" o:hrstd="t" o:hr="t" fillcolor="#a0a0a0" stroked="f"/>
        </w:pict>
      </w:r>
    </w:p>
    <w:p w14:paraId="7B671BE3" w14:textId="77777777" w:rsidR="0040300B" w:rsidRDefault="00BB2D44">
      <w:r>
        <w:rPr>
          <w:rFonts w:ascii="宋体" w:eastAsia="宋体" w:hAnsi="宋体" w:cs="宋体"/>
        </w:rPr>
        <w:t xml:space="preserve">Search Results </w:t>
      </w:r>
    </w:p>
    <w:p w14:paraId="7B671BE4" w14:textId="77777777" w:rsidR="0040300B" w:rsidRDefault="00BB2D44">
      <w:r>
        <w:rPr>
          <w:rFonts w:ascii="monospace" w:eastAsia="monospace" w:hAnsi="monospace" w:cs="monospace"/>
          <w:noProof/>
        </w:rPr>
        <mc:AlternateContent>
          <mc:Choice Requires="wps">
            <w:drawing>
              <wp:inline distT="0" distB="0" distL="114300" distR="114300" wp14:anchorId="7B671C71" wp14:editId="7B671C72">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B671BE5" w14:textId="77777777" w:rsidR="0040300B" w:rsidRDefault="00BB2D44">
      <w:r>
        <w:rPr>
          <w:rFonts w:ascii="宋体" w:eastAsia="宋体" w:hAnsi="宋体" w:cs="宋体"/>
        </w:rPr>
        <w:t>Save</w:t>
      </w:r>
    </w:p>
    <w:p w14:paraId="7B671BE6" w14:textId="77777777" w:rsidR="0040300B" w:rsidRDefault="00BB2D44">
      <w:r>
        <w:rPr>
          <w:rFonts w:ascii="宋体" w:eastAsia="宋体" w:hAnsi="宋体" w:cs="宋体"/>
        </w:rPr>
        <w:t>Reset</w:t>
      </w:r>
    </w:p>
    <w:p w14:paraId="7B671BE7" w14:textId="77777777" w:rsidR="0040300B" w:rsidRDefault="00BB2D44">
      <w:r>
        <w:pict w14:anchorId="7B671C73">
          <v:rect id="_x0000_i1113" style="width:415.3pt;height:1.5pt" o:hralign="center" o:hrstd="t" o:hr="t" fillcolor="#a0a0a0" stroked="f"/>
        </w:pict>
      </w:r>
    </w:p>
    <w:p w14:paraId="7B671BE8" w14:textId="77777777" w:rsidR="0040300B" w:rsidRDefault="00BB2D44">
      <w:r>
        <w:rPr>
          <w:rFonts w:ascii="宋体" w:eastAsia="宋体" w:hAnsi="宋体" w:cs="宋体"/>
        </w:rPr>
        <w:t xml:space="preserve">Selected Fact </w:t>
      </w:r>
    </w:p>
    <w:p w14:paraId="7B671BE9" w14:textId="77777777" w:rsidR="0040300B" w:rsidRDefault="00BB2D44">
      <w:r>
        <w:rPr>
          <w:rFonts w:ascii="monospace" w:eastAsia="monospace" w:hAnsi="monospace" w:cs="monospace"/>
          <w:noProof/>
        </w:rPr>
        <mc:AlternateContent>
          <mc:Choice Requires="wps">
            <w:drawing>
              <wp:inline distT="0" distB="0" distL="114300" distR="114300" wp14:anchorId="7B671C74" wp14:editId="7B671C7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B671BEA" w14:textId="77777777" w:rsidR="0040300B" w:rsidRDefault="00BB2D44">
      <w:r>
        <w:rPr>
          <w:rFonts w:ascii="宋体" w:eastAsia="宋体" w:hAnsi="宋体" w:cs="宋体"/>
        </w:rPr>
        <w:t>Save</w:t>
      </w:r>
    </w:p>
    <w:p w14:paraId="7B671BEB" w14:textId="77777777" w:rsidR="0040300B" w:rsidRDefault="00BB2D44">
      <w:r>
        <w:rPr>
          <w:rFonts w:ascii="宋体" w:eastAsia="宋体" w:hAnsi="宋体" w:cs="宋体"/>
        </w:rPr>
        <w:t>Reset</w:t>
      </w:r>
    </w:p>
    <w:p w14:paraId="7B671BEC" w14:textId="77777777" w:rsidR="0040300B" w:rsidRDefault="00BB2D44">
      <w:r>
        <w:pict w14:anchorId="7B671C76">
          <v:rect id="_x0000_i1114" style="width:415.3pt;height:1.5pt" o:hralign="center" o:hrstd="t" o:hr="t" fillcolor="#a0a0a0" stroked="f"/>
        </w:pict>
      </w:r>
    </w:p>
    <w:p w14:paraId="7B671BED" w14:textId="77777777" w:rsidR="0040300B" w:rsidRDefault="00BB2D44">
      <w:r>
        <w:rPr>
          <w:rFonts w:ascii="宋体" w:eastAsia="宋体" w:hAnsi="宋体" w:cs="宋体"/>
        </w:rPr>
        <w:t xml:space="preserve">Tag Shading (hover) </w:t>
      </w:r>
    </w:p>
    <w:p w14:paraId="7B671BEE" w14:textId="77777777" w:rsidR="0040300B" w:rsidRDefault="00BB2D44">
      <w:r>
        <w:rPr>
          <w:rFonts w:ascii="monospace" w:eastAsia="monospace" w:hAnsi="monospace" w:cs="monospace"/>
          <w:noProof/>
        </w:rPr>
        <mc:AlternateContent>
          <mc:Choice Requires="wps">
            <w:drawing>
              <wp:inline distT="0" distB="0" distL="114300" distR="114300" wp14:anchorId="7B671C77" wp14:editId="7B671C78">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B671BEF" w14:textId="77777777" w:rsidR="0040300B" w:rsidRDefault="00BB2D44">
      <w:r>
        <w:rPr>
          <w:rFonts w:ascii="宋体" w:eastAsia="宋体" w:hAnsi="宋体" w:cs="宋体"/>
        </w:rPr>
        <w:t>Save</w:t>
      </w:r>
    </w:p>
    <w:p w14:paraId="7B671BF0" w14:textId="77777777" w:rsidR="0040300B" w:rsidRDefault="00BB2D44">
      <w:r>
        <w:rPr>
          <w:rFonts w:ascii="宋体" w:eastAsia="宋体" w:hAnsi="宋体" w:cs="宋体"/>
        </w:rPr>
        <w:t>Reset</w:t>
      </w:r>
    </w:p>
    <w:p w14:paraId="7B671BF1" w14:textId="77777777" w:rsidR="0040300B" w:rsidRDefault="00BB2D44">
      <w:pPr>
        <w:pStyle w:val="Style5"/>
      </w:pPr>
      <w:r>
        <w:t>窗体底端</w:t>
      </w:r>
    </w:p>
    <w:p w14:paraId="7B671BF2" w14:textId="77777777" w:rsidR="0040300B" w:rsidRDefault="00BB2D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B671C79" wp14:editId="7B671C7A">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F4" w14:textId="77777777">
        <w:trPr>
          <w:tblCellSpacing w:w="15" w:type="dxa"/>
        </w:trPr>
        <w:tc>
          <w:tcPr>
            <w:tcW w:w="0" w:type="auto"/>
            <w:shd w:val="clear" w:color="auto" w:fill="auto"/>
            <w:vAlign w:val="center"/>
          </w:tcPr>
          <w:p w14:paraId="7B671BF3" w14:textId="77777777" w:rsidR="0040300B" w:rsidRDefault="0040300B">
            <w:pPr>
              <w:rPr>
                <w:rFonts w:ascii="宋体"/>
              </w:rPr>
            </w:pPr>
          </w:p>
        </w:tc>
      </w:tr>
    </w:tbl>
    <w:p w14:paraId="7B671BF5"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F7" w14:textId="77777777">
        <w:trPr>
          <w:tblCellSpacing w:w="15" w:type="dxa"/>
        </w:trPr>
        <w:tc>
          <w:tcPr>
            <w:tcW w:w="0" w:type="auto"/>
            <w:shd w:val="clear" w:color="auto" w:fill="auto"/>
            <w:vAlign w:val="center"/>
          </w:tcPr>
          <w:p w14:paraId="7B671BF6" w14:textId="77777777" w:rsidR="0040300B" w:rsidRDefault="0040300B">
            <w:pPr>
              <w:rPr>
                <w:rFonts w:ascii="宋体"/>
              </w:rPr>
            </w:pPr>
          </w:p>
        </w:tc>
      </w:tr>
    </w:tbl>
    <w:p w14:paraId="7B671BF8"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FA" w14:textId="77777777">
        <w:trPr>
          <w:tblCellSpacing w:w="15" w:type="dxa"/>
        </w:trPr>
        <w:tc>
          <w:tcPr>
            <w:tcW w:w="0" w:type="auto"/>
            <w:shd w:val="clear" w:color="auto" w:fill="auto"/>
            <w:vAlign w:val="center"/>
          </w:tcPr>
          <w:p w14:paraId="7B671BF9" w14:textId="77777777" w:rsidR="0040300B" w:rsidRDefault="0040300B">
            <w:pPr>
              <w:rPr>
                <w:rFonts w:ascii="宋体"/>
              </w:rPr>
            </w:pPr>
          </w:p>
        </w:tc>
      </w:tr>
    </w:tbl>
    <w:p w14:paraId="7B671BFB"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BFD" w14:textId="77777777">
        <w:trPr>
          <w:tblCellSpacing w:w="15" w:type="dxa"/>
        </w:trPr>
        <w:tc>
          <w:tcPr>
            <w:tcW w:w="0" w:type="auto"/>
            <w:shd w:val="clear" w:color="auto" w:fill="auto"/>
            <w:vAlign w:val="center"/>
          </w:tcPr>
          <w:p w14:paraId="7B671BFC" w14:textId="77777777" w:rsidR="0040300B" w:rsidRDefault="0040300B">
            <w:pPr>
              <w:rPr>
                <w:rFonts w:ascii="宋体"/>
              </w:rPr>
            </w:pPr>
          </w:p>
        </w:tc>
      </w:tr>
    </w:tbl>
    <w:p w14:paraId="7B671BFE" w14:textId="77777777" w:rsidR="0040300B" w:rsidRDefault="00BB2D44">
      <w:r>
        <w:rPr>
          <w:rFonts w:ascii="宋体" w:eastAsia="宋体" w:hAnsi="宋体" w:cs="宋体"/>
        </w:rPr>
        <w:t xml:space="preserve">Previous Next </w:t>
      </w:r>
    </w:p>
    <w:p w14:paraId="7B671BFF" w14:textId="77777777" w:rsidR="0040300B" w:rsidRDefault="00BB2D44">
      <w:pPr>
        <w:pStyle w:val="a3"/>
      </w:pPr>
      <w:r>
        <w:t xml:space="preserve">Nested Facts / </w:t>
      </w:r>
    </w:p>
    <w:p w14:paraId="7B671C00" w14:textId="77777777" w:rsidR="0040300B" w:rsidRDefault="00BB2D44">
      <w:r>
        <w:rPr>
          <w:rFonts w:ascii="宋体" w:eastAsia="宋体" w:hAnsi="宋体" w:cs="宋体"/>
        </w:rPr>
        <w:t xml:space="preserve">Previous Next </w:t>
      </w:r>
    </w:p>
    <w:p w14:paraId="7B671C01" w14:textId="77777777" w:rsidR="0040300B" w:rsidRDefault="00BB2D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B671C7B" wp14:editId="7B671C7C">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C03" w14:textId="77777777">
        <w:trPr>
          <w:tblCellSpacing w:w="15" w:type="dxa"/>
        </w:trPr>
        <w:tc>
          <w:tcPr>
            <w:tcW w:w="0" w:type="auto"/>
            <w:shd w:val="clear" w:color="auto" w:fill="auto"/>
            <w:vAlign w:val="center"/>
          </w:tcPr>
          <w:p w14:paraId="7B671C02" w14:textId="77777777" w:rsidR="0040300B" w:rsidRDefault="0040300B">
            <w:pPr>
              <w:rPr>
                <w:rFonts w:ascii="宋体"/>
              </w:rPr>
            </w:pPr>
          </w:p>
        </w:tc>
      </w:tr>
    </w:tbl>
    <w:p w14:paraId="7B671C04"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C06" w14:textId="77777777">
        <w:trPr>
          <w:tblCellSpacing w:w="15" w:type="dxa"/>
        </w:trPr>
        <w:tc>
          <w:tcPr>
            <w:tcW w:w="0" w:type="auto"/>
            <w:shd w:val="clear" w:color="auto" w:fill="auto"/>
            <w:vAlign w:val="center"/>
          </w:tcPr>
          <w:p w14:paraId="7B671C05" w14:textId="77777777" w:rsidR="0040300B" w:rsidRDefault="0040300B">
            <w:pPr>
              <w:rPr>
                <w:rFonts w:ascii="宋体"/>
              </w:rPr>
            </w:pPr>
          </w:p>
        </w:tc>
      </w:tr>
    </w:tbl>
    <w:p w14:paraId="7B671C07"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C09" w14:textId="77777777">
        <w:trPr>
          <w:tblCellSpacing w:w="15" w:type="dxa"/>
        </w:trPr>
        <w:tc>
          <w:tcPr>
            <w:tcW w:w="0" w:type="auto"/>
            <w:shd w:val="clear" w:color="auto" w:fill="auto"/>
            <w:vAlign w:val="center"/>
          </w:tcPr>
          <w:p w14:paraId="7B671C08" w14:textId="77777777" w:rsidR="0040300B" w:rsidRDefault="0040300B">
            <w:pPr>
              <w:rPr>
                <w:rFonts w:ascii="宋体"/>
              </w:rPr>
            </w:pPr>
          </w:p>
        </w:tc>
      </w:tr>
    </w:tbl>
    <w:p w14:paraId="7B671C0A" w14:textId="77777777" w:rsidR="0040300B" w:rsidRDefault="0040300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300B" w14:paraId="7B671C0C" w14:textId="77777777">
        <w:trPr>
          <w:tblCellSpacing w:w="15" w:type="dxa"/>
        </w:trPr>
        <w:tc>
          <w:tcPr>
            <w:tcW w:w="0" w:type="auto"/>
            <w:shd w:val="clear" w:color="auto" w:fill="auto"/>
            <w:vAlign w:val="center"/>
          </w:tcPr>
          <w:p w14:paraId="7B671C0B" w14:textId="77777777" w:rsidR="0040300B" w:rsidRDefault="0040300B">
            <w:pPr>
              <w:rPr>
                <w:rFonts w:ascii="宋体"/>
              </w:rPr>
            </w:pPr>
          </w:p>
        </w:tc>
      </w:tr>
    </w:tbl>
    <w:p w14:paraId="7B671C0D" w14:textId="77777777" w:rsidR="0040300B" w:rsidRDefault="00BB2D44">
      <w:r>
        <w:rPr>
          <w:rFonts w:ascii="宋体" w:eastAsia="宋体" w:hAnsi="宋体" w:cs="宋体"/>
        </w:rPr>
        <w:t xml:space="preserve">Previous Next </w:t>
      </w:r>
    </w:p>
    <w:p w14:paraId="7B671C0E" w14:textId="77777777" w:rsidR="0040300B" w:rsidRDefault="0040300B"/>
    <w:sectPr w:rsidR="0040300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BDCF" w14:textId="77777777" w:rsidR="00BB2D44" w:rsidRDefault="00BB2D44" w:rsidP="00BB2D44">
      <w:r>
        <w:separator/>
      </w:r>
    </w:p>
  </w:endnote>
  <w:endnote w:type="continuationSeparator" w:id="0">
    <w:p w14:paraId="0AD77310" w14:textId="77777777" w:rsidR="00BB2D44" w:rsidRDefault="00BB2D44" w:rsidP="00BB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A934" w14:textId="77777777" w:rsidR="00BB2D44" w:rsidRDefault="00BB2D44" w:rsidP="00BB2D44">
      <w:r>
        <w:separator/>
      </w:r>
    </w:p>
  </w:footnote>
  <w:footnote w:type="continuationSeparator" w:id="0">
    <w:p w14:paraId="399ABA6E" w14:textId="77777777" w:rsidR="00BB2D44" w:rsidRDefault="00BB2D44" w:rsidP="00BB2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8A567EC"/>
    <w:rsid w:val="E8A567EC"/>
    <w:rsid w:val="0040300B"/>
    <w:rsid w:val="00BB2D44"/>
    <w:rsid w:val="5BF7A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6DD3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B2D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B2D44"/>
    <w:rPr>
      <w:rFonts w:asciiTheme="minorEastAsia" w:hAnsiTheme="minorEastAsia" w:cs="Times New Roman"/>
      <w:sz w:val="18"/>
      <w:szCs w:val="18"/>
    </w:rPr>
  </w:style>
  <w:style w:type="paragraph" w:styleId="a8">
    <w:name w:val="footer"/>
    <w:basedOn w:val="a"/>
    <w:link w:val="a9"/>
    <w:rsid w:val="00BB2D44"/>
    <w:pPr>
      <w:tabs>
        <w:tab w:val="center" w:pos="4153"/>
        <w:tab w:val="right" w:pos="8306"/>
      </w:tabs>
      <w:snapToGrid w:val="0"/>
    </w:pPr>
    <w:rPr>
      <w:sz w:val="18"/>
      <w:szCs w:val="18"/>
    </w:rPr>
  </w:style>
  <w:style w:type="character" w:customStyle="1" w:styleId="a9">
    <w:name w:val="页脚 字符"/>
    <w:basedOn w:val="a0"/>
    <w:link w:val="a8"/>
    <w:rsid w:val="00BB2D4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1000008/csco-20210501.htm" TargetMode="External"/><Relationship Id="rId21" Type="http://schemas.openxmlformats.org/officeDocument/2006/relationships/hyperlink" Target="https://www.sec.gov/ix?doc=/Archives/edgar/data/858877/000085887721000008/csco-20210501.htm" TargetMode="External"/><Relationship Id="rId42" Type="http://schemas.openxmlformats.org/officeDocument/2006/relationships/hyperlink" Target="https://www.sec.gov/ix?doc=/Archives/edgar/data/858877/000085887721000008/csco-20210501.htm" TargetMode="External"/><Relationship Id="rId63" Type="http://schemas.openxmlformats.org/officeDocument/2006/relationships/hyperlink" Target="https://www.sec.gov/ix?doc=/Archives/edgar/data/858877/000085887721000008/csco-20210501.htm" TargetMode="External"/><Relationship Id="rId84" Type="http://schemas.openxmlformats.org/officeDocument/2006/relationships/hyperlink" Target="https://www.sec.gov/ix?doc=/Archives/edgar/data/858877/000085887721000008/csco-20210501.htm" TargetMode="External"/><Relationship Id="rId138" Type="http://schemas.openxmlformats.org/officeDocument/2006/relationships/hyperlink" Target="https://www.sec.gov/Archives/edgar/data/858877/000085887721000004/exh103firstamendmenttocred.htm" TargetMode="External"/><Relationship Id="rId107" Type="http://schemas.openxmlformats.org/officeDocument/2006/relationships/hyperlink" Target="https://www.sec.gov/ix?doc=/Archives/edgar/data/858877/000085887721000008/csco-20210501.htm" TargetMode="External"/><Relationship Id="rId11" Type="http://schemas.openxmlformats.org/officeDocument/2006/relationships/hyperlink" Target="https://www.sec.gov/ix?doc=/Archives/edgar/data/858877/000085887721000008/csco-20210501.htm" TargetMode="External"/><Relationship Id="rId32" Type="http://schemas.openxmlformats.org/officeDocument/2006/relationships/hyperlink" Target="https://www.sec.gov/ix?doc=/Archives/edgar/data/858877/000085887721000008/csco-20210501.htm" TargetMode="External"/><Relationship Id="rId53" Type="http://schemas.openxmlformats.org/officeDocument/2006/relationships/hyperlink" Target="https://www.sec.gov/ix?doc=/Archives/edgar/data/858877/000085887721000008/csco-20210501.htm" TargetMode="External"/><Relationship Id="rId74" Type="http://schemas.openxmlformats.org/officeDocument/2006/relationships/hyperlink" Target="https://www.sec.gov/ix?doc=/Archives/edgar/data/858877/000085887721000008/csco-20210501.htm" TargetMode="External"/><Relationship Id="rId128" Type="http://schemas.openxmlformats.org/officeDocument/2006/relationships/hyperlink" Target="https://www.sec.gov/ix?doc=/Archives/edgar/data/858877/000085887721000008/csco-20210501.htm" TargetMode="External"/><Relationship Id="rId149" Type="http://schemas.openxmlformats.org/officeDocument/2006/relationships/fontTable" Target="fontTable.xml"/><Relationship Id="rId5" Type="http://schemas.openxmlformats.org/officeDocument/2006/relationships/endnotes" Target="endnotes.xml"/><Relationship Id="rId95" Type="http://schemas.openxmlformats.org/officeDocument/2006/relationships/hyperlink" Target="https://www.sec.gov/ix?doc=/Archives/edgar/data/858877/000085887721000008/csco-20210501.htm" TargetMode="External"/><Relationship Id="rId22" Type="http://schemas.openxmlformats.org/officeDocument/2006/relationships/hyperlink" Target="https://www.sec.gov/ix?doc=/Archives/edgar/data/858877/000085887721000008/csco-20210501.htm" TargetMode="External"/><Relationship Id="rId27" Type="http://schemas.openxmlformats.org/officeDocument/2006/relationships/hyperlink" Target="https://www.sec.gov/ix?doc=/Archives/edgar/data/858877/000085887721000008/csco-20210501.htm" TargetMode="External"/><Relationship Id="rId43" Type="http://schemas.openxmlformats.org/officeDocument/2006/relationships/hyperlink" Target="https://www.sec.gov/ix?doc=/Archives/edgar/data/858877/000085887721000008/csco-20210501.htm" TargetMode="External"/><Relationship Id="rId48" Type="http://schemas.openxmlformats.org/officeDocument/2006/relationships/hyperlink" Target="https://www.sec.gov/ix?doc=/Archives/edgar/data/858877/000085887721000008/csco-20210501.htm" TargetMode="External"/><Relationship Id="rId64" Type="http://schemas.openxmlformats.org/officeDocument/2006/relationships/hyperlink" Target="https://www.sec.gov/ix?doc=/Archives/edgar/data/858877/000085887721000008/csco-20210501.htm" TargetMode="External"/><Relationship Id="rId69" Type="http://schemas.openxmlformats.org/officeDocument/2006/relationships/hyperlink" Target="https://www.sec.gov/ix?doc=/Archives/edgar/data/858877/000085887721000008/csco-20210501.htm" TargetMode="External"/><Relationship Id="rId113" Type="http://schemas.openxmlformats.org/officeDocument/2006/relationships/hyperlink" Target="https://www.sec.gov/ix?doc=/Archives/edgar/data/858877/000085887721000008/csco-20210501.htm" TargetMode="External"/><Relationship Id="rId118" Type="http://schemas.openxmlformats.org/officeDocument/2006/relationships/hyperlink" Target="https://www.sec.gov/ix?doc=/Archives/edgar/data/858877/000085887721000008/csco-20210501.htm" TargetMode="External"/><Relationship Id="rId134" Type="http://schemas.openxmlformats.org/officeDocument/2006/relationships/hyperlink" Target="https://www.sec.gov/Archives/edgar/data/858877/000085887721000004/exh41supplementalindenture.htm" TargetMode="External"/><Relationship Id="rId139" Type="http://schemas.openxmlformats.org/officeDocument/2006/relationships/hyperlink" Target="https://www.sec.gov/Archives/edgar/data/858877/000119312521016255/d104712dex101.htm" TargetMode="External"/><Relationship Id="rId80" Type="http://schemas.openxmlformats.org/officeDocument/2006/relationships/hyperlink" Target="https://www.sec.gov/ix?doc=/Archives/edgar/data/858877/000085887721000008/csco-20210501.htm" TargetMode="External"/><Relationship Id="rId85" Type="http://schemas.openxmlformats.org/officeDocument/2006/relationships/hyperlink" Target="https://www.sec.gov/ix?doc=/Archives/edgar/data/858877/000085887721000008/csco-20210501.htm" TargetMode="External"/><Relationship Id="rId150" Type="http://schemas.openxmlformats.org/officeDocument/2006/relationships/theme" Target="theme/theme1.xml"/><Relationship Id="rId12" Type="http://schemas.openxmlformats.org/officeDocument/2006/relationships/hyperlink" Target="https://www.sec.gov/ix?doc=/Archives/edgar/data/858877/000085887721000008/csco-20210501.htm" TargetMode="External"/><Relationship Id="rId17" Type="http://schemas.openxmlformats.org/officeDocument/2006/relationships/hyperlink" Target="https://www.sec.gov/ix?doc=/Archives/edgar/data/858877/000085887721000008/csco-20210501.htm" TargetMode="External"/><Relationship Id="rId33" Type="http://schemas.openxmlformats.org/officeDocument/2006/relationships/hyperlink" Target="https://www.sec.gov/ix?doc=/Archives/edgar/data/858877/000085887721000008/csco-20210501.htm" TargetMode="External"/><Relationship Id="rId38" Type="http://schemas.openxmlformats.org/officeDocument/2006/relationships/hyperlink" Target="https://www.sec.gov/ix?doc=/Archives/edgar/data/858877/000085887721000008/csco-20210501.htm" TargetMode="External"/><Relationship Id="rId59" Type="http://schemas.openxmlformats.org/officeDocument/2006/relationships/hyperlink" Target="https://www.sec.gov/ix?doc=/Archives/edgar/data/858877/000085887721000008/csco-20210501.htm" TargetMode="External"/><Relationship Id="rId103" Type="http://schemas.openxmlformats.org/officeDocument/2006/relationships/hyperlink" Target="https://www.sec.gov/ix?doc=/Archives/edgar/data/858877/000085887721000008/csco-20210501.htm" TargetMode="External"/><Relationship Id="rId108" Type="http://schemas.openxmlformats.org/officeDocument/2006/relationships/hyperlink" Target="https://www.sec.gov/ix?doc=/Archives/edgar/data/858877/000085887721000008/csco-20210501.htm" TargetMode="External"/><Relationship Id="rId124" Type="http://schemas.openxmlformats.org/officeDocument/2006/relationships/hyperlink" Target="https://www.sec.gov/ix?doc=/Archives/edgar/data/858877/000085887721000008/csco-20210501.htm" TargetMode="External"/><Relationship Id="rId129" Type="http://schemas.openxmlformats.org/officeDocument/2006/relationships/hyperlink" Target="https://www.sec.gov/ix?doc=/Archives/edgar/data/858877/000085887721000008/csco-20210501.htm" TargetMode="External"/><Relationship Id="rId54" Type="http://schemas.openxmlformats.org/officeDocument/2006/relationships/hyperlink" Target="https://www.sec.gov/ix?doc=/Archives/edgar/data/858877/000085887721000008/csco-20210501.htm" TargetMode="External"/><Relationship Id="rId70" Type="http://schemas.openxmlformats.org/officeDocument/2006/relationships/hyperlink" Target="https://www.sec.gov/ix?doc=/Archives/edgar/data/858877/000085887721000008/csco-20210501.htm" TargetMode="External"/><Relationship Id="rId75" Type="http://schemas.openxmlformats.org/officeDocument/2006/relationships/hyperlink" Target="https://www.sec.gov/ix?doc=/Archives/edgar/data/858877/000085887721000008/csco-20210501.htm" TargetMode="External"/><Relationship Id="rId91" Type="http://schemas.openxmlformats.org/officeDocument/2006/relationships/hyperlink" Target="https://www.sec.gov/ix?doc=/Archives/edgar/data/858877/000085887721000008/csco-20210501.htm" TargetMode="External"/><Relationship Id="rId96" Type="http://schemas.openxmlformats.org/officeDocument/2006/relationships/hyperlink" Target="https://www.sec.gov/ix?doc=/Archives/edgar/data/858877/000085887721000008/csco-20210501.htm" TargetMode="External"/><Relationship Id="rId140" Type="http://schemas.openxmlformats.org/officeDocument/2006/relationships/hyperlink" Target="https://www.sec.gov/Archives/edgar/data/858877/000085887721000004/exh105ciscosip2005q221.htm" TargetMode="External"/><Relationship Id="rId145" Type="http://schemas.openxmlformats.org/officeDocument/2006/relationships/hyperlink" Target="https://www.sec.gov/Archives/edgar/data/858877/000085887721000008/exh321-q3fy21.htm" TargetMode="External"/><Relationship Id="rId1" Type="http://schemas.openxmlformats.org/officeDocument/2006/relationships/styles" Target="styles.xml"/><Relationship Id="rId23" Type="http://schemas.openxmlformats.org/officeDocument/2006/relationships/hyperlink" Target="https://www.sec.gov/ix?doc=/Archives/edgar/data/858877/000085887721000008/csco-20210501.htm" TargetMode="External"/><Relationship Id="rId28" Type="http://schemas.openxmlformats.org/officeDocument/2006/relationships/hyperlink" Target="https://www.sec.gov/ix?doc=/Archives/edgar/data/858877/000085887721000008/csco-20210501.htm" TargetMode="External"/><Relationship Id="rId49" Type="http://schemas.openxmlformats.org/officeDocument/2006/relationships/hyperlink" Target="https://www.sec.gov/ix?doc=/Archives/edgar/data/858877/000085887721000008/csco-20210501.htm" TargetMode="External"/><Relationship Id="rId114" Type="http://schemas.openxmlformats.org/officeDocument/2006/relationships/hyperlink" Target="https://www.sec.gov/ix?doc=/Archives/edgar/data/858877/000085887721000008/csco-20210501.htm" TargetMode="External"/><Relationship Id="rId119" Type="http://schemas.openxmlformats.org/officeDocument/2006/relationships/hyperlink" Target="https://www.sec.gov/ix?doc=/Archives/edgar/data/858877/000085887721000008/csco-20210501.htm" TargetMode="External"/><Relationship Id="rId44" Type="http://schemas.openxmlformats.org/officeDocument/2006/relationships/hyperlink" Target="https://www.sec.gov/ix?doc=/Archives/edgar/data/858877/000085887721000008/csco-20210501.htm" TargetMode="External"/><Relationship Id="rId60" Type="http://schemas.openxmlformats.org/officeDocument/2006/relationships/hyperlink" Target="https://www.sec.gov/ix?doc=/Archives/edgar/data/858877/000085887721000008/csco-20210501.htm" TargetMode="External"/><Relationship Id="rId65" Type="http://schemas.openxmlformats.org/officeDocument/2006/relationships/hyperlink" Target="https://www.sec.gov/ix?doc=/Archives/edgar/data/858877/000085887721000008/csco-20210501.htm" TargetMode="External"/><Relationship Id="rId81" Type="http://schemas.openxmlformats.org/officeDocument/2006/relationships/hyperlink" Target="https://www.sec.gov/ix?doc=/Archives/edgar/data/858877/000085887721000008/csco-20210501.htm" TargetMode="External"/><Relationship Id="rId86" Type="http://schemas.openxmlformats.org/officeDocument/2006/relationships/hyperlink" Target="https://www.sec.gov/ix?doc=/Archives/edgar/data/858877/000085887721000008/csco-20210501.htm" TargetMode="External"/><Relationship Id="rId130" Type="http://schemas.openxmlformats.org/officeDocument/2006/relationships/hyperlink" Target="https://www.sec.gov/ix?doc=/Archives/edgar/data/858877/000085887721000008/csco-20210501.htm" TargetMode="External"/><Relationship Id="rId135" Type="http://schemas.openxmlformats.org/officeDocument/2006/relationships/hyperlink" Target="https://www.sec.gov/Archives/edgar/data/858877/000085887721000004/exh42supplementalindenture.htm" TargetMode="External"/><Relationship Id="rId13" Type="http://schemas.openxmlformats.org/officeDocument/2006/relationships/hyperlink" Target="https://www.sec.gov/ix?doc=/Archives/edgar/data/858877/000085887721000008/csco-20210501.htm" TargetMode="External"/><Relationship Id="rId18" Type="http://schemas.openxmlformats.org/officeDocument/2006/relationships/hyperlink" Target="https://www.sec.gov/ix?doc=/Archives/edgar/data/858877/000085887721000008/csco-20210501.htm" TargetMode="External"/><Relationship Id="rId39" Type="http://schemas.openxmlformats.org/officeDocument/2006/relationships/hyperlink" Target="https://www.sec.gov/ix?doc=/Archives/edgar/data/858877/000085887721000008/csco-20210501.htm" TargetMode="External"/><Relationship Id="rId109" Type="http://schemas.openxmlformats.org/officeDocument/2006/relationships/hyperlink" Target="https://www.sec.gov/ix?doc=/Archives/edgar/data/858877/000085887721000008/csco-20210501.htm" TargetMode="External"/><Relationship Id="rId34" Type="http://schemas.openxmlformats.org/officeDocument/2006/relationships/hyperlink" Target="https://www.sec.gov/ix?doc=/Archives/edgar/data/858877/000085887721000008/csco-20210501.htm" TargetMode="External"/><Relationship Id="rId50" Type="http://schemas.openxmlformats.org/officeDocument/2006/relationships/hyperlink" Target="https://www.sec.gov/ix?doc=/Archives/edgar/data/858877/000085887721000008/csco-20210501.htm" TargetMode="External"/><Relationship Id="rId55" Type="http://schemas.openxmlformats.org/officeDocument/2006/relationships/hyperlink" Target="https://www.sec.gov/ix?doc=/Archives/edgar/data/858877/000085887721000008/csco-20210501.htm" TargetMode="External"/><Relationship Id="rId76" Type="http://schemas.openxmlformats.org/officeDocument/2006/relationships/hyperlink" Target="https://www.sec.gov/ix?doc=/Archives/edgar/data/858877/000085887721000008/csco-20210501.htm" TargetMode="External"/><Relationship Id="rId97" Type="http://schemas.openxmlformats.org/officeDocument/2006/relationships/hyperlink" Target="https://www.sec.gov/ix?doc=/Archives/edgar/data/858877/000085887721000008/csco-20210501.htm" TargetMode="External"/><Relationship Id="rId104" Type="http://schemas.openxmlformats.org/officeDocument/2006/relationships/hyperlink" Target="https://www.sec.gov/ix?doc=/Archives/edgar/data/858877/000085887721000008/csco-20210501.htm" TargetMode="External"/><Relationship Id="rId120" Type="http://schemas.openxmlformats.org/officeDocument/2006/relationships/hyperlink" Target="https://www.sec.gov/ix?doc=/Archives/edgar/data/858877/000085887721000008/csco-20210501.htm" TargetMode="External"/><Relationship Id="rId125" Type="http://schemas.openxmlformats.org/officeDocument/2006/relationships/hyperlink" Target="https://www.sec.gov/ix?doc=/Archives/edgar/data/858877/000085887721000008/csco-20210501.htm" TargetMode="External"/><Relationship Id="rId141" Type="http://schemas.openxmlformats.org/officeDocument/2006/relationships/hyperlink" Target="https://www.sec.gov/Archives/edgar/data/858877/000085887721000004/exh106dcpasamendedq221.htm" TargetMode="External"/><Relationship Id="rId146" Type="http://schemas.openxmlformats.org/officeDocument/2006/relationships/hyperlink" Target="https://www.sec.gov/Archives/edgar/data/858877/000085887721000008/exh322-q3fy21.htm" TargetMode="External"/><Relationship Id="rId7" Type="http://schemas.openxmlformats.org/officeDocument/2006/relationships/hyperlink" Target="https://www.sec.gov/ix?doc=/Archives/edgar/data/858877/000085887721000008/csco-20210501.htm" TargetMode="External"/><Relationship Id="rId71" Type="http://schemas.openxmlformats.org/officeDocument/2006/relationships/hyperlink" Target="https://www.sec.gov/ix?doc=/Archives/edgar/data/858877/000085887721000008/csco-20210501.htm" TargetMode="External"/><Relationship Id="rId92" Type="http://schemas.openxmlformats.org/officeDocument/2006/relationships/hyperlink" Target="https://www.sec.gov/ix?doc=/Archives/edgar/data/858877/000085887721000008/csco-20210501.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1000008/csco-20210501.htm" TargetMode="External"/><Relationship Id="rId24" Type="http://schemas.openxmlformats.org/officeDocument/2006/relationships/hyperlink" Target="https://www.sec.gov/ix?doc=/Archives/edgar/data/858877/000085887721000008/csco-20210501.htm" TargetMode="External"/><Relationship Id="rId40" Type="http://schemas.openxmlformats.org/officeDocument/2006/relationships/hyperlink" Target="https://www.sec.gov/ix?doc=/Archives/edgar/data/858877/000085887721000008/csco-20210501.htm" TargetMode="External"/><Relationship Id="rId45" Type="http://schemas.openxmlformats.org/officeDocument/2006/relationships/hyperlink" Target="https://www.sec.gov/ix?doc=/Archives/edgar/data/858877/000085887721000008/csco-20210501.htm" TargetMode="External"/><Relationship Id="rId66" Type="http://schemas.openxmlformats.org/officeDocument/2006/relationships/hyperlink" Target="https://www.sec.gov/ix?doc=/Archives/edgar/data/858877/000085887721000008/csco-20210501.htm" TargetMode="External"/><Relationship Id="rId87" Type="http://schemas.openxmlformats.org/officeDocument/2006/relationships/hyperlink" Target="https://www.sec.gov/ix?doc=/Archives/edgar/data/858877/000085887721000008/csco-20210501.htm" TargetMode="External"/><Relationship Id="rId110" Type="http://schemas.openxmlformats.org/officeDocument/2006/relationships/hyperlink" Target="https://www.sec.gov/ix?doc=/Archives/edgar/data/858877/000085887721000008/csco-20210501.htm" TargetMode="External"/><Relationship Id="rId115" Type="http://schemas.openxmlformats.org/officeDocument/2006/relationships/hyperlink" Target="https://www.sec.gov/ix?doc=/Archives/edgar/data/858877/000085887721000008/csco-20210501.htm" TargetMode="External"/><Relationship Id="rId131" Type="http://schemas.openxmlformats.org/officeDocument/2006/relationships/hyperlink" Target="https://www.sec.gov/Archives/edgar/data/858877/000119312521016255/d104712dex21.htm" TargetMode="External"/><Relationship Id="rId136" Type="http://schemas.openxmlformats.org/officeDocument/2006/relationships/hyperlink" Target="https://www.sec.gov/Archives/edgar/data/858877/000085887721000004/exh43supplementalindenture.htm" TargetMode="External"/><Relationship Id="rId61" Type="http://schemas.openxmlformats.org/officeDocument/2006/relationships/hyperlink" Target="https://www.sec.gov/ix?doc=/Archives/edgar/data/858877/000085887721000008/csco-20210501.htm" TargetMode="External"/><Relationship Id="rId82" Type="http://schemas.openxmlformats.org/officeDocument/2006/relationships/hyperlink" Target="https://www.sec.gov/ix?doc=/Archives/edgar/data/858877/000085887721000008/csco-20210501.htm" TargetMode="External"/><Relationship Id="rId19" Type="http://schemas.openxmlformats.org/officeDocument/2006/relationships/hyperlink" Target="https://www.sec.gov/ix?doc=/Archives/edgar/data/858877/000085887721000008/csco-20210501.htm" TargetMode="External"/><Relationship Id="rId14" Type="http://schemas.openxmlformats.org/officeDocument/2006/relationships/hyperlink" Target="https://www.sec.gov/ix?doc=/Archives/edgar/data/858877/000085887721000008/csco-20210501.htm" TargetMode="External"/><Relationship Id="rId30" Type="http://schemas.openxmlformats.org/officeDocument/2006/relationships/hyperlink" Target="https://www.sec.gov/ix?doc=/Archives/edgar/data/858877/000085887721000008/csco-20210501.htm" TargetMode="External"/><Relationship Id="rId35" Type="http://schemas.openxmlformats.org/officeDocument/2006/relationships/hyperlink" Target="https://www.sec.gov/ix?doc=/Archives/edgar/data/858877/000085887721000008/csco-20210501.htm" TargetMode="External"/><Relationship Id="rId56" Type="http://schemas.openxmlformats.org/officeDocument/2006/relationships/hyperlink" Target="https://www.sec.gov/ix?doc=/Archives/edgar/data/858877/000085887721000008/csco-20210501.htm" TargetMode="External"/><Relationship Id="rId77" Type="http://schemas.openxmlformats.org/officeDocument/2006/relationships/hyperlink" Target="https://www.sec.gov/ix?doc=/Archives/edgar/data/858877/000085887721000008/csco-20210501.htm" TargetMode="External"/><Relationship Id="rId100" Type="http://schemas.openxmlformats.org/officeDocument/2006/relationships/hyperlink" Target="https://www.sec.gov/ix?doc=/Archives/edgar/data/858877/000085887721000008/csco-20210501.htm" TargetMode="External"/><Relationship Id="rId105" Type="http://schemas.openxmlformats.org/officeDocument/2006/relationships/hyperlink" Target="https://www.sec.gov/ix?doc=/Archives/edgar/data/858877/000085887721000008/csco-20210501.htm" TargetMode="External"/><Relationship Id="rId126" Type="http://schemas.openxmlformats.org/officeDocument/2006/relationships/hyperlink" Target="https://www.sec.gov/ix?doc=/Archives/edgar/data/858877/000085887721000008/csco-20210501.htm" TargetMode="External"/><Relationship Id="rId147" Type="http://schemas.openxmlformats.org/officeDocument/2006/relationships/hyperlink" Target="https://www.sec.gov/ix?doc=/Archives/edgar/data/858877/000085887721000008/csco-20210501.htm" TargetMode="External"/><Relationship Id="rId8" Type="http://schemas.openxmlformats.org/officeDocument/2006/relationships/hyperlink" Target="https://www.sec.gov/ix?doc=/Archives/edgar/data/858877/000085887721000008/csco-20210501.htm" TargetMode="External"/><Relationship Id="rId51" Type="http://schemas.openxmlformats.org/officeDocument/2006/relationships/hyperlink" Target="https://www.sec.gov/ix?doc=/Archives/edgar/data/858877/000085887721000008/csco-20210501.htm" TargetMode="External"/><Relationship Id="rId72" Type="http://schemas.openxmlformats.org/officeDocument/2006/relationships/hyperlink" Target="https://www.sec.gov/ix?doc=/Archives/edgar/data/858877/000085887721000008/csco-20210501.htm" TargetMode="External"/><Relationship Id="rId93" Type="http://schemas.openxmlformats.org/officeDocument/2006/relationships/hyperlink" Target="https://www.sec.gov/ix?doc=/Archives/edgar/data/858877/000085887721000008/csco-20210501.htm" TargetMode="External"/><Relationship Id="rId98" Type="http://schemas.openxmlformats.org/officeDocument/2006/relationships/hyperlink" Target="https://www.sec.gov/ix?doc=/Archives/edgar/data/858877/000085887721000008/csco-20210501.htm" TargetMode="External"/><Relationship Id="rId121" Type="http://schemas.openxmlformats.org/officeDocument/2006/relationships/hyperlink" Target="https://www.sec.gov/ix?doc=/Archives/edgar/data/858877/000085887721000008/csco-20210501.htm" TargetMode="External"/><Relationship Id="rId142" Type="http://schemas.openxmlformats.org/officeDocument/2006/relationships/hyperlink" Target="https://www.sec.gov/Archives/edgar/data/858877/000085887721000004/exh107esppq221.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1000008/csco-20210501.htm" TargetMode="External"/><Relationship Id="rId46" Type="http://schemas.openxmlformats.org/officeDocument/2006/relationships/hyperlink" Target="https://www.sec.gov/ix?doc=/Archives/edgar/data/858877/000085887721000008/csco-20210501.htm" TargetMode="External"/><Relationship Id="rId67" Type="http://schemas.openxmlformats.org/officeDocument/2006/relationships/hyperlink" Target="https://www.sec.gov/ix?doc=/Archives/edgar/data/858877/000085887721000008/csco-20210501.htm" TargetMode="External"/><Relationship Id="rId116" Type="http://schemas.openxmlformats.org/officeDocument/2006/relationships/hyperlink" Target="https://www.sec.gov/ix?doc=/Archives/edgar/data/858877/000085887721000008/csco-20210501.htm" TargetMode="External"/><Relationship Id="rId137" Type="http://schemas.openxmlformats.org/officeDocument/2006/relationships/hyperlink" Target="https://www.sec.gov/Archives/edgar/data/858877/000119312521056977/d116659dex101.htm" TargetMode="External"/><Relationship Id="rId20" Type="http://schemas.openxmlformats.org/officeDocument/2006/relationships/hyperlink" Target="https://www.sec.gov/ix?doc=/Archives/edgar/data/858877/000085887721000008/csco-20210501.htm" TargetMode="External"/><Relationship Id="rId41" Type="http://schemas.openxmlformats.org/officeDocument/2006/relationships/hyperlink" Target="https://www.sec.gov/ix?doc=/Archives/edgar/data/858877/000085887721000008/csco-20210501.htm" TargetMode="External"/><Relationship Id="rId62" Type="http://schemas.openxmlformats.org/officeDocument/2006/relationships/hyperlink" Target="https://www.sec.gov/ix?doc=/Archives/edgar/data/858877/000085887721000008/csco-20210501.htm" TargetMode="External"/><Relationship Id="rId83" Type="http://schemas.openxmlformats.org/officeDocument/2006/relationships/hyperlink" Target="https://www.sec.gov/ix?doc=/Archives/edgar/data/858877/000085887721000008/csco-20210501.htm" TargetMode="External"/><Relationship Id="rId88" Type="http://schemas.openxmlformats.org/officeDocument/2006/relationships/hyperlink" Target="https://www.sec.gov/ix?doc=/Archives/edgar/data/858877/000085887721000008/csco-20210501.htm" TargetMode="External"/><Relationship Id="rId111" Type="http://schemas.openxmlformats.org/officeDocument/2006/relationships/hyperlink" Target="https://www.sec.gov/ix?doc=/Archives/edgar/data/858877/000085887721000008/csco-20210501.htm" TargetMode="External"/><Relationship Id="rId132" Type="http://schemas.openxmlformats.org/officeDocument/2006/relationships/hyperlink" Target="https://www.sec.gov/Archives/edgar/data/858877/000119312521016255/d104712dex31.htm" TargetMode="External"/><Relationship Id="rId15" Type="http://schemas.openxmlformats.org/officeDocument/2006/relationships/hyperlink" Target="https://www.sec.gov/ix?doc=/Archives/edgar/data/858877/000085887721000008/csco-20210501.htm" TargetMode="External"/><Relationship Id="rId36" Type="http://schemas.openxmlformats.org/officeDocument/2006/relationships/hyperlink" Target="https://www.sec.gov/ix?doc=/Archives/edgar/data/858877/000085887721000008/csco-20210501.htm" TargetMode="External"/><Relationship Id="rId57" Type="http://schemas.openxmlformats.org/officeDocument/2006/relationships/hyperlink" Target="https://www.sec.gov/ix?doc=/Archives/edgar/data/858877/000085887721000008/csco-20210501.htm" TargetMode="External"/><Relationship Id="rId106" Type="http://schemas.openxmlformats.org/officeDocument/2006/relationships/hyperlink" Target="https://www.sec.gov/ix?doc=/Archives/edgar/data/858877/000085887721000008/csco-20210501.htm" TargetMode="External"/><Relationship Id="rId127" Type="http://schemas.openxmlformats.org/officeDocument/2006/relationships/hyperlink" Target="https://www.sec.gov/ix?doc=/Archives/edgar/data/858877/000085887721000008/csco-20210501.htm" TargetMode="External"/><Relationship Id="rId10" Type="http://schemas.openxmlformats.org/officeDocument/2006/relationships/hyperlink" Target="https://www.sec.gov/ix?doc=/Archives/edgar/data/858877/000085887721000008/csco-20210501.htm" TargetMode="External"/><Relationship Id="rId31" Type="http://schemas.openxmlformats.org/officeDocument/2006/relationships/hyperlink" Target="https://www.sec.gov/ix?doc=/Archives/edgar/data/858877/000085887721000008/csco-20210501.htm" TargetMode="External"/><Relationship Id="rId52" Type="http://schemas.openxmlformats.org/officeDocument/2006/relationships/hyperlink" Target="https://www.sec.gov/ix?doc=/Archives/edgar/data/858877/000085887721000008/csco-20210501.htm" TargetMode="External"/><Relationship Id="rId73" Type="http://schemas.openxmlformats.org/officeDocument/2006/relationships/hyperlink" Target="https://www.sec.gov/ix?doc=/Archives/edgar/data/858877/000085887721000008/csco-20210501.htm" TargetMode="External"/><Relationship Id="rId78" Type="http://schemas.openxmlformats.org/officeDocument/2006/relationships/hyperlink" Target="https://www.sec.gov/ix?doc=/Archives/edgar/data/858877/000085887721000008/csco-20210501.htm" TargetMode="External"/><Relationship Id="rId94" Type="http://schemas.openxmlformats.org/officeDocument/2006/relationships/hyperlink" Target="https://www.sec.gov/ix?doc=/Archives/edgar/data/858877/000085887721000008/csco-20210501.htm" TargetMode="External"/><Relationship Id="rId99" Type="http://schemas.openxmlformats.org/officeDocument/2006/relationships/hyperlink" Target="https://www.sec.gov/ix?doc=/Archives/edgar/data/858877/000085887721000008/csco-20210501.htm" TargetMode="External"/><Relationship Id="rId101" Type="http://schemas.openxmlformats.org/officeDocument/2006/relationships/hyperlink" Target="https://www.sec.gov/ix?doc=/Archives/edgar/data/858877/000085887721000008/csco-20210501.htm" TargetMode="External"/><Relationship Id="rId122" Type="http://schemas.openxmlformats.org/officeDocument/2006/relationships/hyperlink" Target="https://www.sec.gov/ix?doc=/Archives/edgar/data/858877/000085887721000008/csco-20210501.htm" TargetMode="External"/><Relationship Id="rId143" Type="http://schemas.openxmlformats.org/officeDocument/2006/relationships/hyperlink" Target="https://www.sec.gov/Archives/edgar/data/858877/000085887721000008/exh311-q3fy21.htm" TargetMode="External"/><Relationship Id="rId148" Type="http://schemas.openxmlformats.org/officeDocument/2006/relationships/hyperlink" Target="https://www.sec.gov/ix?doc=/Archives/edgar/data/858877/000085887721000008/csco-20210501.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1000008/csco-20210501.htm" TargetMode="External"/><Relationship Id="rId26" Type="http://schemas.openxmlformats.org/officeDocument/2006/relationships/hyperlink" Target="https://www.sec.gov/ix?doc=/Archives/edgar/data/858877/000085887721000008/csco-20210501.htm" TargetMode="External"/><Relationship Id="rId47" Type="http://schemas.openxmlformats.org/officeDocument/2006/relationships/hyperlink" Target="https://www.sec.gov/ix?doc=/Archives/edgar/data/858877/000085887721000008/csco-20210501.htm" TargetMode="External"/><Relationship Id="rId68" Type="http://schemas.openxmlformats.org/officeDocument/2006/relationships/hyperlink" Target="https://www.sec.gov/ix?doc=/Archives/edgar/data/858877/000085887721000008/csco-20210501.htm" TargetMode="External"/><Relationship Id="rId89" Type="http://schemas.openxmlformats.org/officeDocument/2006/relationships/hyperlink" Target="https://www.sec.gov/ix?doc=/Archives/edgar/data/858877/000085887721000008/csco-20210501.htm" TargetMode="External"/><Relationship Id="rId112" Type="http://schemas.openxmlformats.org/officeDocument/2006/relationships/hyperlink" Target="https://www.sec.gov/ix?doc=/Archives/edgar/data/858877/000085887721000008/csco-20210501.htm" TargetMode="External"/><Relationship Id="rId133" Type="http://schemas.openxmlformats.org/officeDocument/2006/relationships/hyperlink" Target="https://www.sec.gov/Archives/edgar/data/858877/000119312521016255/d104712dex32.htm" TargetMode="External"/><Relationship Id="rId16" Type="http://schemas.openxmlformats.org/officeDocument/2006/relationships/hyperlink" Target="https://www.sec.gov/ix?doc=/Archives/edgar/data/858877/000085887721000008/csco-20210501.htm" TargetMode="External"/><Relationship Id="rId37" Type="http://schemas.openxmlformats.org/officeDocument/2006/relationships/hyperlink" Target="https://www.sec.gov/ix?doc=/Archives/edgar/data/858877/000085887721000008/csco-20210501.htm" TargetMode="External"/><Relationship Id="rId58" Type="http://schemas.openxmlformats.org/officeDocument/2006/relationships/hyperlink" Target="https://www.sec.gov/ix?doc=/Archives/edgar/data/858877/000085887721000008/csco-20210501.htm" TargetMode="External"/><Relationship Id="rId79" Type="http://schemas.openxmlformats.org/officeDocument/2006/relationships/hyperlink" Target="https://www.sec.gov/ix?doc=/Archives/edgar/data/858877/000085887721000008/csco-20210501.htm" TargetMode="External"/><Relationship Id="rId102" Type="http://schemas.openxmlformats.org/officeDocument/2006/relationships/hyperlink" Target="https://www.sec.gov/ix?doc=/Archives/edgar/data/858877/000085887721000008/csco-20210501.htm" TargetMode="External"/><Relationship Id="rId123" Type="http://schemas.openxmlformats.org/officeDocument/2006/relationships/hyperlink" Target="https://www.sec.gov/ix?doc=/Archives/edgar/data/858877/000085887721000008/csco-20210501.htm" TargetMode="External"/><Relationship Id="rId144" Type="http://schemas.openxmlformats.org/officeDocument/2006/relationships/hyperlink" Target="https://www.sec.gov/Archives/edgar/data/858877/000085887721000008/exh312-q3fy21.htm" TargetMode="External"/><Relationship Id="rId90" Type="http://schemas.openxmlformats.org/officeDocument/2006/relationships/hyperlink" Target="https://www.sec.gov/ix?doc=/Archives/edgar/data/858877/000085887721000008/csco-202105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49736</Words>
  <Characters>283497</Characters>
  <Application>Microsoft Office Word</Application>
  <DocSecurity>0</DocSecurity>
  <Lines>2362</Lines>
  <Paragraphs>665</Paragraphs>
  <ScaleCrop>false</ScaleCrop>
  <Company/>
  <LinksUpToDate>false</LinksUpToDate>
  <CharactersWithSpaces>332568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2023-02-11T09:12:00Z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B43A2A090F82293669EBE663B08EB0D8</vt:lpwstr>
  </property>
</Properties>
</file>